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03BEC" w14:textId="77777777" w:rsidR="002A2E6A" w:rsidRPr="008966DD" w:rsidRDefault="002A2E6A" w:rsidP="002A2E6A">
      <w:pPr>
        <w:suppressAutoHyphens/>
        <w:jc w:val="center"/>
        <w:rPr>
          <w:rFonts w:eastAsia="Arial"/>
          <w:b/>
          <w:sz w:val="24"/>
          <w:lang w:val="es-ES_tradnl" w:eastAsia="ar-SA"/>
        </w:rPr>
      </w:pPr>
    </w:p>
    <w:p w14:paraId="69F79018" w14:textId="77777777" w:rsidR="002A2E6A" w:rsidRPr="008966DD" w:rsidRDefault="002A2E6A" w:rsidP="002A2E6A">
      <w:pPr>
        <w:suppressAutoHyphens/>
        <w:jc w:val="center"/>
        <w:rPr>
          <w:rFonts w:eastAsia="Arial"/>
          <w:b/>
          <w:sz w:val="24"/>
          <w:lang w:val="es-ES_tradnl" w:eastAsia="ar-SA"/>
        </w:rPr>
      </w:pPr>
    </w:p>
    <w:p w14:paraId="595FCDDF" w14:textId="77777777" w:rsidR="002A2E6A" w:rsidRPr="008966DD" w:rsidRDefault="002A2E6A" w:rsidP="002A2E6A">
      <w:pPr>
        <w:suppressAutoHyphens/>
        <w:jc w:val="center"/>
        <w:rPr>
          <w:rFonts w:eastAsia="Arial"/>
          <w:b/>
          <w:sz w:val="24"/>
          <w:lang w:val="es-ES_tradnl" w:eastAsia="ar-SA"/>
        </w:rPr>
      </w:pPr>
    </w:p>
    <w:p w14:paraId="4B69C618" w14:textId="77777777" w:rsidR="002A2E6A" w:rsidRPr="008966DD" w:rsidRDefault="002A2E6A" w:rsidP="002A2E6A">
      <w:pPr>
        <w:suppressAutoHyphens/>
        <w:jc w:val="center"/>
        <w:rPr>
          <w:rFonts w:eastAsia="Arial"/>
          <w:b/>
          <w:sz w:val="24"/>
          <w:lang w:val="es-ES_tradnl" w:eastAsia="ar-SA"/>
        </w:rPr>
      </w:pPr>
    </w:p>
    <w:p w14:paraId="33E157A4" w14:textId="77777777" w:rsidR="002A2E6A" w:rsidRPr="008966DD" w:rsidRDefault="002A2E6A" w:rsidP="002A2E6A">
      <w:pPr>
        <w:suppressAutoHyphens/>
        <w:jc w:val="center"/>
        <w:rPr>
          <w:rFonts w:eastAsia="Arial"/>
          <w:b/>
          <w:sz w:val="24"/>
          <w:lang w:val="es-ES_tradnl" w:eastAsia="ar-SA"/>
        </w:rPr>
      </w:pPr>
    </w:p>
    <w:p w14:paraId="66EC0F02" w14:textId="77777777" w:rsidR="002A2E6A" w:rsidRPr="008966DD" w:rsidRDefault="002A2E6A" w:rsidP="002A2E6A">
      <w:pPr>
        <w:suppressAutoHyphens/>
        <w:jc w:val="center"/>
        <w:rPr>
          <w:rFonts w:eastAsia="Arial"/>
          <w:b/>
          <w:sz w:val="24"/>
          <w:lang w:val="es-ES_tradnl" w:eastAsia="ar-SA"/>
        </w:rPr>
      </w:pPr>
    </w:p>
    <w:p w14:paraId="0908B72A" w14:textId="77777777" w:rsidR="002A2E6A" w:rsidRPr="008966DD" w:rsidRDefault="002A2E6A" w:rsidP="002A2E6A">
      <w:pPr>
        <w:suppressAutoHyphens/>
        <w:jc w:val="center"/>
        <w:rPr>
          <w:rFonts w:eastAsia="Arial"/>
          <w:b/>
          <w:sz w:val="24"/>
          <w:lang w:val="es-ES_tradnl" w:eastAsia="ar-SA"/>
        </w:rPr>
      </w:pPr>
    </w:p>
    <w:p w14:paraId="2E678E44" w14:textId="77777777" w:rsidR="002A2E6A" w:rsidRPr="008966DD" w:rsidRDefault="002A2E6A" w:rsidP="002A2E6A">
      <w:pPr>
        <w:suppressAutoHyphens/>
        <w:jc w:val="center"/>
        <w:rPr>
          <w:rFonts w:eastAsia="Arial"/>
          <w:b/>
          <w:sz w:val="24"/>
          <w:lang w:val="es-ES_tradnl" w:eastAsia="ar-SA"/>
        </w:rPr>
      </w:pPr>
    </w:p>
    <w:p w14:paraId="55C98F88" w14:textId="77777777" w:rsidR="002A2E6A" w:rsidRPr="008966DD" w:rsidRDefault="002A2E6A" w:rsidP="002A2E6A">
      <w:pPr>
        <w:suppressAutoHyphens/>
        <w:jc w:val="center"/>
        <w:rPr>
          <w:rFonts w:eastAsia="Arial"/>
          <w:b/>
          <w:sz w:val="24"/>
          <w:lang w:val="es-ES_tradnl" w:eastAsia="ar-SA"/>
        </w:rPr>
      </w:pPr>
    </w:p>
    <w:p w14:paraId="30944387" w14:textId="77777777" w:rsidR="002A2E6A" w:rsidRPr="008966DD" w:rsidRDefault="002A2E6A" w:rsidP="002A2E6A">
      <w:pPr>
        <w:suppressAutoHyphens/>
        <w:jc w:val="center"/>
        <w:rPr>
          <w:rFonts w:eastAsia="Arial"/>
          <w:b/>
          <w:sz w:val="24"/>
          <w:lang w:val="es-ES_tradnl" w:eastAsia="ar-SA"/>
        </w:rPr>
      </w:pPr>
    </w:p>
    <w:p w14:paraId="42EF53D5" w14:textId="77777777" w:rsidR="002A2E6A" w:rsidRPr="008966DD" w:rsidRDefault="002A2E6A" w:rsidP="002A2E6A">
      <w:pPr>
        <w:suppressAutoHyphens/>
        <w:jc w:val="center"/>
        <w:rPr>
          <w:rFonts w:eastAsia="Arial"/>
          <w:b/>
          <w:sz w:val="24"/>
          <w:lang w:val="es-ES_tradnl" w:eastAsia="ar-SA"/>
        </w:rPr>
      </w:pPr>
    </w:p>
    <w:p w14:paraId="726FD849" w14:textId="77777777" w:rsidR="002A2E6A" w:rsidRPr="008966DD" w:rsidRDefault="002A2E6A" w:rsidP="002A2E6A">
      <w:pPr>
        <w:suppressAutoHyphens/>
        <w:jc w:val="center"/>
        <w:rPr>
          <w:rFonts w:eastAsia="Arial"/>
          <w:b/>
          <w:sz w:val="24"/>
          <w:lang w:val="es-ES_tradnl" w:eastAsia="ar-SA"/>
        </w:rPr>
      </w:pPr>
    </w:p>
    <w:p w14:paraId="47C9546B" w14:textId="77777777" w:rsidR="002A2E6A" w:rsidRPr="008966DD" w:rsidRDefault="002A2E6A" w:rsidP="002A2E6A">
      <w:pPr>
        <w:suppressAutoHyphens/>
        <w:jc w:val="center"/>
        <w:rPr>
          <w:rFonts w:eastAsia="Arial"/>
          <w:b/>
          <w:sz w:val="24"/>
          <w:lang w:val="es-ES_tradnl" w:eastAsia="ar-SA"/>
        </w:rPr>
      </w:pPr>
    </w:p>
    <w:p w14:paraId="11B855EE" w14:textId="77777777" w:rsidR="002A2E6A" w:rsidRPr="008966DD" w:rsidRDefault="002A2E6A" w:rsidP="002A2E6A">
      <w:pPr>
        <w:suppressAutoHyphens/>
        <w:jc w:val="center"/>
        <w:rPr>
          <w:rFonts w:eastAsia="Arial"/>
          <w:b/>
          <w:sz w:val="24"/>
          <w:lang w:val="es-ES_tradnl" w:eastAsia="ar-SA"/>
        </w:rPr>
      </w:pPr>
    </w:p>
    <w:p w14:paraId="67C542C2" w14:textId="77777777" w:rsidR="002A2E6A" w:rsidRPr="008966DD" w:rsidRDefault="002A2E6A" w:rsidP="002A2E6A">
      <w:pPr>
        <w:suppressAutoHyphens/>
        <w:jc w:val="center"/>
        <w:rPr>
          <w:rFonts w:eastAsia="Arial"/>
          <w:b/>
          <w:sz w:val="24"/>
          <w:lang w:val="es-ES_tradnl" w:eastAsia="ar-SA"/>
        </w:rPr>
      </w:pPr>
    </w:p>
    <w:p w14:paraId="159EE844" w14:textId="77777777" w:rsidR="002A2E6A" w:rsidRPr="008966DD" w:rsidRDefault="002A2E6A" w:rsidP="002A2E6A">
      <w:pPr>
        <w:suppressAutoHyphens/>
        <w:jc w:val="center"/>
        <w:rPr>
          <w:rFonts w:eastAsia="Arial"/>
          <w:b/>
          <w:sz w:val="24"/>
          <w:lang w:val="es-ES_tradnl" w:eastAsia="ar-SA"/>
        </w:rPr>
      </w:pPr>
    </w:p>
    <w:p w14:paraId="0C413FBD" w14:textId="77777777" w:rsidR="002A2E6A" w:rsidRPr="008966DD" w:rsidRDefault="002A2E6A" w:rsidP="002A2E6A">
      <w:pPr>
        <w:suppressAutoHyphens/>
        <w:jc w:val="center"/>
        <w:rPr>
          <w:rFonts w:eastAsia="Arial"/>
          <w:b/>
          <w:sz w:val="24"/>
          <w:lang w:val="es-ES_tradnl" w:eastAsia="ar-SA"/>
        </w:rPr>
      </w:pPr>
    </w:p>
    <w:p w14:paraId="3E36F0A1" w14:textId="77777777" w:rsidR="002A2E6A" w:rsidRPr="008966DD" w:rsidRDefault="002A2E6A" w:rsidP="002A2E6A">
      <w:pPr>
        <w:suppressAutoHyphens/>
        <w:jc w:val="center"/>
        <w:rPr>
          <w:rFonts w:eastAsia="Arial"/>
          <w:b/>
          <w:sz w:val="24"/>
          <w:lang w:val="es-ES_tradnl" w:eastAsia="ar-SA"/>
        </w:rPr>
      </w:pPr>
    </w:p>
    <w:p w14:paraId="5CBA2874" w14:textId="77777777" w:rsidR="002A2E6A" w:rsidRPr="008966DD" w:rsidRDefault="002A2E6A" w:rsidP="002A2E6A">
      <w:pPr>
        <w:suppressAutoHyphens/>
        <w:jc w:val="center"/>
        <w:rPr>
          <w:rFonts w:eastAsia="Arial"/>
          <w:b/>
          <w:sz w:val="24"/>
          <w:lang w:val="es-ES_tradnl" w:eastAsia="ar-SA"/>
        </w:rPr>
      </w:pPr>
    </w:p>
    <w:p w14:paraId="6CAECD6B" w14:textId="77777777" w:rsidR="002A2E6A" w:rsidRPr="008966DD" w:rsidRDefault="002A2E6A" w:rsidP="002A2E6A">
      <w:pPr>
        <w:suppressAutoHyphens/>
        <w:jc w:val="center"/>
        <w:rPr>
          <w:rFonts w:eastAsia="Arial"/>
          <w:b/>
          <w:sz w:val="24"/>
          <w:lang w:val="es-ES_tradnl" w:eastAsia="ar-SA"/>
        </w:rPr>
      </w:pPr>
    </w:p>
    <w:p w14:paraId="090B7590" w14:textId="77777777" w:rsidR="002A2E6A" w:rsidRPr="008966DD" w:rsidRDefault="002A2E6A" w:rsidP="002A2E6A">
      <w:pPr>
        <w:suppressAutoHyphens/>
        <w:jc w:val="center"/>
        <w:rPr>
          <w:rFonts w:eastAsia="Arial"/>
          <w:b/>
          <w:sz w:val="24"/>
          <w:lang w:val="es-ES_tradnl" w:eastAsia="ar-SA"/>
        </w:rPr>
      </w:pPr>
    </w:p>
    <w:p w14:paraId="17A9DA2D" w14:textId="77777777" w:rsidR="002A2E6A" w:rsidRPr="008966DD" w:rsidRDefault="002A2E6A" w:rsidP="002A2E6A">
      <w:pPr>
        <w:suppressAutoHyphens/>
        <w:jc w:val="center"/>
        <w:rPr>
          <w:rFonts w:eastAsia="Arial"/>
          <w:b/>
          <w:sz w:val="24"/>
          <w:lang w:val="es-ES_tradnl" w:eastAsia="ar-SA"/>
        </w:rPr>
      </w:pPr>
    </w:p>
    <w:p w14:paraId="6A23A10C" w14:textId="77777777" w:rsidR="002A2E6A" w:rsidRPr="008966DD" w:rsidRDefault="002A2E6A" w:rsidP="002A2E6A">
      <w:pPr>
        <w:suppressAutoHyphens/>
        <w:jc w:val="center"/>
        <w:rPr>
          <w:rFonts w:eastAsia="Arial"/>
          <w:b/>
          <w:sz w:val="24"/>
          <w:lang w:val="es-ES_tradnl" w:eastAsia="ar-SA"/>
        </w:rPr>
      </w:pPr>
    </w:p>
    <w:p w14:paraId="73E64C1B" w14:textId="77777777" w:rsidR="002A2E6A" w:rsidRPr="008966DD" w:rsidRDefault="002A2E6A" w:rsidP="002A2E6A">
      <w:pPr>
        <w:suppressAutoHyphens/>
        <w:jc w:val="center"/>
        <w:rPr>
          <w:rFonts w:eastAsia="Arial"/>
          <w:b/>
          <w:sz w:val="24"/>
          <w:lang w:val="es-ES_tradnl" w:eastAsia="ar-SA"/>
        </w:rPr>
      </w:pPr>
    </w:p>
    <w:p w14:paraId="6502A696" w14:textId="77777777" w:rsidR="002A2E6A" w:rsidRPr="008966DD" w:rsidRDefault="002A2E6A" w:rsidP="002A2E6A">
      <w:pPr>
        <w:suppressAutoHyphens/>
        <w:jc w:val="center"/>
        <w:rPr>
          <w:rFonts w:eastAsia="Arial"/>
          <w:b/>
          <w:sz w:val="24"/>
          <w:lang w:val="es-ES_tradnl" w:eastAsia="ar-SA"/>
        </w:rPr>
      </w:pPr>
    </w:p>
    <w:p w14:paraId="31BDAF38" w14:textId="77777777" w:rsidR="002A2E6A" w:rsidRPr="008966DD" w:rsidRDefault="002A2E6A" w:rsidP="002A2E6A">
      <w:pPr>
        <w:suppressAutoHyphens/>
        <w:jc w:val="center"/>
        <w:rPr>
          <w:rFonts w:eastAsia="Arial"/>
          <w:b/>
          <w:sz w:val="24"/>
          <w:lang w:val="es-ES_tradnl" w:eastAsia="ar-SA"/>
        </w:rPr>
      </w:pPr>
    </w:p>
    <w:p w14:paraId="54F7D24E" w14:textId="77777777" w:rsidR="002A2E6A" w:rsidRPr="008966DD" w:rsidRDefault="002A2E6A" w:rsidP="002A2E6A">
      <w:pPr>
        <w:suppressAutoHyphens/>
        <w:jc w:val="center"/>
        <w:rPr>
          <w:rFonts w:eastAsia="Arial"/>
          <w:b/>
          <w:sz w:val="24"/>
          <w:lang w:val="es-ES_tradnl" w:eastAsia="ar-SA"/>
        </w:rPr>
      </w:pPr>
    </w:p>
    <w:p w14:paraId="424BE7CE" w14:textId="77777777" w:rsidR="002A2E6A" w:rsidRPr="008966DD" w:rsidRDefault="002A2E6A" w:rsidP="002A2E6A">
      <w:pPr>
        <w:keepNext/>
        <w:suppressAutoHyphens/>
        <w:spacing w:before="240" w:after="60"/>
        <w:ind w:right="-852"/>
        <w:jc w:val="center"/>
        <w:outlineLvl w:val="0"/>
        <w:rPr>
          <w:rFonts w:eastAsia="Calibri"/>
          <w:b/>
          <w:bCs/>
          <w:iCs/>
          <w:noProof/>
          <w:kern w:val="32"/>
          <w:sz w:val="56"/>
          <w:szCs w:val="56"/>
          <w:lang w:val="es-ES" w:eastAsia="ar-SA"/>
        </w:rPr>
        <w:sectPr w:rsidR="002A2E6A" w:rsidRPr="008966DD" w:rsidSect="002A2E6A">
          <w:footerReference w:type="default" r:id="rId8"/>
          <w:type w:val="continuous"/>
          <w:pgSz w:w="12240" w:h="15840" w:code="1"/>
          <w:pgMar w:top="720" w:right="720" w:bottom="720" w:left="720" w:header="288" w:footer="288" w:gutter="0"/>
          <w:cols w:num="2" w:space="720"/>
          <w:docGrid w:linePitch="360"/>
        </w:sectPr>
      </w:pPr>
    </w:p>
    <w:p w14:paraId="7508B222" w14:textId="77777777" w:rsidR="002A2E6A" w:rsidRDefault="002A2E6A" w:rsidP="002A2E6A">
      <w:pPr>
        <w:keepNext/>
        <w:suppressAutoHyphens/>
        <w:spacing w:before="240" w:after="60"/>
        <w:ind w:left="1800" w:right="-852"/>
        <w:outlineLvl w:val="0"/>
        <w:rPr>
          <w:rFonts w:eastAsia="Calibri"/>
          <w:i/>
          <w:noProof/>
          <w:sz w:val="52"/>
          <w:szCs w:val="52"/>
          <w:lang w:val="es-ES" w:eastAsia="ar-SA"/>
        </w:rPr>
      </w:pPr>
      <w:r w:rsidRPr="008966DD">
        <w:rPr>
          <w:rFonts w:eastAsia="Calibri"/>
          <w:b/>
          <w:bCs/>
          <w:iCs/>
          <w:noProof/>
          <w:kern w:val="32"/>
          <w:sz w:val="56"/>
          <w:szCs w:val="56"/>
          <w:lang w:val="es-ES" w:eastAsia="ar-SA"/>
        </w:rPr>
        <w:t>Boletín Fármacos:</w:t>
      </w:r>
    </w:p>
    <w:p w14:paraId="69A6BC8F" w14:textId="77777777" w:rsidR="002A2E6A" w:rsidRPr="008966DD" w:rsidRDefault="002A2E6A" w:rsidP="002A2E6A">
      <w:pPr>
        <w:keepNext/>
        <w:suppressAutoHyphens/>
        <w:spacing w:before="240" w:after="60"/>
        <w:ind w:right="-852"/>
        <w:outlineLvl w:val="0"/>
        <w:rPr>
          <w:rFonts w:eastAsia="Calibri"/>
          <w:i/>
          <w:noProof/>
          <w:sz w:val="52"/>
          <w:szCs w:val="52"/>
          <w:lang w:val="es-ES" w:eastAsia="ar-SA"/>
        </w:rPr>
      </w:pPr>
      <w:r>
        <w:rPr>
          <w:rFonts w:eastAsia="Calibri"/>
          <w:i/>
          <w:noProof/>
          <w:sz w:val="52"/>
          <w:szCs w:val="52"/>
          <w:lang w:val="es-ES" w:eastAsia="ar-SA"/>
        </w:rPr>
        <w:t xml:space="preserve">                        Agencias Reguladoras</w:t>
      </w:r>
    </w:p>
    <w:p w14:paraId="3C9C9DAE" w14:textId="77777777" w:rsidR="002A2E6A" w:rsidRPr="008966DD" w:rsidRDefault="002A2E6A" w:rsidP="002A2E6A">
      <w:pPr>
        <w:suppressAutoHyphens/>
        <w:jc w:val="center"/>
        <w:rPr>
          <w:rFonts w:eastAsia="Calibri"/>
          <w:noProof/>
          <w:sz w:val="24"/>
          <w:lang w:val="es-ES" w:eastAsia="ar-SA"/>
        </w:rPr>
      </w:pPr>
    </w:p>
    <w:p w14:paraId="5F59ECFB" w14:textId="77777777" w:rsidR="002A2E6A" w:rsidRPr="008966DD" w:rsidRDefault="002A2E6A" w:rsidP="002A2E6A">
      <w:pPr>
        <w:keepNext/>
        <w:suppressAutoHyphens/>
        <w:spacing w:before="240" w:after="60"/>
        <w:jc w:val="center"/>
        <w:outlineLvl w:val="1"/>
        <w:rPr>
          <w:rFonts w:eastAsia="Calibri"/>
          <w:b/>
          <w:bCs/>
          <w:i/>
          <w:iCs/>
          <w:noProof/>
          <w:sz w:val="32"/>
          <w:szCs w:val="32"/>
          <w:lang w:val="es-ES" w:eastAsia="ar-SA"/>
        </w:rPr>
      </w:pPr>
      <w:r w:rsidRPr="008966DD">
        <w:rPr>
          <w:rFonts w:eastAsia="Calibri"/>
          <w:b/>
          <w:bCs/>
          <w:i/>
          <w:iCs/>
          <w:noProof/>
          <w:sz w:val="32"/>
          <w:szCs w:val="32"/>
          <w:lang w:val="es-ES" w:eastAsia="ar-SA"/>
        </w:rPr>
        <w:t>Boletín electrónico para fomentar</w:t>
      </w:r>
    </w:p>
    <w:p w14:paraId="17E5520C" w14:textId="77777777" w:rsidR="002A2E6A" w:rsidRPr="008966DD" w:rsidRDefault="002A2E6A" w:rsidP="002A2E6A">
      <w:pPr>
        <w:suppressAutoHyphens/>
        <w:jc w:val="center"/>
        <w:rPr>
          <w:rFonts w:eastAsia="Calibri"/>
          <w:b/>
          <w:noProof/>
          <w:sz w:val="32"/>
          <w:szCs w:val="32"/>
          <w:lang w:val="es-ES" w:eastAsia="ar-SA"/>
        </w:rPr>
      </w:pPr>
      <w:r w:rsidRPr="008966DD">
        <w:rPr>
          <w:rFonts w:eastAsia="Calibri"/>
          <w:b/>
          <w:bCs/>
          <w:i/>
          <w:iCs/>
          <w:noProof/>
          <w:sz w:val="32"/>
          <w:szCs w:val="32"/>
          <w:lang w:val="es-ES" w:eastAsia="ar-SA"/>
        </w:rPr>
        <w:t>el acceso y el uso adecuado de medicamentos</w:t>
      </w:r>
    </w:p>
    <w:p w14:paraId="5389494F" w14:textId="77777777" w:rsidR="002A2E6A" w:rsidRPr="008966DD" w:rsidRDefault="00B00DA4" w:rsidP="002A2E6A">
      <w:pPr>
        <w:suppressAutoHyphens/>
        <w:jc w:val="center"/>
        <w:rPr>
          <w:rFonts w:eastAsia="Calibri"/>
          <w:noProof/>
          <w:color w:val="0000FF"/>
          <w:sz w:val="32"/>
          <w:szCs w:val="32"/>
          <w:u w:val="single"/>
          <w:lang w:val="es-ES" w:eastAsia="ar-SA"/>
        </w:rPr>
      </w:pPr>
      <w:hyperlink r:id="rId9" w:history="1">
        <w:r w:rsidR="002A2E6A" w:rsidRPr="008966DD">
          <w:rPr>
            <w:rFonts w:eastAsia="Calibri"/>
            <w:noProof/>
            <w:color w:val="0000FF"/>
            <w:sz w:val="32"/>
            <w:szCs w:val="32"/>
            <w:u w:val="single"/>
            <w:lang w:val="es-ES" w:eastAsia="ar-SA"/>
          </w:rPr>
          <w:t>http://www.saludyfarmacos.org/boletin-farmacos/</w:t>
        </w:r>
      </w:hyperlink>
    </w:p>
    <w:p w14:paraId="54CE4952" w14:textId="77777777" w:rsidR="002A2E6A" w:rsidRPr="008966DD" w:rsidRDefault="002A2E6A" w:rsidP="002A2E6A">
      <w:pPr>
        <w:suppressAutoHyphens/>
        <w:jc w:val="center"/>
        <w:rPr>
          <w:rFonts w:eastAsia="Calibri"/>
          <w:noProof/>
          <w:color w:val="0000FF"/>
          <w:sz w:val="32"/>
          <w:szCs w:val="32"/>
          <w:u w:val="single"/>
          <w:lang w:val="es-ES" w:eastAsia="ar-SA"/>
        </w:rPr>
      </w:pPr>
    </w:p>
    <w:p w14:paraId="08DF9EAB" w14:textId="77777777" w:rsidR="002A2E6A" w:rsidRPr="008966DD" w:rsidRDefault="002A2E6A" w:rsidP="002A2E6A">
      <w:pPr>
        <w:suppressAutoHyphens/>
        <w:jc w:val="center"/>
        <w:rPr>
          <w:rFonts w:eastAsia="Calibri"/>
          <w:noProof/>
          <w:color w:val="0000FF"/>
          <w:sz w:val="32"/>
          <w:szCs w:val="32"/>
          <w:u w:val="single"/>
          <w:lang w:val="es-ES" w:eastAsia="ar-SA"/>
        </w:rPr>
      </w:pPr>
    </w:p>
    <w:p w14:paraId="05D6AB5D" w14:textId="77777777" w:rsidR="002A2E6A" w:rsidRPr="008966DD" w:rsidRDefault="002A2E6A" w:rsidP="002A2E6A">
      <w:pPr>
        <w:suppressAutoHyphens/>
        <w:jc w:val="center"/>
        <w:rPr>
          <w:rFonts w:eastAsia="Calibri"/>
          <w:noProof/>
          <w:sz w:val="32"/>
          <w:szCs w:val="32"/>
          <w:lang w:val="es-ES" w:eastAsia="ar-SA"/>
        </w:rPr>
      </w:pPr>
    </w:p>
    <w:p w14:paraId="1778CCD4" w14:textId="77777777" w:rsidR="002A2E6A" w:rsidRPr="008966DD" w:rsidRDefault="002A2E6A" w:rsidP="002A2E6A">
      <w:pPr>
        <w:suppressAutoHyphens/>
        <w:jc w:val="center"/>
        <w:rPr>
          <w:rFonts w:eastAsia="Calibri"/>
          <w:noProof/>
          <w:sz w:val="32"/>
          <w:szCs w:val="32"/>
          <w:lang w:val="es-ES" w:eastAsia="ar-SA"/>
        </w:rPr>
      </w:pPr>
    </w:p>
    <w:p w14:paraId="1056A3C8" w14:textId="77777777" w:rsidR="002A2E6A" w:rsidRPr="008966DD" w:rsidRDefault="002A2E6A" w:rsidP="002A2E6A">
      <w:pPr>
        <w:suppressAutoHyphens/>
        <w:jc w:val="center"/>
        <w:rPr>
          <w:rFonts w:eastAsia="Calibri"/>
          <w:noProof/>
          <w:sz w:val="32"/>
          <w:szCs w:val="32"/>
          <w:lang w:val="es-ES" w:eastAsia="ar-SA"/>
        </w:rPr>
      </w:pPr>
      <w:r w:rsidRPr="008966DD">
        <w:rPr>
          <w:rFonts w:ascii="Arial" w:eastAsia="Arial" w:hAnsi="Arial" w:cs="Arial"/>
          <w:noProof/>
          <w:sz w:val="22"/>
          <w:szCs w:val="22"/>
          <w:lang w:val="es-AR"/>
        </w:rPr>
        <w:drawing>
          <wp:inline distT="0" distB="0" distL="0" distR="0" wp14:anchorId="2D3CE1B0" wp14:editId="13AAE58C">
            <wp:extent cx="2522482" cy="937238"/>
            <wp:effectExtent l="0" t="0" r="0" b="0"/>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64810" cy="952965"/>
                    </a:xfrm>
                    <a:prstGeom prst="rect">
                      <a:avLst/>
                    </a:prstGeom>
                    <a:noFill/>
                    <a:ln>
                      <a:noFill/>
                    </a:ln>
                  </pic:spPr>
                </pic:pic>
              </a:graphicData>
            </a:graphic>
          </wp:inline>
        </w:drawing>
      </w:r>
    </w:p>
    <w:p w14:paraId="66D5DD10" w14:textId="77777777" w:rsidR="002A2E6A" w:rsidRPr="008966DD" w:rsidRDefault="002A2E6A" w:rsidP="002A2E6A">
      <w:pPr>
        <w:suppressAutoHyphens/>
        <w:rPr>
          <w:rFonts w:eastAsia="Calibri"/>
          <w:b/>
          <w:bCs/>
          <w:noProof/>
          <w:sz w:val="24"/>
          <w:lang w:val="es-ES" w:eastAsia="ar-SA"/>
        </w:rPr>
      </w:pPr>
    </w:p>
    <w:p w14:paraId="358E8B80" w14:textId="77777777" w:rsidR="002A2E6A" w:rsidRPr="008966DD" w:rsidRDefault="002A2E6A" w:rsidP="002A2E6A">
      <w:pPr>
        <w:suppressAutoHyphens/>
        <w:rPr>
          <w:rFonts w:eastAsia="Calibri"/>
          <w:b/>
          <w:bCs/>
          <w:noProof/>
          <w:sz w:val="24"/>
          <w:lang w:val="es-ES" w:eastAsia="ar-SA"/>
        </w:rPr>
      </w:pPr>
    </w:p>
    <w:p w14:paraId="388A7B6D" w14:textId="77777777" w:rsidR="002A2E6A" w:rsidRPr="008966DD" w:rsidRDefault="002A2E6A" w:rsidP="002A2E6A">
      <w:pPr>
        <w:suppressAutoHyphens/>
        <w:rPr>
          <w:rFonts w:eastAsia="Calibri"/>
          <w:b/>
          <w:bCs/>
          <w:noProof/>
          <w:sz w:val="24"/>
          <w:lang w:val="es-ES" w:eastAsia="ar-SA"/>
        </w:rPr>
      </w:pPr>
    </w:p>
    <w:p w14:paraId="33ADDAD7" w14:textId="77777777" w:rsidR="002A2E6A" w:rsidRPr="008966DD" w:rsidRDefault="002A2E6A" w:rsidP="002A2E6A">
      <w:pPr>
        <w:suppressAutoHyphens/>
        <w:rPr>
          <w:rFonts w:eastAsia="Calibri"/>
          <w:b/>
          <w:bCs/>
          <w:noProof/>
          <w:sz w:val="24"/>
          <w:lang w:val="es-ES" w:eastAsia="ar-SA"/>
        </w:rPr>
      </w:pPr>
    </w:p>
    <w:p w14:paraId="2FB14691" w14:textId="77777777" w:rsidR="002A2E6A" w:rsidRPr="008966DD" w:rsidRDefault="002A2E6A" w:rsidP="002A2E6A">
      <w:pPr>
        <w:suppressAutoHyphens/>
        <w:rPr>
          <w:rFonts w:eastAsia="Calibri"/>
          <w:b/>
          <w:bCs/>
          <w:noProof/>
          <w:sz w:val="24"/>
          <w:lang w:val="es-ES" w:eastAsia="ar-SA"/>
        </w:rPr>
      </w:pPr>
    </w:p>
    <w:p w14:paraId="3EED080F" w14:textId="77777777" w:rsidR="002A2E6A" w:rsidRPr="008966DD" w:rsidRDefault="002A2E6A" w:rsidP="002A2E6A">
      <w:pPr>
        <w:suppressAutoHyphens/>
        <w:rPr>
          <w:rFonts w:eastAsia="Calibri"/>
          <w:b/>
          <w:bCs/>
          <w:noProof/>
          <w:sz w:val="24"/>
          <w:lang w:val="es-ES" w:eastAsia="ar-SA"/>
        </w:rPr>
      </w:pPr>
    </w:p>
    <w:p w14:paraId="265B0A0F" w14:textId="77777777" w:rsidR="002A2E6A" w:rsidRPr="008966DD" w:rsidRDefault="002A2E6A" w:rsidP="002A2E6A">
      <w:pPr>
        <w:suppressAutoHyphens/>
        <w:rPr>
          <w:rFonts w:eastAsia="Calibri"/>
          <w:b/>
          <w:bCs/>
          <w:noProof/>
          <w:sz w:val="24"/>
          <w:lang w:val="es-ES" w:eastAsia="ar-SA"/>
        </w:rPr>
      </w:pPr>
    </w:p>
    <w:p w14:paraId="0D9D966D" w14:textId="77777777" w:rsidR="002A2E6A" w:rsidRPr="008966DD" w:rsidRDefault="002A2E6A" w:rsidP="002A2E6A">
      <w:pPr>
        <w:suppressAutoHyphens/>
        <w:jc w:val="right"/>
        <w:rPr>
          <w:rFonts w:eastAsia="Calibri"/>
          <w:b/>
          <w:bCs/>
          <w:noProof/>
          <w:sz w:val="32"/>
          <w:szCs w:val="32"/>
          <w:lang w:val="es-ES" w:eastAsia="ar-SA"/>
        </w:rPr>
      </w:pPr>
    </w:p>
    <w:p w14:paraId="71A0972E" w14:textId="77777777" w:rsidR="002A2E6A" w:rsidRPr="008966DD" w:rsidRDefault="002A2E6A" w:rsidP="002A2E6A">
      <w:pPr>
        <w:suppressAutoHyphens/>
        <w:jc w:val="right"/>
        <w:rPr>
          <w:rFonts w:eastAsia="Calibri"/>
          <w:b/>
          <w:bCs/>
          <w:noProof/>
          <w:sz w:val="32"/>
          <w:szCs w:val="32"/>
          <w:lang w:val="es-ES" w:eastAsia="ar-SA"/>
        </w:rPr>
      </w:pPr>
    </w:p>
    <w:p w14:paraId="38D4B9C5" w14:textId="77777777" w:rsidR="002A2E6A" w:rsidRPr="008966DD" w:rsidRDefault="002A2E6A" w:rsidP="002A2E6A">
      <w:pPr>
        <w:suppressAutoHyphens/>
        <w:jc w:val="right"/>
        <w:rPr>
          <w:rFonts w:eastAsia="Calibri"/>
          <w:b/>
          <w:bCs/>
          <w:noProof/>
          <w:sz w:val="32"/>
          <w:szCs w:val="32"/>
          <w:lang w:val="es-ES" w:eastAsia="ar-SA"/>
        </w:rPr>
      </w:pPr>
    </w:p>
    <w:p w14:paraId="53E7905C" w14:textId="2E6E8899" w:rsidR="002A2E6A" w:rsidRPr="008966DD" w:rsidRDefault="002A2E6A" w:rsidP="002A2E6A">
      <w:pPr>
        <w:suppressAutoHyphens/>
        <w:jc w:val="right"/>
        <w:rPr>
          <w:rFonts w:eastAsia="Calibri"/>
          <w:b/>
          <w:bCs/>
          <w:noProof/>
          <w:sz w:val="32"/>
          <w:szCs w:val="32"/>
          <w:lang w:val="es-ES" w:eastAsia="ar-SA"/>
        </w:rPr>
      </w:pPr>
      <w:r w:rsidRPr="008966DD">
        <w:rPr>
          <w:rFonts w:eastAsia="Calibri"/>
          <w:b/>
          <w:bCs/>
          <w:noProof/>
          <w:sz w:val="32"/>
          <w:szCs w:val="32"/>
          <w:lang w:val="es-ES" w:eastAsia="ar-SA"/>
        </w:rPr>
        <w:t>Volumen 2</w:t>
      </w:r>
      <w:r>
        <w:rPr>
          <w:rFonts w:eastAsia="Calibri"/>
          <w:b/>
          <w:bCs/>
          <w:noProof/>
          <w:sz w:val="32"/>
          <w:szCs w:val="32"/>
          <w:lang w:val="es-ES" w:eastAsia="ar-SA"/>
        </w:rPr>
        <w:t>9</w:t>
      </w:r>
      <w:r w:rsidRPr="008966DD">
        <w:rPr>
          <w:rFonts w:eastAsia="Calibri"/>
          <w:b/>
          <w:bCs/>
          <w:noProof/>
          <w:sz w:val="32"/>
          <w:szCs w:val="32"/>
          <w:lang w:val="es-ES" w:eastAsia="ar-SA"/>
        </w:rPr>
        <w:t xml:space="preserve">, número </w:t>
      </w:r>
      <w:r>
        <w:rPr>
          <w:rFonts w:eastAsia="Calibri"/>
          <w:b/>
          <w:bCs/>
          <w:noProof/>
          <w:sz w:val="32"/>
          <w:szCs w:val="32"/>
          <w:lang w:val="es-ES" w:eastAsia="ar-SA"/>
        </w:rPr>
        <w:t>3</w:t>
      </w:r>
      <w:r w:rsidRPr="008966DD">
        <w:rPr>
          <w:rFonts w:eastAsia="Calibri"/>
          <w:b/>
          <w:bCs/>
          <w:noProof/>
          <w:sz w:val="32"/>
          <w:szCs w:val="32"/>
          <w:lang w:val="es-ES" w:eastAsia="ar-SA"/>
        </w:rPr>
        <w:t xml:space="preserve">, </w:t>
      </w:r>
      <w:r>
        <w:rPr>
          <w:rFonts w:eastAsia="Calibri"/>
          <w:b/>
          <w:bCs/>
          <w:noProof/>
          <w:sz w:val="32"/>
          <w:szCs w:val="32"/>
          <w:lang w:val="es-ES" w:eastAsia="ar-SA"/>
        </w:rPr>
        <w:t>agosto de</w:t>
      </w:r>
      <w:r w:rsidRPr="008966DD">
        <w:rPr>
          <w:rFonts w:eastAsia="Calibri"/>
          <w:b/>
          <w:bCs/>
          <w:noProof/>
          <w:sz w:val="32"/>
          <w:szCs w:val="32"/>
          <w:lang w:val="es-ES" w:eastAsia="ar-SA"/>
        </w:rPr>
        <w:t xml:space="preserve"> 202</w:t>
      </w:r>
      <w:r>
        <w:rPr>
          <w:rFonts w:eastAsia="Calibri"/>
          <w:b/>
          <w:bCs/>
          <w:noProof/>
          <w:sz w:val="32"/>
          <w:szCs w:val="32"/>
          <w:lang w:val="es-ES" w:eastAsia="ar-SA"/>
        </w:rPr>
        <w:t>6</w:t>
      </w:r>
    </w:p>
    <w:p w14:paraId="7599F26F" w14:textId="77777777" w:rsidR="002A2E6A" w:rsidRPr="008966DD" w:rsidRDefault="002A2E6A" w:rsidP="002A2E6A">
      <w:pPr>
        <w:suppressAutoHyphens/>
        <w:rPr>
          <w:rFonts w:eastAsia="Calibri"/>
          <w:b/>
          <w:bCs/>
          <w:noProof/>
          <w:sz w:val="32"/>
          <w:szCs w:val="32"/>
          <w:lang w:val="es-ES" w:eastAsia="ar-SA"/>
        </w:rPr>
        <w:sectPr w:rsidR="002A2E6A" w:rsidRPr="008966DD" w:rsidSect="000F06D9">
          <w:type w:val="continuous"/>
          <w:pgSz w:w="12240" w:h="15840" w:code="1"/>
          <w:pgMar w:top="720" w:right="720" w:bottom="720" w:left="720" w:header="720" w:footer="720" w:gutter="0"/>
          <w:cols w:space="720"/>
          <w:docGrid w:linePitch="360"/>
        </w:sectPr>
      </w:pPr>
    </w:p>
    <w:p w14:paraId="2DF68470" w14:textId="77777777" w:rsidR="002A2E6A" w:rsidRPr="008966DD" w:rsidRDefault="002A2E6A" w:rsidP="002A2E6A">
      <w:pPr>
        <w:suppressAutoHyphens/>
        <w:rPr>
          <w:rFonts w:eastAsia="Calibri"/>
          <w:b/>
          <w:bCs/>
          <w:noProof/>
          <w:sz w:val="24"/>
          <w:lang w:val="es-ES" w:eastAsia="ar-SA"/>
        </w:rPr>
        <w:sectPr w:rsidR="002A2E6A" w:rsidRPr="008966DD" w:rsidSect="000F06D9">
          <w:type w:val="continuous"/>
          <w:pgSz w:w="12240" w:h="15840" w:code="1"/>
          <w:pgMar w:top="720" w:right="720" w:bottom="720" w:left="720" w:header="720" w:footer="720" w:gutter="0"/>
          <w:cols w:num="2" w:space="720"/>
          <w:docGrid w:linePitch="360"/>
        </w:sectPr>
      </w:pPr>
    </w:p>
    <w:tbl>
      <w:tblPr>
        <w:tblW w:w="0" w:type="auto"/>
        <w:tblLook w:val="01E0" w:firstRow="1" w:lastRow="1" w:firstColumn="1" w:lastColumn="1" w:noHBand="0" w:noVBand="0"/>
      </w:tblPr>
      <w:tblGrid>
        <w:gridCol w:w="2107"/>
        <w:gridCol w:w="8411"/>
      </w:tblGrid>
      <w:tr w:rsidR="002A2E6A" w:rsidRPr="00F773C2" w14:paraId="400DCF75" w14:textId="77777777" w:rsidTr="00534E78">
        <w:tc>
          <w:tcPr>
            <w:tcW w:w="1927" w:type="dxa"/>
          </w:tcPr>
          <w:p w14:paraId="654376C1" w14:textId="77777777" w:rsidR="002A2E6A" w:rsidRPr="00F773C2" w:rsidRDefault="002A2E6A" w:rsidP="00534E78">
            <w:pPr>
              <w:suppressAutoHyphens/>
              <w:rPr>
                <w:rFonts w:eastAsia="Calibri"/>
                <w:noProof/>
                <w:sz w:val="28"/>
                <w:szCs w:val="28"/>
                <w:lang w:val="es-ES" w:eastAsia="ar-SA"/>
              </w:rPr>
            </w:pPr>
            <w:r w:rsidRPr="00F773C2">
              <w:rPr>
                <w:rFonts w:eastAsia="Calibri"/>
                <w:b/>
                <w:bCs/>
                <w:noProof/>
                <w:sz w:val="28"/>
                <w:szCs w:val="28"/>
                <w:lang w:val="es-ES" w:eastAsia="ar-SA"/>
              </w:rPr>
              <w:lastRenderedPageBreak/>
              <w:br w:type="page"/>
            </w:r>
            <w:r w:rsidRPr="00F773C2">
              <w:rPr>
                <w:rFonts w:ascii="Arial" w:eastAsia="Arial" w:hAnsi="Arial" w:cs="Arial"/>
                <w:noProof/>
                <w:sz w:val="28"/>
                <w:szCs w:val="28"/>
                <w:lang w:val="es-AR"/>
              </w:rPr>
              <w:drawing>
                <wp:inline distT="0" distB="0" distL="0" distR="0" wp14:anchorId="1E34EB37" wp14:editId="6F30536A">
                  <wp:extent cx="1200818" cy="1177636"/>
                  <wp:effectExtent l="0" t="0" r="0" b="3810"/>
                  <wp:docPr id="4" name="Picture 4"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ico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2461" cy="1208668"/>
                          </a:xfrm>
                          <a:prstGeom prst="rect">
                            <a:avLst/>
                          </a:prstGeom>
                          <a:noFill/>
                          <a:ln>
                            <a:noFill/>
                          </a:ln>
                        </pic:spPr>
                      </pic:pic>
                    </a:graphicData>
                  </a:graphic>
                </wp:inline>
              </w:drawing>
            </w:r>
          </w:p>
        </w:tc>
        <w:tc>
          <w:tcPr>
            <w:tcW w:w="8411" w:type="dxa"/>
          </w:tcPr>
          <w:p w14:paraId="682FC18C" w14:textId="77777777" w:rsidR="002A2E6A" w:rsidRPr="00F773C2" w:rsidRDefault="002A2E6A" w:rsidP="00534E78">
            <w:pPr>
              <w:suppressAutoHyphens/>
              <w:rPr>
                <w:rFonts w:eastAsia="Calibri"/>
                <w:b/>
                <w:bCs/>
                <w:i/>
                <w:iCs/>
                <w:noProof/>
                <w:sz w:val="28"/>
                <w:szCs w:val="28"/>
                <w:lang w:val="es-ES" w:eastAsia="ar-SA"/>
              </w:rPr>
            </w:pPr>
          </w:p>
          <w:p w14:paraId="0B21063B" w14:textId="77777777" w:rsidR="002A2E6A" w:rsidRPr="00F773C2" w:rsidRDefault="002A2E6A" w:rsidP="00534E78">
            <w:pPr>
              <w:suppressAutoHyphens/>
              <w:rPr>
                <w:rFonts w:eastAsia="Calibri"/>
                <w:b/>
                <w:bCs/>
                <w:i/>
                <w:iCs/>
                <w:noProof/>
                <w:sz w:val="28"/>
                <w:szCs w:val="28"/>
                <w:lang w:val="es-ES" w:eastAsia="ar-SA"/>
              </w:rPr>
            </w:pPr>
          </w:p>
          <w:p w14:paraId="0CF8CE44" w14:textId="77777777" w:rsidR="002A2E6A" w:rsidRPr="00F773C2" w:rsidRDefault="002A2E6A" w:rsidP="00534E78">
            <w:pPr>
              <w:suppressAutoHyphens/>
              <w:rPr>
                <w:rFonts w:eastAsia="Calibri"/>
                <w:noProof/>
                <w:sz w:val="28"/>
                <w:szCs w:val="28"/>
                <w:lang w:val="es-ES" w:eastAsia="ar-SA"/>
              </w:rPr>
            </w:pPr>
            <w:r w:rsidRPr="00F773C2">
              <w:rPr>
                <w:rFonts w:eastAsia="Calibri"/>
                <w:b/>
                <w:bCs/>
                <w:i/>
                <w:iCs/>
                <w:noProof/>
                <w:sz w:val="28"/>
                <w:szCs w:val="28"/>
                <w:lang w:val="es-ES" w:eastAsia="ar-SA"/>
              </w:rPr>
              <w:t>Boletín Fármacos</w:t>
            </w:r>
            <w:r w:rsidRPr="00F773C2">
              <w:rPr>
                <w:rFonts w:eastAsia="Calibri"/>
                <w:i/>
                <w:iCs/>
                <w:noProof/>
                <w:sz w:val="28"/>
                <w:szCs w:val="28"/>
                <w:lang w:val="es-ES" w:eastAsia="ar-SA"/>
              </w:rPr>
              <w:t xml:space="preserve"> </w:t>
            </w:r>
            <w:r w:rsidRPr="00F773C2">
              <w:rPr>
                <w:rFonts w:eastAsia="Calibri"/>
                <w:noProof/>
                <w:sz w:val="28"/>
                <w:szCs w:val="28"/>
                <w:lang w:val="es-ES" w:eastAsia="ar-SA"/>
              </w:rPr>
              <w:t xml:space="preserve">es un boletín electrónico de la </w:t>
            </w:r>
            <w:r w:rsidRPr="00F773C2">
              <w:rPr>
                <w:rFonts w:eastAsia="Calibri"/>
                <w:b/>
                <w:bCs/>
                <w:noProof/>
                <w:sz w:val="28"/>
                <w:szCs w:val="28"/>
                <w:lang w:val="es-ES" w:eastAsia="ar-SA"/>
              </w:rPr>
              <w:t>organización Salud y Fármacos</w:t>
            </w:r>
            <w:r w:rsidRPr="00F773C2">
              <w:rPr>
                <w:rFonts w:eastAsia="Calibri"/>
                <w:noProof/>
                <w:sz w:val="28"/>
                <w:szCs w:val="28"/>
                <w:lang w:val="es-ES" w:eastAsia="ar-SA"/>
              </w:rPr>
              <w:t xml:space="preserve"> que se publica cuatro veces al año: el último día de cada uno de los siguientes meses: febrero, mayo, agosto y noviembre. </w:t>
            </w:r>
          </w:p>
        </w:tc>
      </w:tr>
    </w:tbl>
    <w:p w14:paraId="6CDCA3A7" w14:textId="77777777" w:rsidR="002A2E6A" w:rsidRPr="00F773C2" w:rsidRDefault="002A2E6A" w:rsidP="002A2E6A">
      <w:pPr>
        <w:suppressAutoHyphens/>
        <w:jc w:val="center"/>
        <w:rPr>
          <w:rFonts w:eastAsia="Calibri"/>
          <w:b/>
          <w:bCs/>
          <w:noProof/>
          <w:sz w:val="28"/>
          <w:szCs w:val="28"/>
          <w:u w:val="single"/>
          <w:lang w:val="es-ES" w:eastAsia="ar-SA"/>
        </w:rPr>
        <w:sectPr w:rsidR="002A2E6A" w:rsidRPr="00F773C2" w:rsidSect="000F06D9">
          <w:headerReference w:type="default" r:id="rId12"/>
          <w:pgSz w:w="12240" w:h="15840" w:code="1"/>
          <w:pgMar w:top="720" w:right="720" w:bottom="720" w:left="720" w:header="720" w:footer="720" w:gutter="0"/>
          <w:cols w:space="720"/>
          <w:docGrid w:linePitch="299"/>
        </w:sectPr>
      </w:pPr>
    </w:p>
    <w:p w14:paraId="677F29F0" w14:textId="77777777" w:rsidR="002A2E6A" w:rsidRPr="00F773C2" w:rsidRDefault="002A2E6A" w:rsidP="002A2E6A">
      <w:pPr>
        <w:suppressAutoHyphens/>
        <w:jc w:val="center"/>
        <w:rPr>
          <w:rFonts w:eastAsia="Calibri"/>
          <w:noProof/>
          <w:sz w:val="28"/>
          <w:szCs w:val="28"/>
          <w:lang w:val="pt-BR" w:eastAsia="ar-SA"/>
        </w:rPr>
      </w:pPr>
      <w:r w:rsidRPr="00F773C2">
        <w:rPr>
          <w:rFonts w:eastAsia="Calibri"/>
          <w:b/>
          <w:bCs/>
          <w:noProof/>
          <w:sz w:val="28"/>
          <w:szCs w:val="28"/>
          <w:u w:val="single"/>
          <w:lang w:val="pt-BR" w:eastAsia="ar-SA"/>
        </w:rPr>
        <w:t>Editores</w:t>
      </w:r>
    </w:p>
    <w:p w14:paraId="1478C82A" w14:textId="77777777" w:rsidR="002A2E6A" w:rsidRPr="00F773C2" w:rsidRDefault="002A2E6A" w:rsidP="002A2E6A">
      <w:pPr>
        <w:suppressAutoHyphens/>
        <w:jc w:val="center"/>
        <w:rPr>
          <w:rFonts w:eastAsia="Calibri"/>
          <w:noProof/>
          <w:sz w:val="28"/>
          <w:szCs w:val="28"/>
          <w:lang w:val="pt-BR" w:eastAsia="ar-SA"/>
        </w:rPr>
      </w:pPr>
      <w:r w:rsidRPr="00F773C2">
        <w:rPr>
          <w:rFonts w:eastAsia="Calibri"/>
          <w:noProof/>
          <w:sz w:val="28"/>
          <w:szCs w:val="28"/>
          <w:lang w:val="pt-BR" w:eastAsia="ar-SA"/>
        </w:rPr>
        <w:t>Núria Homedes Beguer, EE.UU.</w:t>
      </w:r>
    </w:p>
    <w:p w14:paraId="78A39CEA" w14:textId="77777777" w:rsidR="002A2E6A" w:rsidRPr="00F773C2" w:rsidRDefault="002A2E6A" w:rsidP="002A2E6A">
      <w:pPr>
        <w:suppressAutoHyphens/>
        <w:jc w:val="center"/>
        <w:rPr>
          <w:rFonts w:eastAsia="Calibri"/>
          <w:noProof/>
          <w:sz w:val="28"/>
          <w:szCs w:val="28"/>
          <w:lang w:val="es-ES" w:eastAsia="ar-SA"/>
        </w:rPr>
      </w:pPr>
      <w:r w:rsidRPr="00F773C2">
        <w:rPr>
          <w:rFonts w:eastAsia="Calibri"/>
          <w:noProof/>
          <w:sz w:val="28"/>
          <w:szCs w:val="28"/>
          <w:lang w:val="es-ES" w:eastAsia="ar-SA"/>
        </w:rPr>
        <w:t>Antonio Ugalde, EE.UU.</w:t>
      </w:r>
    </w:p>
    <w:p w14:paraId="37C7BCE9" w14:textId="77777777" w:rsidR="002A2E6A" w:rsidRPr="00F773C2" w:rsidRDefault="002A2E6A" w:rsidP="002A2E6A">
      <w:pPr>
        <w:suppressAutoHyphens/>
        <w:jc w:val="center"/>
        <w:rPr>
          <w:rFonts w:eastAsia="Calibri"/>
          <w:noProof/>
          <w:sz w:val="28"/>
          <w:szCs w:val="28"/>
          <w:lang w:val="es-ES" w:eastAsia="ar-SA"/>
        </w:rPr>
      </w:pPr>
      <w:r w:rsidRPr="00F773C2">
        <w:rPr>
          <w:rFonts w:eastAsia="Calibri"/>
          <w:noProof/>
          <w:sz w:val="28"/>
          <w:szCs w:val="28"/>
          <w:lang w:val="es-ES" w:eastAsia="ar-SA"/>
        </w:rPr>
        <w:t>Natalia Castrillón, Colombia</w:t>
      </w:r>
    </w:p>
    <w:p w14:paraId="04A712E3" w14:textId="77777777" w:rsidR="002A2E6A" w:rsidRPr="00F773C2" w:rsidRDefault="002A2E6A" w:rsidP="002A2E6A">
      <w:pPr>
        <w:suppressAutoHyphens/>
        <w:jc w:val="center"/>
        <w:rPr>
          <w:rFonts w:eastAsia="Calibri"/>
          <w:noProof/>
          <w:sz w:val="28"/>
          <w:szCs w:val="28"/>
          <w:lang w:val="es-ES" w:eastAsia="ar-SA"/>
        </w:rPr>
      </w:pPr>
    </w:p>
    <w:p w14:paraId="188C3295" w14:textId="77777777" w:rsidR="002A2E6A" w:rsidRPr="00F773C2" w:rsidRDefault="002A2E6A" w:rsidP="002A2E6A">
      <w:pPr>
        <w:suppressAutoHyphens/>
        <w:jc w:val="center"/>
        <w:rPr>
          <w:rFonts w:eastAsia="Calibri"/>
          <w:b/>
          <w:noProof/>
          <w:sz w:val="28"/>
          <w:szCs w:val="28"/>
          <w:u w:val="single"/>
          <w:lang w:val="es-ES" w:eastAsia="ar-SA"/>
        </w:rPr>
      </w:pPr>
      <w:r w:rsidRPr="00F773C2">
        <w:rPr>
          <w:rFonts w:eastAsia="Calibri"/>
          <w:b/>
          <w:noProof/>
          <w:sz w:val="28"/>
          <w:szCs w:val="28"/>
          <w:u w:val="single"/>
          <w:lang w:val="es-ES" w:eastAsia="ar-SA"/>
        </w:rPr>
        <w:t>Asesores en Regulación</w:t>
      </w:r>
    </w:p>
    <w:p w14:paraId="557D46BC" w14:textId="77777777" w:rsidR="002A2E6A" w:rsidRPr="00F773C2" w:rsidRDefault="002A2E6A" w:rsidP="002A2E6A">
      <w:pPr>
        <w:suppressAutoHyphens/>
        <w:jc w:val="center"/>
        <w:rPr>
          <w:rFonts w:eastAsia="Calibri"/>
          <w:noProof/>
          <w:sz w:val="28"/>
          <w:szCs w:val="28"/>
          <w:lang w:val="es-ES" w:eastAsia="ar-SA"/>
        </w:rPr>
      </w:pPr>
      <w:r w:rsidRPr="00F773C2">
        <w:rPr>
          <w:rFonts w:eastAsia="Calibri"/>
          <w:noProof/>
          <w:sz w:val="28"/>
          <w:szCs w:val="28"/>
          <w:lang w:val="es-ES" w:eastAsia="ar-SA"/>
        </w:rPr>
        <w:t>Ricardo Martínez, Argentina</w:t>
      </w:r>
    </w:p>
    <w:p w14:paraId="420F7483" w14:textId="77777777" w:rsidR="002A2E6A" w:rsidRPr="00F773C2" w:rsidRDefault="002A2E6A" w:rsidP="002A2E6A">
      <w:pPr>
        <w:suppressAutoHyphens/>
        <w:jc w:val="center"/>
        <w:rPr>
          <w:rFonts w:eastAsia="Calibri"/>
          <w:noProof/>
          <w:sz w:val="28"/>
          <w:szCs w:val="28"/>
          <w:lang w:val="es-ES" w:eastAsia="ar-SA"/>
        </w:rPr>
      </w:pPr>
    </w:p>
    <w:p w14:paraId="65F593BD" w14:textId="77777777" w:rsidR="002A2E6A" w:rsidRPr="00F773C2" w:rsidRDefault="002A2E6A" w:rsidP="002A2E6A">
      <w:pPr>
        <w:suppressAutoHyphens/>
        <w:jc w:val="center"/>
        <w:rPr>
          <w:rFonts w:eastAsia="Calibri"/>
          <w:b/>
          <w:bCs/>
          <w:noProof/>
          <w:sz w:val="28"/>
          <w:szCs w:val="28"/>
          <w:u w:val="single"/>
          <w:lang w:val="es-ES" w:eastAsia="ar-SA"/>
        </w:rPr>
      </w:pPr>
      <w:bookmarkStart w:id="0" w:name="_Hlk140686104"/>
      <w:r w:rsidRPr="00F773C2">
        <w:rPr>
          <w:rFonts w:eastAsia="Calibri"/>
          <w:b/>
          <w:bCs/>
          <w:noProof/>
          <w:sz w:val="28"/>
          <w:szCs w:val="28"/>
          <w:u w:val="single"/>
          <w:lang w:val="es-ES" w:eastAsia="ar-SA"/>
        </w:rPr>
        <w:t>Corresponsales</w:t>
      </w:r>
    </w:p>
    <w:p w14:paraId="1931A4CF" w14:textId="77777777" w:rsidR="002A2E6A" w:rsidRPr="00F773C2" w:rsidRDefault="002A2E6A" w:rsidP="002A2E6A">
      <w:pPr>
        <w:suppressAutoHyphens/>
        <w:jc w:val="center"/>
        <w:rPr>
          <w:rFonts w:eastAsia="Calibri"/>
          <w:bCs/>
          <w:noProof/>
          <w:sz w:val="28"/>
          <w:szCs w:val="28"/>
          <w:lang w:val="es-ES" w:eastAsia="ar-SA"/>
        </w:rPr>
      </w:pPr>
      <w:r w:rsidRPr="00F773C2">
        <w:rPr>
          <w:rFonts w:eastAsia="Calibri"/>
          <w:bCs/>
          <w:noProof/>
          <w:sz w:val="28"/>
          <w:szCs w:val="28"/>
          <w:lang w:val="es-ES" w:eastAsia="ar-SA"/>
        </w:rPr>
        <w:t>Rafaela Sierra, Centro América</w:t>
      </w:r>
    </w:p>
    <w:p w14:paraId="208C694D" w14:textId="77777777" w:rsidR="002A2E6A" w:rsidRPr="00F773C2" w:rsidRDefault="002A2E6A" w:rsidP="002A2E6A">
      <w:pPr>
        <w:suppressAutoHyphens/>
        <w:jc w:val="center"/>
        <w:rPr>
          <w:rFonts w:eastAsia="Calibri"/>
          <w:bCs/>
          <w:noProof/>
          <w:sz w:val="28"/>
          <w:szCs w:val="28"/>
          <w:lang w:val="es-ES" w:eastAsia="ar-SA"/>
        </w:rPr>
      </w:pPr>
      <w:r w:rsidRPr="00F773C2">
        <w:rPr>
          <w:rFonts w:eastAsia="Calibri"/>
          <w:bCs/>
          <w:noProof/>
          <w:sz w:val="28"/>
          <w:szCs w:val="28"/>
          <w:lang w:val="es-ES" w:eastAsia="ar-SA"/>
        </w:rPr>
        <w:t>Raquel Abrantes, Brasil</w:t>
      </w:r>
    </w:p>
    <w:p w14:paraId="45B0691E" w14:textId="77777777" w:rsidR="002A2E6A" w:rsidRPr="00F773C2" w:rsidRDefault="002A2E6A" w:rsidP="002A2E6A">
      <w:pPr>
        <w:suppressAutoHyphens/>
        <w:jc w:val="center"/>
        <w:rPr>
          <w:rFonts w:eastAsia="Calibri"/>
          <w:bCs/>
          <w:noProof/>
          <w:sz w:val="28"/>
          <w:szCs w:val="28"/>
          <w:lang w:val="es-ES" w:eastAsia="ar-SA"/>
        </w:rPr>
      </w:pPr>
    </w:p>
    <w:p w14:paraId="1BBD7BF1" w14:textId="77777777" w:rsidR="002A2E6A" w:rsidRPr="00F25512" w:rsidRDefault="002A2E6A" w:rsidP="002A2E6A">
      <w:pPr>
        <w:suppressAutoHyphens/>
        <w:jc w:val="center"/>
        <w:rPr>
          <w:rFonts w:eastAsia="Calibri"/>
          <w:noProof/>
          <w:sz w:val="28"/>
          <w:szCs w:val="28"/>
          <w:lang w:val="es-ES" w:eastAsia="ar-SA"/>
        </w:rPr>
      </w:pPr>
      <w:r w:rsidRPr="00F25512">
        <w:rPr>
          <w:rFonts w:eastAsia="Calibri"/>
          <w:b/>
          <w:bCs/>
          <w:noProof/>
          <w:sz w:val="28"/>
          <w:szCs w:val="28"/>
          <w:u w:val="single"/>
          <w:lang w:val="es-ES" w:eastAsia="ar-SA"/>
        </w:rPr>
        <w:t>Webmaster</w:t>
      </w:r>
    </w:p>
    <w:p w14:paraId="4F48906F" w14:textId="77777777" w:rsidR="002A2E6A" w:rsidRPr="00F25512" w:rsidRDefault="002A2E6A" w:rsidP="002A2E6A">
      <w:pPr>
        <w:suppressAutoHyphens/>
        <w:jc w:val="center"/>
        <w:rPr>
          <w:rFonts w:eastAsia="Calibri"/>
          <w:bCs/>
          <w:noProof/>
          <w:sz w:val="28"/>
          <w:szCs w:val="28"/>
          <w:lang w:val="es-ES" w:eastAsia="ar-SA"/>
        </w:rPr>
      </w:pPr>
      <w:r w:rsidRPr="00F25512">
        <w:rPr>
          <w:rFonts w:eastAsia="Calibri"/>
          <w:bCs/>
          <w:noProof/>
          <w:sz w:val="28"/>
          <w:szCs w:val="28"/>
          <w:lang w:val="es-ES" w:eastAsia="ar-SA"/>
        </w:rPr>
        <w:t>People Walking</w:t>
      </w:r>
    </w:p>
    <w:p w14:paraId="2DD9E1E5" w14:textId="77777777" w:rsidR="002A2E6A" w:rsidRPr="00F25512" w:rsidRDefault="002A2E6A" w:rsidP="002A2E6A">
      <w:pPr>
        <w:suppressAutoHyphens/>
        <w:jc w:val="center"/>
        <w:rPr>
          <w:rFonts w:eastAsia="Calibri"/>
          <w:b/>
          <w:bCs/>
          <w:noProof/>
          <w:sz w:val="28"/>
          <w:szCs w:val="28"/>
          <w:u w:val="single"/>
          <w:lang w:val="es-ES" w:eastAsia="ar-SA"/>
        </w:rPr>
      </w:pPr>
    </w:p>
    <w:p w14:paraId="1ABBD36E" w14:textId="77777777" w:rsidR="002A2E6A" w:rsidRPr="00F25512" w:rsidRDefault="002A2E6A" w:rsidP="002A2E6A">
      <w:pPr>
        <w:suppressAutoHyphens/>
        <w:jc w:val="center"/>
        <w:rPr>
          <w:rFonts w:eastAsia="Calibri"/>
          <w:b/>
          <w:bCs/>
          <w:noProof/>
          <w:sz w:val="28"/>
          <w:szCs w:val="28"/>
          <w:u w:val="single"/>
          <w:lang w:val="es-ES" w:eastAsia="ar-SA"/>
        </w:rPr>
      </w:pPr>
      <w:r w:rsidRPr="00F25512">
        <w:rPr>
          <w:rFonts w:eastAsia="Calibri"/>
          <w:b/>
          <w:bCs/>
          <w:noProof/>
          <w:sz w:val="28"/>
          <w:szCs w:val="28"/>
          <w:u w:val="single"/>
          <w:lang w:val="es-ES" w:eastAsia="ar-SA"/>
        </w:rPr>
        <w:t>Equipo de Traductores</w:t>
      </w:r>
    </w:p>
    <w:p w14:paraId="32AAD025" w14:textId="77777777" w:rsidR="002A2E6A" w:rsidRPr="00F25512" w:rsidRDefault="002A2E6A" w:rsidP="002A2E6A">
      <w:pPr>
        <w:suppressAutoHyphens/>
        <w:jc w:val="center"/>
        <w:rPr>
          <w:rFonts w:eastAsia="Calibri"/>
          <w:noProof/>
          <w:sz w:val="28"/>
          <w:szCs w:val="28"/>
          <w:lang w:val="es-ES" w:eastAsia="ar-SA"/>
        </w:rPr>
      </w:pPr>
      <w:r w:rsidRPr="00F25512">
        <w:rPr>
          <w:rFonts w:eastAsia="Calibri"/>
          <w:noProof/>
          <w:sz w:val="28"/>
          <w:szCs w:val="28"/>
          <w:lang w:val="es-ES" w:eastAsia="ar-SA"/>
        </w:rPr>
        <w:t>Nazarena Galeano, Argentina</w:t>
      </w:r>
    </w:p>
    <w:p w14:paraId="5DFFE339" w14:textId="77777777" w:rsidR="002A2E6A" w:rsidRPr="00F25512" w:rsidRDefault="002A2E6A" w:rsidP="002A2E6A">
      <w:pPr>
        <w:suppressAutoHyphens/>
        <w:jc w:val="center"/>
        <w:rPr>
          <w:rFonts w:eastAsia="Calibri"/>
          <w:noProof/>
          <w:sz w:val="28"/>
          <w:szCs w:val="28"/>
          <w:lang w:val="es-ES" w:eastAsia="ar-SA"/>
        </w:rPr>
      </w:pPr>
      <w:r w:rsidRPr="00F25512">
        <w:rPr>
          <w:rFonts w:eastAsia="Calibri"/>
          <w:noProof/>
          <w:sz w:val="28"/>
          <w:szCs w:val="28"/>
          <w:lang w:val="es-ES" w:eastAsia="ar-SA"/>
        </w:rPr>
        <w:t>Araceli Hurtado, México</w:t>
      </w:r>
    </w:p>
    <w:p w14:paraId="3CBCDBFF" w14:textId="77777777" w:rsidR="002A2E6A" w:rsidRPr="00F25512" w:rsidRDefault="002A2E6A" w:rsidP="002A2E6A">
      <w:pPr>
        <w:suppressAutoHyphens/>
        <w:jc w:val="center"/>
        <w:rPr>
          <w:rFonts w:eastAsia="Calibri"/>
          <w:noProof/>
          <w:sz w:val="28"/>
          <w:szCs w:val="28"/>
          <w:lang w:val="es-ES" w:eastAsia="ar-SA"/>
        </w:rPr>
      </w:pPr>
    </w:p>
    <w:p w14:paraId="34509AC2" w14:textId="77777777" w:rsidR="002A2E6A" w:rsidRPr="00F773C2" w:rsidRDefault="002A2E6A" w:rsidP="002A2E6A">
      <w:pPr>
        <w:suppressAutoHyphens/>
        <w:jc w:val="center"/>
        <w:rPr>
          <w:rFonts w:eastAsia="Calibri"/>
          <w:b/>
          <w:bCs/>
          <w:noProof/>
          <w:sz w:val="28"/>
          <w:szCs w:val="28"/>
          <w:u w:val="single"/>
          <w:lang w:val="es-ES" w:eastAsia="ar-SA"/>
        </w:rPr>
      </w:pPr>
      <w:r w:rsidRPr="00F773C2">
        <w:rPr>
          <w:rFonts w:eastAsia="Calibri"/>
          <w:b/>
          <w:bCs/>
          <w:noProof/>
          <w:sz w:val="28"/>
          <w:szCs w:val="28"/>
          <w:u w:val="single"/>
          <w:lang w:val="es-ES" w:eastAsia="ar-SA"/>
        </w:rPr>
        <w:t>Editores Asociados</w:t>
      </w:r>
    </w:p>
    <w:p w14:paraId="134DC525" w14:textId="77777777" w:rsidR="002A2E6A" w:rsidRPr="00F773C2" w:rsidRDefault="002A2E6A" w:rsidP="002A2E6A">
      <w:pPr>
        <w:jc w:val="center"/>
        <w:rPr>
          <w:sz w:val="28"/>
          <w:szCs w:val="28"/>
          <w:lang w:val="es-ES"/>
        </w:rPr>
      </w:pPr>
      <w:r w:rsidRPr="00F773C2">
        <w:rPr>
          <w:sz w:val="28"/>
          <w:szCs w:val="28"/>
          <w:lang w:val="es-ES"/>
        </w:rPr>
        <w:t>Albín Chaves, Costa Rica</w:t>
      </w:r>
    </w:p>
    <w:p w14:paraId="2990C68E" w14:textId="77777777" w:rsidR="002A2E6A" w:rsidRPr="00F773C2" w:rsidRDefault="002A2E6A" w:rsidP="002A2E6A">
      <w:pPr>
        <w:jc w:val="center"/>
        <w:rPr>
          <w:sz w:val="28"/>
          <w:szCs w:val="28"/>
          <w:lang w:val="es-ES"/>
        </w:rPr>
      </w:pPr>
      <w:r w:rsidRPr="00F773C2">
        <w:rPr>
          <w:sz w:val="28"/>
          <w:szCs w:val="28"/>
          <w:lang w:val="es-ES"/>
        </w:rPr>
        <w:t>José Humberto Duque, Colombia</w:t>
      </w:r>
    </w:p>
    <w:p w14:paraId="321DEC36" w14:textId="77777777" w:rsidR="002A2E6A" w:rsidRPr="00F773C2" w:rsidRDefault="002A2E6A" w:rsidP="002A2E6A">
      <w:pPr>
        <w:jc w:val="center"/>
        <w:rPr>
          <w:sz w:val="28"/>
          <w:szCs w:val="28"/>
          <w:lang w:val="es-ES"/>
        </w:rPr>
      </w:pPr>
      <w:r w:rsidRPr="00F773C2">
        <w:rPr>
          <w:sz w:val="28"/>
          <w:szCs w:val="28"/>
          <w:lang w:val="es-ES"/>
        </w:rPr>
        <w:t>Carlos Durán, Ecuador</w:t>
      </w:r>
    </w:p>
    <w:p w14:paraId="40FB970E" w14:textId="77777777" w:rsidR="002A2E6A" w:rsidRPr="00F773C2" w:rsidRDefault="002A2E6A" w:rsidP="002A2E6A">
      <w:pPr>
        <w:jc w:val="center"/>
        <w:rPr>
          <w:sz w:val="28"/>
          <w:szCs w:val="28"/>
          <w:lang w:val="es-ES"/>
        </w:rPr>
      </w:pPr>
      <w:r w:rsidRPr="00F773C2">
        <w:rPr>
          <w:sz w:val="28"/>
          <w:szCs w:val="28"/>
          <w:lang w:val="es-ES"/>
        </w:rPr>
        <w:t>Juan Erviti, España</w:t>
      </w:r>
    </w:p>
    <w:p w14:paraId="0EDEB9D9" w14:textId="77777777" w:rsidR="002A2E6A" w:rsidRPr="00F773C2" w:rsidRDefault="002A2E6A" w:rsidP="002A2E6A">
      <w:pPr>
        <w:jc w:val="center"/>
        <w:rPr>
          <w:sz w:val="28"/>
          <w:szCs w:val="28"/>
          <w:lang w:val="es-ES"/>
        </w:rPr>
      </w:pPr>
      <w:r w:rsidRPr="00F773C2">
        <w:rPr>
          <w:sz w:val="28"/>
          <w:szCs w:val="28"/>
          <w:lang w:val="es-ES"/>
        </w:rPr>
        <w:t>Eduardo Espinoza, El Salvador</w:t>
      </w:r>
    </w:p>
    <w:p w14:paraId="118C716F" w14:textId="77777777" w:rsidR="002A2E6A" w:rsidRPr="00F773C2" w:rsidRDefault="002A2E6A" w:rsidP="002A2E6A">
      <w:pPr>
        <w:jc w:val="center"/>
        <w:rPr>
          <w:sz w:val="28"/>
          <w:szCs w:val="28"/>
          <w:lang w:val="es-ES"/>
        </w:rPr>
      </w:pPr>
      <w:r w:rsidRPr="00F773C2">
        <w:rPr>
          <w:sz w:val="28"/>
          <w:szCs w:val="28"/>
          <w:lang w:val="es-ES"/>
        </w:rPr>
        <w:t>Rogelio A. Fernández Argüelles, México</w:t>
      </w:r>
    </w:p>
    <w:p w14:paraId="53E85A42" w14:textId="77777777" w:rsidR="002A2E6A" w:rsidRPr="00F25512" w:rsidRDefault="002A2E6A" w:rsidP="002A2E6A">
      <w:pPr>
        <w:jc w:val="center"/>
        <w:rPr>
          <w:sz w:val="28"/>
          <w:szCs w:val="28"/>
          <w:lang w:val="es-ES"/>
        </w:rPr>
      </w:pPr>
      <w:r w:rsidRPr="00F25512">
        <w:rPr>
          <w:sz w:val="28"/>
          <w:szCs w:val="28"/>
          <w:lang w:val="es-ES"/>
        </w:rPr>
        <w:t xml:space="preserve">Corina Bontempo </w:t>
      </w:r>
      <w:proofErr w:type="spellStart"/>
      <w:r w:rsidRPr="00F25512">
        <w:rPr>
          <w:sz w:val="28"/>
          <w:szCs w:val="28"/>
          <w:lang w:val="es-ES"/>
        </w:rPr>
        <w:t>Duca</w:t>
      </w:r>
      <w:proofErr w:type="spellEnd"/>
      <w:r w:rsidRPr="00F25512">
        <w:rPr>
          <w:sz w:val="28"/>
          <w:szCs w:val="28"/>
          <w:lang w:val="es-ES"/>
        </w:rPr>
        <w:t xml:space="preserve"> de Freitas, Brasil</w:t>
      </w:r>
    </w:p>
    <w:p w14:paraId="13DB72E4" w14:textId="77777777" w:rsidR="002A2E6A" w:rsidRPr="00F773C2" w:rsidRDefault="002A2E6A" w:rsidP="002A2E6A">
      <w:pPr>
        <w:jc w:val="center"/>
        <w:rPr>
          <w:sz w:val="28"/>
          <w:szCs w:val="28"/>
          <w:lang w:val="es-ES"/>
        </w:rPr>
      </w:pPr>
      <w:r w:rsidRPr="00F773C2">
        <w:rPr>
          <w:sz w:val="28"/>
          <w:szCs w:val="28"/>
          <w:lang w:val="es-ES"/>
        </w:rPr>
        <w:t>Duilio Fuentes, Perú</w:t>
      </w:r>
    </w:p>
    <w:p w14:paraId="64D3514B" w14:textId="77777777" w:rsidR="002A2E6A" w:rsidRPr="00F773C2" w:rsidRDefault="002A2E6A" w:rsidP="002A2E6A">
      <w:pPr>
        <w:jc w:val="center"/>
        <w:rPr>
          <w:sz w:val="28"/>
          <w:szCs w:val="28"/>
          <w:lang w:val="es-ES"/>
        </w:rPr>
      </w:pPr>
      <w:proofErr w:type="spellStart"/>
      <w:r w:rsidRPr="00F773C2">
        <w:rPr>
          <w:sz w:val="28"/>
          <w:szCs w:val="28"/>
          <w:lang w:val="es-ES"/>
        </w:rPr>
        <w:t>Adriane</w:t>
      </w:r>
      <w:proofErr w:type="spellEnd"/>
      <w:r w:rsidRPr="00F773C2">
        <w:rPr>
          <w:sz w:val="28"/>
          <w:szCs w:val="28"/>
          <w:lang w:val="es-ES"/>
        </w:rPr>
        <w:t xml:space="preserve"> </w:t>
      </w:r>
      <w:proofErr w:type="spellStart"/>
      <w:r w:rsidRPr="00F773C2">
        <w:rPr>
          <w:sz w:val="28"/>
          <w:szCs w:val="28"/>
          <w:lang w:val="es-ES"/>
        </w:rPr>
        <w:t>Fugh</w:t>
      </w:r>
      <w:proofErr w:type="spellEnd"/>
      <w:r w:rsidRPr="00F773C2">
        <w:rPr>
          <w:sz w:val="28"/>
          <w:szCs w:val="28"/>
          <w:lang w:val="es-ES"/>
        </w:rPr>
        <w:t>-Berman, Estados Unidos</w:t>
      </w:r>
    </w:p>
    <w:p w14:paraId="19E29A7E" w14:textId="77777777" w:rsidR="002A2E6A" w:rsidRPr="00F25512" w:rsidRDefault="002A2E6A" w:rsidP="002A2E6A">
      <w:pPr>
        <w:jc w:val="center"/>
        <w:rPr>
          <w:sz w:val="28"/>
          <w:szCs w:val="28"/>
          <w:lang w:val="es-ES"/>
        </w:rPr>
      </w:pPr>
      <w:proofErr w:type="spellStart"/>
      <w:r w:rsidRPr="00F25512">
        <w:rPr>
          <w:sz w:val="28"/>
          <w:szCs w:val="28"/>
          <w:lang w:val="es-ES"/>
        </w:rPr>
        <w:t>Volnei</w:t>
      </w:r>
      <w:proofErr w:type="spellEnd"/>
      <w:r w:rsidRPr="00F25512">
        <w:rPr>
          <w:sz w:val="28"/>
          <w:szCs w:val="28"/>
          <w:lang w:val="es-ES"/>
        </w:rPr>
        <w:t xml:space="preserve"> Garrafa, Brasil</w:t>
      </w:r>
    </w:p>
    <w:p w14:paraId="254D8AFF" w14:textId="77777777" w:rsidR="002A2E6A" w:rsidRPr="00F25512" w:rsidRDefault="002A2E6A" w:rsidP="002A2E6A">
      <w:pPr>
        <w:jc w:val="center"/>
        <w:rPr>
          <w:sz w:val="28"/>
          <w:szCs w:val="28"/>
          <w:lang w:val="es-ES"/>
        </w:rPr>
      </w:pPr>
      <w:r w:rsidRPr="00F25512">
        <w:rPr>
          <w:sz w:val="28"/>
          <w:szCs w:val="28"/>
          <w:lang w:val="es-ES"/>
        </w:rPr>
        <w:t xml:space="preserve">Sergio </w:t>
      </w:r>
      <w:proofErr w:type="spellStart"/>
      <w:r w:rsidRPr="00F25512">
        <w:rPr>
          <w:sz w:val="28"/>
          <w:szCs w:val="28"/>
          <w:lang w:val="es-ES"/>
        </w:rPr>
        <w:t>Gonorazky</w:t>
      </w:r>
      <w:proofErr w:type="spellEnd"/>
      <w:r w:rsidRPr="00F25512">
        <w:rPr>
          <w:sz w:val="28"/>
          <w:szCs w:val="28"/>
          <w:lang w:val="es-ES"/>
        </w:rPr>
        <w:t>, Argentina</w:t>
      </w:r>
    </w:p>
    <w:p w14:paraId="2ADA2D75" w14:textId="77777777" w:rsidR="002A2E6A" w:rsidRPr="00F773C2" w:rsidRDefault="002A2E6A" w:rsidP="002A2E6A">
      <w:pPr>
        <w:jc w:val="center"/>
        <w:rPr>
          <w:sz w:val="28"/>
          <w:szCs w:val="28"/>
          <w:lang w:val="es-ES"/>
        </w:rPr>
      </w:pPr>
      <w:r w:rsidRPr="00F773C2">
        <w:rPr>
          <w:sz w:val="28"/>
          <w:szCs w:val="28"/>
          <w:lang w:val="es-ES"/>
        </w:rPr>
        <w:t>Ricardo Martínez, Argentina</w:t>
      </w:r>
    </w:p>
    <w:p w14:paraId="0F0EACA9" w14:textId="77777777" w:rsidR="002A2E6A" w:rsidRPr="00F773C2" w:rsidRDefault="002A2E6A" w:rsidP="002A2E6A">
      <w:pPr>
        <w:jc w:val="center"/>
        <w:rPr>
          <w:sz w:val="28"/>
          <w:szCs w:val="28"/>
          <w:lang w:val="es-ES"/>
        </w:rPr>
      </w:pPr>
      <w:r w:rsidRPr="00F773C2">
        <w:rPr>
          <w:sz w:val="28"/>
          <w:szCs w:val="28"/>
          <w:lang w:val="es-ES"/>
        </w:rPr>
        <w:t xml:space="preserve">Peter </w:t>
      </w:r>
      <w:proofErr w:type="spellStart"/>
      <w:r w:rsidRPr="00F773C2">
        <w:rPr>
          <w:sz w:val="28"/>
          <w:szCs w:val="28"/>
          <w:lang w:val="es-ES"/>
        </w:rPr>
        <w:t>Maybarduk</w:t>
      </w:r>
      <w:proofErr w:type="spellEnd"/>
      <w:r w:rsidRPr="00F773C2">
        <w:rPr>
          <w:sz w:val="28"/>
          <w:szCs w:val="28"/>
          <w:lang w:val="es-ES"/>
        </w:rPr>
        <w:t>, Estados Unidos</w:t>
      </w:r>
    </w:p>
    <w:p w14:paraId="410289FD" w14:textId="77777777" w:rsidR="002A2E6A" w:rsidRPr="00F773C2" w:rsidRDefault="002A2E6A" w:rsidP="002A2E6A">
      <w:pPr>
        <w:jc w:val="center"/>
        <w:rPr>
          <w:sz w:val="28"/>
          <w:szCs w:val="28"/>
          <w:lang w:val="es-ES"/>
        </w:rPr>
      </w:pPr>
      <w:r w:rsidRPr="00F773C2">
        <w:rPr>
          <w:sz w:val="28"/>
          <w:szCs w:val="28"/>
          <w:lang w:val="es-ES"/>
        </w:rPr>
        <w:t xml:space="preserve">Luis Carlos </w:t>
      </w:r>
      <w:proofErr w:type="spellStart"/>
      <w:r w:rsidRPr="00F773C2">
        <w:rPr>
          <w:sz w:val="28"/>
          <w:szCs w:val="28"/>
          <w:lang w:val="es-ES"/>
        </w:rPr>
        <w:t>Saíz</w:t>
      </w:r>
      <w:proofErr w:type="spellEnd"/>
      <w:r w:rsidRPr="00F773C2">
        <w:rPr>
          <w:sz w:val="28"/>
          <w:szCs w:val="28"/>
          <w:lang w:val="es-ES"/>
        </w:rPr>
        <w:t>, España</w:t>
      </w:r>
    </w:p>
    <w:p w14:paraId="19748A66" w14:textId="77777777" w:rsidR="002A2E6A" w:rsidRPr="00F773C2" w:rsidRDefault="002A2E6A" w:rsidP="002A2E6A">
      <w:pPr>
        <w:jc w:val="center"/>
        <w:rPr>
          <w:sz w:val="28"/>
          <w:szCs w:val="28"/>
          <w:lang w:val="es-ES"/>
        </w:rPr>
      </w:pPr>
      <w:r w:rsidRPr="00F773C2">
        <w:rPr>
          <w:sz w:val="28"/>
          <w:szCs w:val="28"/>
          <w:lang w:val="es-ES"/>
        </w:rPr>
        <w:t xml:space="preserve">Juan Carlos </w:t>
      </w:r>
      <w:proofErr w:type="spellStart"/>
      <w:r w:rsidRPr="00F773C2">
        <w:rPr>
          <w:sz w:val="28"/>
          <w:szCs w:val="28"/>
          <w:lang w:val="es-ES"/>
        </w:rPr>
        <w:t>Tealdi</w:t>
      </w:r>
      <w:proofErr w:type="spellEnd"/>
      <w:r w:rsidRPr="00F773C2">
        <w:rPr>
          <w:sz w:val="28"/>
          <w:szCs w:val="28"/>
          <w:lang w:val="es-ES"/>
        </w:rPr>
        <w:t>, Argentina</w:t>
      </w:r>
    </w:p>
    <w:p w14:paraId="26EE3C94" w14:textId="77777777" w:rsidR="002A2E6A" w:rsidRPr="00F773C2" w:rsidRDefault="002A2E6A" w:rsidP="002A2E6A">
      <w:pPr>
        <w:jc w:val="center"/>
        <w:rPr>
          <w:sz w:val="28"/>
          <w:szCs w:val="28"/>
          <w:lang w:val="es-ES"/>
        </w:rPr>
      </w:pPr>
      <w:r w:rsidRPr="00F773C2">
        <w:rPr>
          <w:sz w:val="28"/>
          <w:szCs w:val="28"/>
          <w:lang w:val="es-ES"/>
        </w:rPr>
        <w:t xml:space="preserve">Federico Tobar, </w:t>
      </w:r>
      <w:r>
        <w:rPr>
          <w:sz w:val="28"/>
          <w:szCs w:val="28"/>
          <w:lang w:val="es-ES"/>
        </w:rPr>
        <w:t>Kenia</w:t>
      </w:r>
    </w:p>
    <w:p w14:paraId="1C96C539" w14:textId="77777777" w:rsidR="002A2E6A" w:rsidRPr="001D7384" w:rsidRDefault="002A2E6A" w:rsidP="002A2E6A">
      <w:pPr>
        <w:jc w:val="center"/>
        <w:rPr>
          <w:rFonts w:eastAsia="Calibri"/>
          <w:b/>
          <w:bCs/>
          <w:noProof/>
          <w:sz w:val="24"/>
          <w:u w:val="single"/>
          <w:lang w:val="es-ES" w:eastAsia="ar-SA"/>
        </w:rPr>
      </w:pPr>
      <w:r w:rsidRPr="00F773C2">
        <w:rPr>
          <w:sz w:val="28"/>
          <w:szCs w:val="28"/>
          <w:lang w:val="es-ES"/>
        </w:rPr>
        <w:t xml:space="preserve">Claudia Vaca, </w:t>
      </w:r>
      <w:r>
        <w:rPr>
          <w:sz w:val="28"/>
          <w:szCs w:val="28"/>
          <w:lang w:val="es-ES"/>
        </w:rPr>
        <w:t>Colombia</w:t>
      </w:r>
      <w:r w:rsidRPr="00F773C2">
        <w:rPr>
          <w:sz w:val="28"/>
          <w:szCs w:val="28"/>
          <w:lang w:val="es-ES"/>
        </w:rPr>
        <w:t xml:space="preserve"> </w:t>
      </w:r>
      <w:bookmarkEnd w:id="0"/>
    </w:p>
    <w:p w14:paraId="5F18CBCF" w14:textId="77777777" w:rsidR="002A2E6A" w:rsidRPr="008966DD" w:rsidRDefault="002A2E6A" w:rsidP="002A2E6A">
      <w:pPr>
        <w:suppressAutoHyphens/>
        <w:jc w:val="center"/>
        <w:rPr>
          <w:rFonts w:eastAsia="Calibri"/>
          <w:b/>
          <w:bCs/>
          <w:i/>
          <w:iCs/>
          <w:noProof/>
          <w:sz w:val="24"/>
          <w:lang w:val="es-ES" w:eastAsia="ar-SA"/>
        </w:rPr>
        <w:sectPr w:rsidR="002A2E6A" w:rsidRPr="008966DD" w:rsidSect="000F06D9">
          <w:type w:val="continuous"/>
          <w:pgSz w:w="12240" w:h="15840" w:code="1"/>
          <w:pgMar w:top="720" w:right="720" w:bottom="720" w:left="720" w:header="720" w:footer="720" w:gutter="0"/>
          <w:cols w:num="2" w:space="720"/>
          <w:docGrid w:linePitch="299"/>
        </w:sectPr>
      </w:pPr>
    </w:p>
    <w:p w14:paraId="554FB591" w14:textId="77777777" w:rsidR="002A2E6A" w:rsidRDefault="002A2E6A" w:rsidP="002A2E6A">
      <w:pPr>
        <w:suppressAutoHyphens/>
        <w:rPr>
          <w:rFonts w:eastAsia="Calibri"/>
          <w:b/>
          <w:bCs/>
          <w:i/>
          <w:iCs/>
          <w:noProof/>
          <w:sz w:val="24"/>
          <w:lang w:val="es-ES" w:eastAsia="ar-SA"/>
        </w:rPr>
      </w:pPr>
    </w:p>
    <w:p w14:paraId="6DF54EB2" w14:textId="77777777" w:rsidR="002A2E6A" w:rsidRPr="00417FE9" w:rsidRDefault="002A2E6A" w:rsidP="002A2E6A">
      <w:pPr>
        <w:suppressAutoHyphens/>
        <w:rPr>
          <w:rFonts w:eastAsia="Calibri"/>
          <w:noProof/>
          <w:sz w:val="24"/>
          <w:lang w:val="es-ES" w:eastAsia="ar-SA"/>
        </w:rPr>
      </w:pPr>
      <w:r w:rsidRPr="00417FE9">
        <w:rPr>
          <w:rFonts w:eastAsia="Calibri"/>
          <w:b/>
          <w:bCs/>
          <w:i/>
          <w:iCs/>
          <w:noProof/>
          <w:sz w:val="24"/>
          <w:lang w:val="es-ES" w:eastAsia="ar-SA"/>
        </w:rPr>
        <w:t>Boletín Fármacos</w:t>
      </w:r>
      <w:r w:rsidRPr="00417FE9">
        <w:rPr>
          <w:rFonts w:eastAsia="Calibri"/>
          <w:noProof/>
          <w:sz w:val="24"/>
          <w:lang w:val="es-ES" w:eastAsia="ar-SA"/>
        </w:rPr>
        <w:t xml:space="preserve"> solicita comunicaciones, noticias, y artículos de investigación sobre cualquier tema relacionado con el acceso y uso de medicamentos; incluyendo temas de farmacovigilancia; políticas de medicamentos; ensayos clínicos; ética y medicamentos; dispensación y farmacia; comportamiento de la industria; prácticas recomendables y prácticas cuestionadas de uso y promoción de medicamentos. También publica noticias sobre congresos y talleres que se vayan a celebrar o se hayan celebrado sobre el uso adecuado de medicamentos. </w:t>
      </w:r>
      <w:r w:rsidRPr="00417FE9">
        <w:rPr>
          <w:rFonts w:eastAsia="Calibri"/>
          <w:b/>
          <w:i/>
          <w:noProof/>
          <w:sz w:val="24"/>
          <w:lang w:val="es-ES" w:eastAsia="ar-SA"/>
        </w:rPr>
        <w:t>Boletín</w:t>
      </w:r>
      <w:r w:rsidRPr="00417FE9">
        <w:rPr>
          <w:rFonts w:eastAsia="Calibri"/>
          <w:i/>
          <w:noProof/>
          <w:sz w:val="24"/>
          <w:lang w:val="es-ES" w:eastAsia="ar-SA"/>
        </w:rPr>
        <w:t xml:space="preserve"> </w:t>
      </w:r>
      <w:r w:rsidRPr="00417FE9">
        <w:rPr>
          <w:rFonts w:eastAsia="Calibri"/>
          <w:b/>
          <w:bCs/>
          <w:i/>
          <w:iCs/>
          <w:noProof/>
          <w:sz w:val="24"/>
          <w:lang w:val="es-ES" w:eastAsia="ar-SA"/>
        </w:rPr>
        <w:t>Fármacos</w:t>
      </w:r>
      <w:r w:rsidRPr="00417FE9">
        <w:rPr>
          <w:rFonts w:eastAsia="Calibri"/>
          <w:noProof/>
          <w:sz w:val="24"/>
          <w:lang w:val="es-ES" w:eastAsia="ar-SA"/>
        </w:rPr>
        <w:t xml:space="preserve"> incluye una sección en la que se presentan síntesis de artículos publicados sobre estos temas y una sección bibliográfica de libros.</w:t>
      </w:r>
    </w:p>
    <w:p w14:paraId="76D8E664" w14:textId="77777777" w:rsidR="002A2E6A" w:rsidRPr="00417FE9" w:rsidRDefault="002A2E6A" w:rsidP="002A2E6A">
      <w:pPr>
        <w:suppressAutoHyphens/>
        <w:rPr>
          <w:rFonts w:eastAsia="Calibri"/>
          <w:noProof/>
          <w:sz w:val="24"/>
          <w:lang w:val="es-ES" w:eastAsia="ar-SA"/>
        </w:rPr>
      </w:pPr>
    </w:p>
    <w:p w14:paraId="3E65B925" w14:textId="77777777" w:rsidR="002A2E6A" w:rsidRDefault="002A2E6A" w:rsidP="002A2E6A">
      <w:pPr>
        <w:suppressAutoHyphens/>
        <w:rPr>
          <w:rFonts w:eastAsia="Calibri"/>
          <w:sz w:val="24"/>
          <w:lang w:val="es-ES"/>
        </w:rPr>
      </w:pPr>
      <w:r w:rsidRPr="00417FE9">
        <w:rPr>
          <w:rFonts w:eastAsia="Calibri"/>
          <w:noProof/>
          <w:sz w:val="24"/>
          <w:lang w:val="es-ES" w:eastAsia="ar-SA"/>
        </w:rPr>
        <w:t>Los materiales que se envíen para publicarse en uno de los números deben ser recibidos con treinta días de anticipación a su publicación. El envío debe hacerse preferiblemente por correo electrónico, a ser posible en Word o en RTF, a Núria Homedes (</w:t>
      </w:r>
      <w:hyperlink r:id="rId13" w:history="1">
        <w:r w:rsidRPr="00417FE9">
          <w:rPr>
            <w:rFonts w:eastAsia="Calibri"/>
            <w:noProof/>
            <w:color w:val="467886" w:themeColor="hyperlink"/>
            <w:sz w:val="24"/>
            <w:u w:val="single"/>
            <w:lang w:val="es-ES" w:eastAsia="ar-SA"/>
          </w:rPr>
          <w:t>nhomedes@hotmail.com</w:t>
        </w:r>
      </w:hyperlink>
      <w:r w:rsidRPr="00417FE9">
        <w:rPr>
          <w:rFonts w:eastAsia="Calibri"/>
          <w:noProof/>
          <w:sz w:val="24"/>
          <w:lang w:val="es-ES" w:eastAsia="ar-SA"/>
        </w:rPr>
        <w:t xml:space="preserve">). 632 Skydale Dr, El Paso Tx 79912. </w:t>
      </w:r>
      <w:r w:rsidRPr="00417FE9">
        <w:rPr>
          <w:rFonts w:eastAsia="Calibri"/>
          <w:noProof/>
          <w:sz w:val="24"/>
          <w:lang w:val="es-MX" w:eastAsia="ar-SA"/>
        </w:rPr>
        <w:t>Teléfono: (202) 9999079 ISSN 2833-0099 DOI:</w:t>
      </w:r>
      <w:r w:rsidRPr="00417FE9">
        <w:rPr>
          <w:rFonts w:eastAsia="Calibri"/>
          <w:sz w:val="24"/>
          <w:lang w:val="es-ES"/>
        </w:rPr>
        <w:t xml:space="preserve"> </w:t>
      </w:r>
      <w:r w:rsidR="00252472">
        <w:rPr>
          <w:rFonts w:eastAsia="Calibri"/>
          <w:sz w:val="24"/>
          <w:lang w:val="es-ES"/>
        </w:rPr>
        <w:t xml:space="preserve"> </w:t>
      </w:r>
      <w:r w:rsidR="00252472" w:rsidRPr="00252472">
        <w:rPr>
          <w:rFonts w:eastAsia="Calibri"/>
          <w:sz w:val="24"/>
          <w:lang w:val="es-ES"/>
        </w:rPr>
        <w:t>https://zenodo.org/uploads/22112956</w:t>
      </w:r>
    </w:p>
    <w:p w14:paraId="7A0B8189" w14:textId="1639B1C6" w:rsidR="00252472" w:rsidRPr="00F773C2" w:rsidRDefault="00252472" w:rsidP="002A2E6A">
      <w:pPr>
        <w:suppressAutoHyphens/>
        <w:rPr>
          <w:rFonts w:eastAsia="Calibri"/>
          <w:sz w:val="24"/>
          <w:lang w:val="es-ES"/>
        </w:rPr>
        <w:sectPr w:rsidR="00252472" w:rsidRPr="00F773C2" w:rsidSect="000F06D9">
          <w:type w:val="continuous"/>
          <w:pgSz w:w="12240" w:h="15840" w:code="1"/>
          <w:pgMar w:top="720" w:right="720" w:bottom="720" w:left="720" w:header="720" w:footer="720" w:gutter="0"/>
          <w:cols w:space="720"/>
          <w:docGrid w:linePitch="299"/>
        </w:sectPr>
      </w:pPr>
    </w:p>
    <w:p w14:paraId="51C9A69D" w14:textId="77777777" w:rsidR="002A2E6A" w:rsidRDefault="002A2E6A" w:rsidP="00B916D2">
      <w:pPr>
        <w:jc w:val="center"/>
        <w:rPr>
          <w:rFonts w:eastAsia="Calibri"/>
          <w:b/>
          <w:bCs/>
          <w:szCs w:val="22"/>
          <w:lang w:val="es-ES"/>
        </w:rPr>
      </w:pPr>
    </w:p>
    <w:p w14:paraId="4E333CCC" w14:textId="617B1C9D" w:rsidR="002A2E6A" w:rsidRDefault="002A2E6A" w:rsidP="00B916D2">
      <w:pPr>
        <w:jc w:val="center"/>
        <w:rPr>
          <w:rFonts w:eastAsia="Calibri"/>
          <w:b/>
          <w:bCs/>
          <w:szCs w:val="22"/>
          <w:lang w:val="es-ES"/>
        </w:rPr>
      </w:pPr>
    </w:p>
    <w:p w14:paraId="4B05945E" w14:textId="3019B21E" w:rsidR="002A2E6A" w:rsidRDefault="002A2E6A" w:rsidP="00B916D2">
      <w:pPr>
        <w:jc w:val="center"/>
        <w:rPr>
          <w:rFonts w:eastAsia="Calibri"/>
          <w:b/>
          <w:bCs/>
          <w:szCs w:val="22"/>
          <w:lang w:val="es-ES"/>
        </w:rPr>
      </w:pPr>
    </w:p>
    <w:p w14:paraId="64D2E5D0" w14:textId="09C75041" w:rsidR="002A2E6A" w:rsidRDefault="002A2E6A" w:rsidP="00B916D2">
      <w:pPr>
        <w:jc w:val="center"/>
        <w:rPr>
          <w:rFonts w:eastAsia="Calibri"/>
          <w:b/>
          <w:bCs/>
          <w:szCs w:val="22"/>
          <w:lang w:val="es-ES"/>
        </w:rPr>
      </w:pPr>
    </w:p>
    <w:p w14:paraId="3E5E9279" w14:textId="4D260306" w:rsidR="002A2E6A" w:rsidRDefault="002A2E6A" w:rsidP="00B916D2">
      <w:pPr>
        <w:jc w:val="center"/>
        <w:rPr>
          <w:rFonts w:eastAsia="Calibri"/>
          <w:b/>
          <w:bCs/>
          <w:szCs w:val="22"/>
          <w:lang w:val="es-ES"/>
        </w:rPr>
      </w:pPr>
    </w:p>
    <w:p w14:paraId="464ED991" w14:textId="77777777" w:rsidR="002A2E6A" w:rsidRDefault="002A2E6A" w:rsidP="00B916D2">
      <w:pPr>
        <w:jc w:val="center"/>
        <w:rPr>
          <w:rFonts w:eastAsia="Calibri"/>
          <w:b/>
          <w:bCs/>
          <w:szCs w:val="22"/>
          <w:lang w:val="es-ES"/>
        </w:rPr>
      </w:pPr>
    </w:p>
    <w:p w14:paraId="29B38E52" w14:textId="77777777" w:rsidR="00714B7D" w:rsidRPr="000415F8" w:rsidRDefault="00714B7D" w:rsidP="00714B7D">
      <w:pPr>
        <w:jc w:val="center"/>
        <w:rPr>
          <w:b/>
          <w:bCs/>
          <w:sz w:val="24"/>
          <w:lang w:val="es-ES"/>
        </w:rPr>
      </w:pPr>
      <w:r w:rsidRPr="000415F8">
        <w:rPr>
          <w:b/>
          <w:bCs/>
          <w:sz w:val="24"/>
          <w:lang w:val="es-ES"/>
        </w:rPr>
        <w:lastRenderedPageBreak/>
        <w:t>Índice</w:t>
      </w:r>
    </w:p>
    <w:p w14:paraId="10F4CCF1" w14:textId="3E5DC443" w:rsidR="00714B7D" w:rsidRDefault="00714B7D" w:rsidP="00E20776">
      <w:pPr>
        <w:jc w:val="center"/>
        <w:rPr>
          <w:i/>
          <w:iCs/>
          <w:lang w:val="es-ES"/>
        </w:rPr>
      </w:pPr>
      <w:bookmarkStart w:id="1" w:name="_Hlk198666874"/>
      <w:r w:rsidRPr="000415F8">
        <w:rPr>
          <w:i/>
          <w:iCs/>
          <w:lang w:val="es-ES"/>
        </w:rPr>
        <w:t xml:space="preserve">Boletín Fármacos: </w:t>
      </w:r>
      <w:r>
        <w:rPr>
          <w:rFonts w:eastAsia="Calibri"/>
          <w:i/>
          <w:iCs/>
          <w:szCs w:val="22"/>
          <w:lang w:val="es-ES"/>
        </w:rPr>
        <w:t>Agencias Reguladoras</w:t>
      </w:r>
      <w:r w:rsidRPr="000415F8">
        <w:rPr>
          <w:i/>
          <w:iCs/>
          <w:lang w:val="es-ES"/>
        </w:rPr>
        <w:t xml:space="preserve"> 2026; 29(</w:t>
      </w:r>
      <w:r>
        <w:rPr>
          <w:i/>
          <w:iCs/>
          <w:lang w:val="es-ES"/>
        </w:rPr>
        <w:t>3</w:t>
      </w:r>
      <w:r w:rsidRPr="000415F8">
        <w:rPr>
          <w:i/>
          <w:iCs/>
          <w:lang w:val="es-ES"/>
        </w:rPr>
        <w:t>)</w:t>
      </w:r>
      <w:bookmarkEnd w:id="1"/>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56"/>
        <w:gridCol w:w="599"/>
      </w:tblGrid>
      <w:tr w:rsidR="00714B7D" w:rsidRPr="003B5C89" w14:paraId="6252AF66" w14:textId="77777777" w:rsidTr="002A3C7E">
        <w:trPr>
          <w:trHeight w:val="280"/>
          <w:jc w:val="center"/>
        </w:trPr>
        <w:tc>
          <w:tcPr>
            <w:tcW w:w="9656" w:type="dxa"/>
            <w:tcBorders>
              <w:top w:val="single" w:sz="4" w:space="0" w:color="auto"/>
              <w:bottom w:val="single" w:sz="4" w:space="0" w:color="auto"/>
            </w:tcBorders>
            <w:tcMar>
              <w:top w:w="86" w:type="dxa"/>
              <w:left w:w="115" w:type="dxa"/>
              <w:right w:w="115" w:type="dxa"/>
            </w:tcMar>
          </w:tcPr>
          <w:p w14:paraId="6A29334C" w14:textId="2220ADF9" w:rsidR="00714B7D" w:rsidRPr="003B5C89" w:rsidRDefault="00714B7D" w:rsidP="00534E78">
            <w:pPr>
              <w:jc w:val="center"/>
              <w:rPr>
                <w:b/>
                <w:sz w:val="24"/>
                <w:szCs w:val="24"/>
                <w:lang w:val="es-ES"/>
              </w:rPr>
            </w:pPr>
            <w:r>
              <w:rPr>
                <w:b/>
                <w:sz w:val="24"/>
                <w:szCs w:val="24"/>
                <w:lang w:val="es-ES"/>
              </w:rPr>
              <w:t>Regulación Internacional</w:t>
            </w:r>
          </w:p>
        </w:tc>
        <w:tc>
          <w:tcPr>
            <w:tcW w:w="599" w:type="dxa"/>
            <w:tcBorders>
              <w:top w:val="single" w:sz="4" w:space="0" w:color="auto"/>
              <w:bottom w:val="single" w:sz="4" w:space="0" w:color="auto"/>
            </w:tcBorders>
            <w:tcMar>
              <w:top w:w="86" w:type="dxa"/>
              <w:left w:w="115" w:type="dxa"/>
              <w:right w:w="115" w:type="dxa"/>
            </w:tcMar>
          </w:tcPr>
          <w:p w14:paraId="49A1E172" w14:textId="77777777" w:rsidR="00714B7D" w:rsidRPr="003B5C89" w:rsidRDefault="00714B7D" w:rsidP="00534E78">
            <w:pPr>
              <w:jc w:val="center"/>
            </w:pPr>
          </w:p>
        </w:tc>
      </w:tr>
      <w:tr w:rsidR="00714B7D" w:rsidRPr="003B5C89" w14:paraId="499404DD" w14:textId="77777777" w:rsidTr="002A3C7E">
        <w:trPr>
          <w:trHeight w:val="697"/>
          <w:jc w:val="center"/>
        </w:trPr>
        <w:tc>
          <w:tcPr>
            <w:tcW w:w="9656" w:type="dxa"/>
            <w:tcBorders>
              <w:top w:val="single" w:sz="4" w:space="0" w:color="auto"/>
            </w:tcBorders>
            <w:tcMar>
              <w:top w:w="86" w:type="dxa"/>
              <w:left w:w="115" w:type="dxa"/>
              <w:right w:w="115" w:type="dxa"/>
            </w:tcMar>
          </w:tcPr>
          <w:p w14:paraId="589A7F7F" w14:textId="77777777" w:rsidR="00E20776" w:rsidRDefault="00714B7D" w:rsidP="00714B7D">
            <w:pPr>
              <w:pStyle w:val="Sinespaciado"/>
              <w:rPr>
                <w:b/>
                <w:bCs/>
              </w:rPr>
            </w:pPr>
            <w:proofErr w:type="spellStart"/>
            <w:r>
              <w:rPr>
                <w:b/>
                <w:bCs/>
              </w:rPr>
              <w:t>Report</w:t>
            </w:r>
            <w:r w:rsidRPr="00B140EF">
              <w:rPr>
                <w:b/>
                <w:bCs/>
              </w:rPr>
              <w:t>e</w:t>
            </w:r>
            <w:proofErr w:type="spellEnd"/>
            <w:r>
              <w:rPr>
                <w:b/>
                <w:bCs/>
              </w:rPr>
              <w:t xml:space="preserve"> N</w:t>
            </w:r>
            <w:r w:rsidRPr="00B140EF">
              <w:rPr>
                <w:b/>
                <w:bCs/>
              </w:rPr>
              <w:t>º</w:t>
            </w:r>
            <w:r>
              <w:rPr>
                <w:b/>
                <w:bCs/>
              </w:rPr>
              <w:t xml:space="preserve"> 59:</w:t>
            </w:r>
            <w:r w:rsidRPr="00B140EF">
              <w:rPr>
                <w:b/>
                <w:bCs/>
              </w:rPr>
              <w:t xml:space="preserve"> </w:t>
            </w:r>
          </w:p>
          <w:p w14:paraId="63A6FF68" w14:textId="7A8843B5" w:rsidR="00714B7D" w:rsidRDefault="00714B7D" w:rsidP="00714B7D">
            <w:pPr>
              <w:pStyle w:val="Sinespaciado"/>
              <w:rPr>
                <w:b/>
                <w:bCs/>
              </w:rPr>
            </w:pPr>
            <w:proofErr w:type="spellStart"/>
            <w:r w:rsidRPr="00B140EF">
              <w:rPr>
                <w:b/>
                <w:bCs/>
              </w:rPr>
              <w:t>Comité</w:t>
            </w:r>
            <w:proofErr w:type="spellEnd"/>
            <w:r w:rsidRPr="00B140EF">
              <w:rPr>
                <w:b/>
                <w:bCs/>
              </w:rPr>
              <w:t xml:space="preserve"> de </w:t>
            </w:r>
            <w:proofErr w:type="spellStart"/>
            <w:r w:rsidRPr="00B140EF">
              <w:rPr>
                <w:b/>
                <w:bCs/>
              </w:rPr>
              <w:t>Expertos</w:t>
            </w:r>
            <w:proofErr w:type="spellEnd"/>
            <w:r w:rsidRPr="00B140EF">
              <w:rPr>
                <w:b/>
                <w:bCs/>
              </w:rPr>
              <w:t xml:space="preserve"> de la OMS </w:t>
            </w:r>
            <w:proofErr w:type="spellStart"/>
            <w:r w:rsidRPr="00B140EF">
              <w:rPr>
                <w:b/>
                <w:bCs/>
              </w:rPr>
              <w:t>sobre</w:t>
            </w:r>
            <w:proofErr w:type="spellEnd"/>
            <w:r w:rsidRPr="00B140EF">
              <w:rPr>
                <w:b/>
                <w:bCs/>
              </w:rPr>
              <w:t xml:space="preserve"> </w:t>
            </w:r>
            <w:proofErr w:type="spellStart"/>
            <w:r w:rsidRPr="00B140EF">
              <w:rPr>
                <w:b/>
                <w:bCs/>
              </w:rPr>
              <w:t>Especificaciones</w:t>
            </w:r>
            <w:proofErr w:type="spellEnd"/>
            <w:r w:rsidRPr="00B140EF">
              <w:rPr>
                <w:b/>
                <w:bCs/>
              </w:rPr>
              <w:t xml:space="preserve"> para </w:t>
            </w:r>
            <w:proofErr w:type="spellStart"/>
            <w:r w:rsidRPr="00B140EF">
              <w:rPr>
                <w:b/>
                <w:bCs/>
              </w:rPr>
              <w:t>Preparaciones</w:t>
            </w:r>
            <w:proofErr w:type="spellEnd"/>
            <w:r w:rsidRPr="00B140EF">
              <w:rPr>
                <w:b/>
                <w:bCs/>
              </w:rPr>
              <w:t xml:space="preserve"> </w:t>
            </w:r>
            <w:proofErr w:type="spellStart"/>
            <w:r w:rsidRPr="00B140EF">
              <w:rPr>
                <w:b/>
                <w:bCs/>
              </w:rPr>
              <w:t>Farmacéuticas</w:t>
            </w:r>
            <w:proofErr w:type="spellEnd"/>
          </w:p>
          <w:p w14:paraId="72F62850" w14:textId="7ACF1BD4" w:rsidR="00714B7D" w:rsidRPr="00714B7D" w:rsidRDefault="00714B7D" w:rsidP="00534E78">
            <w:pPr>
              <w:contextualSpacing/>
              <w:rPr>
                <w:i/>
                <w:iCs/>
              </w:rPr>
            </w:pPr>
            <w:proofErr w:type="spellStart"/>
            <w:r w:rsidRPr="001B12CC">
              <w:rPr>
                <w:i/>
                <w:iCs/>
              </w:rPr>
              <w:t>Organización</w:t>
            </w:r>
            <w:proofErr w:type="spellEnd"/>
            <w:r w:rsidRPr="001B12CC">
              <w:rPr>
                <w:i/>
                <w:iCs/>
              </w:rPr>
              <w:t xml:space="preserve"> Mundial de la </w:t>
            </w:r>
            <w:proofErr w:type="spellStart"/>
            <w:r w:rsidRPr="001B12CC">
              <w:rPr>
                <w:i/>
                <w:iCs/>
              </w:rPr>
              <w:t>Salud</w:t>
            </w:r>
            <w:proofErr w:type="spellEnd"/>
            <w:r w:rsidRPr="001B12CC">
              <w:rPr>
                <w:i/>
                <w:iCs/>
              </w:rPr>
              <w:t xml:space="preserve"> (OMS</w:t>
            </w:r>
            <w:r>
              <w:rPr>
                <w:i/>
                <w:iCs/>
              </w:rPr>
              <w:t>)</w:t>
            </w:r>
          </w:p>
        </w:tc>
        <w:tc>
          <w:tcPr>
            <w:tcW w:w="599" w:type="dxa"/>
            <w:tcBorders>
              <w:top w:val="single" w:sz="4" w:space="0" w:color="auto"/>
            </w:tcBorders>
            <w:tcMar>
              <w:top w:w="86" w:type="dxa"/>
              <w:left w:w="115" w:type="dxa"/>
              <w:right w:w="115" w:type="dxa"/>
            </w:tcMar>
          </w:tcPr>
          <w:p w14:paraId="68758962" w14:textId="77777777" w:rsidR="00714B7D" w:rsidRDefault="00714B7D" w:rsidP="002A3C7E">
            <w:pPr>
              <w:jc w:val="right"/>
            </w:pPr>
          </w:p>
          <w:p w14:paraId="00246C6B" w14:textId="77777777" w:rsidR="00714B7D" w:rsidRDefault="00714B7D" w:rsidP="002A3C7E">
            <w:pPr>
              <w:jc w:val="right"/>
            </w:pPr>
          </w:p>
          <w:p w14:paraId="105FE2FF" w14:textId="77777777" w:rsidR="00714B7D" w:rsidRPr="003B5C89" w:rsidRDefault="00714B7D" w:rsidP="002A3C7E">
            <w:pPr>
              <w:jc w:val="right"/>
            </w:pPr>
            <w:r>
              <w:t>1</w:t>
            </w:r>
          </w:p>
        </w:tc>
      </w:tr>
      <w:tr w:rsidR="00714B7D" w:rsidRPr="003B5C89" w14:paraId="02EA11FA" w14:textId="77777777" w:rsidTr="002A3C7E">
        <w:trPr>
          <w:trHeight w:val="705"/>
          <w:jc w:val="center"/>
        </w:trPr>
        <w:tc>
          <w:tcPr>
            <w:tcW w:w="9656" w:type="dxa"/>
            <w:tcMar>
              <w:top w:w="86" w:type="dxa"/>
              <w:left w:w="115" w:type="dxa"/>
              <w:right w:w="115" w:type="dxa"/>
            </w:tcMar>
          </w:tcPr>
          <w:p w14:paraId="6709B597" w14:textId="77777777" w:rsidR="00E20776" w:rsidRDefault="00714B7D" w:rsidP="00714B7D">
            <w:pPr>
              <w:rPr>
                <w:b/>
                <w:bCs/>
              </w:rPr>
            </w:pPr>
            <w:r w:rsidRPr="00AD58FE">
              <w:rPr>
                <w:b/>
                <w:bCs/>
              </w:rPr>
              <w:t xml:space="preserve">Lista de </w:t>
            </w:r>
            <w:proofErr w:type="spellStart"/>
            <w:r>
              <w:rPr>
                <w:b/>
                <w:bCs/>
              </w:rPr>
              <w:t>m</w:t>
            </w:r>
            <w:r w:rsidRPr="00AD58FE">
              <w:rPr>
                <w:b/>
                <w:bCs/>
              </w:rPr>
              <w:t>edicamentos</w:t>
            </w:r>
            <w:proofErr w:type="spellEnd"/>
            <w:r w:rsidRPr="00AD58FE">
              <w:rPr>
                <w:b/>
                <w:bCs/>
              </w:rPr>
              <w:t xml:space="preserve"> </w:t>
            </w:r>
            <w:proofErr w:type="spellStart"/>
            <w:r>
              <w:rPr>
                <w:b/>
                <w:bCs/>
              </w:rPr>
              <w:t>e</w:t>
            </w:r>
            <w:r w:rsidRPr="00AD58FE">
              <w:rPr>
                <w:b/>
                <w:bCs/>
              </w:rPr>
              <w:t>senciales</w:t>
            </w:r>
            <w:proofErr w:type="spellEnd"/>
            <w:r w:rsidRPr="00AD58FE">
              <w:rPr>
                <w:b/>
                <w:bCs/>
              </w:rPr>
              <w:t xml:space="preserve"> y </w:t>
            </w:r>
            <w:proofErr w:type="spellStart"/>
            <w:r>
              <w:rPr>
                <w:b/>
                <w:bCs/>
              </w:rPr>
              <w:t>e</w:t>
            </w:r>
            <w:r w:rsidRPr="00AD58FE">
              <w:rPr>
                <w:b/>
                <w:bCs/>
              </w:rPr>
              <w:t>valuación</w:t>
            </w:r>
            <w:proofErr w:type="spellEnd"/>
            <w:r w:rsidRPr="00AD58FE">
              <w:rPr>
                <w:b/>
                <w:bCs/>
              </w:rPr>
              <w:t xml:space="preserve"> de </w:t>
            </w:r>
            <w:proofErr w:type="spellStart"/>
            <w:r>
              <w:rPr>
                <w:b/>
                <w:bCs/>
              </w:rPr>
              <w:t>t</w:t>
            </w:r>
            <w:r w:rsidRPr="00AD58FE">
              <w:rPr>
                <w:b/>
                <w:bCs/>
              </w:rPr>
              <w:t>ecnologías</w:t>
            </w:r>
            <w:proofErr w:type="spellEnd"/>
            <w:r w:rsidRPr="00AD58FE">
              <w:rPr>
                <w:b/>
                <w:bCs/>
              </w:rPr>
              <w:t xml:space="preserve"> </w:t>
            </w:r>
            <w:proofErr w:type="spellStart"/>
            <w:r>
              <w:rPr>
                <w:b/>
                <w:bCs/>
              </w:rPr>
              <w:t>s</w:t>
            </w:r>
            <w:r w:rsidRPr="00AD58FE">
              <w:rPr>
                <w:b/>
                <w:bCs/>
              </w:rPr>
              <w:t>anitarias</w:t>
            </w:r>
            <w:proofErr w:type="spellEnd"/>
            <w:r>
              <w:rPr>
                <w:b/>
                <w:bCs/>
              </w:rPr>
              <w:t>:</w:t>
            </w:r>
            <w:r w:rsidRPr="00AD58FE">
              <w:rPr>
                <w:b/>
                <w:bCs/>
              </w:rPr>
              <w:t xml:space="preserve"> </w:t>
            </w:r>
          </w:p>
          <w:p w14:paraId="5FF61025" w14:textId="11D65864" w:rsidR="00714B7D" w:rsidRDefault="00714B7D" w:rsidP="00714B7D">
            <w:pPr>
              <w:rPr>
                <w:b/>
                <w:bCs/>
              </w:rPr>
            </w:pPr>
            <w:r w:rsidRPr="00AD58FE">
              <w:rPr>
                <w:b/>
                <w:bCs/>
              </w:rPr>
              <w:t xml:space="preserve">Dos </w:t>
            </w:r>
            <w:proofErr w:type="spellStart"/>
            <w:r w:rsidRPr="00AD58FE">
              <w:rPr>
                <w:b/>
                <w:bCs/>
              </w:rPr>
              <w:t>estrategias</w:t>
            </w:r>
            <w:proofErr w:type="spellEnd"/>
            <w:r w:rsidRPr="00AD58FE">
              <w:rPr>
                <w:b/>
                <w:bCs/>
              </w:rPr>
              <w:t xml:space="preserve"> </w:t>
            </w:r>
            <w:proofErr w:type="spellStart"/>
            <w:r w:rsidRPr="00AD58FE">
              <w:rPr>
                <w:b/>
                <w:bCs/>
              </w:rPr>
              <w:t>complementarias</w:t>
            </w:r>
            <w:proofErr w:type="spellEnd"/>
            <w:r w:rsidRPr="00AD58FE">
              <w:rPr>
                <w:b/>
                <w:bCs/>
              </w:rPr>
              <w:t xml:space="preserve"> para </w:t>
            </w:r>
            <w:proofErr w:type="spellStart"/>
            <w:r w:rsidRPr="00AD58FE">
              <w:rPr>
                <w:b/>
                <w:bCs/>
              </w:rPr>
              <w:t>priorizar</w:t>
            </w:r>
            <w:proofErr w:type="spellEnd"/>
            <w:r w:rsidRPr="00AD58FE">
              <w:rPr>
                <w:b/>
                <w:bCs/>
              </w:rPr>
              <w:t xml:space="preserve"> </w:t>
            </w:r>
            <w:proofErr w:type="spellStart"/>
            <w:r w:rsidRPr="00AD58FE">
              <w:rPr>
                <w:b/>
                <w:bCs/>
              </w:rPr>
              <w:t>medicamentos</w:t>
            </w:r>
            <w:proofErr w:type="spellEnd"/>
            <w:r w:rsidRPr="00AD58FE">
              <w:rPr>
                <w:b/>
                <w:bCs/>
              </w:rPr>
              <w:t xml:space="preserve"> en los </w:t>
            </w:r>
            <w:proofErr w:type="spellStart"/>
            <w:r w:rsidRPr="00AD58FE">
              <w:rPr>
                <w:b/>
                <w:bCs/>
              </w:rPr>
              <w:t>sistemas</w:t>
            </w:r>
            <w:proofErr w:type="spellEnd"/>
            <w:r w:rsidRPr="00AD58FE">
              <w:rPr>
                <w:b/>
                <w:bCs/>
              </w:rPr>
              <w:t xml:space="preserve"> de </w:t>
            </w:r>
            <w:proofErr w:type="spellStart"/>
            <w:r w:rsidRPr="00AD58FE">
              <w:rPr>
                <w:b/>
                <w:bCs/>
              </w:rPr>
              <w:t>salud</w:t>
            </w:r>
            <w:proofErr w:type="spellEnd"/>
            <w:r>
              <w:rPr>
                <w:b/>
                <w:bCs/>
              </w:rPr>
              <w:t xml:space="preserve"> </w:t>
            </w:r>
          </w:p>
          <w:p w14:paraId="559F82C5" w14:textId="7DD64157" w:rsidR="00714B7D" w:rsidRPr="00714B7D" w:rsidRDefault="00714B7D" w:rsidP="00714B7D">
            <w:pPr>
              <w:rPr>
                <w:b/>
                <w:lang w:val="es-ES"/>
              </w:rPr>
            </w:pPr>
            <w:r w:rsidRPr="00AD58FE">
              <w:t>P</w:t>
            </w:r>
            <w:r>
              <w:t>.</w:t>
            </w:r>
            <w:r w:rsidRPr="00AD58FE">
              <w:t xml:space="preserve"> </w:t>
            </w:r>
            <w:proofErr w:type="spellStart"/>
            <w:r w:rsidRPr="00AD58FE">
              <w:t>Mordujovich-Buschiazzo</w:t>
            </w:r>
            <w:proofErr w:type="spellEnd"/>
            <w:r w:rsidRPr="00AD58FE">
              <w:t>, C</w:t>
            </w:r>
            <w:r>
              <w:t>.</w:t>
            </w:r>
            <w:r w:rsidRPr="00AD58FE">
              <w:t xml:space="preserve"> Dorati, M</w:t>
            </w:r>
            <w:r>
              <w:t>.</w:t>
            </w:r>
            <w:r w:rsidRPr="00AD58FE">
              <w:t xml:space="preserve"> Urtasun, G</w:t>
            </w:r>
            <w:r>
              <w:t>.</w:t>
            </w:r>
            <w:r w:rsidRPr="00AD58FE">
              <w:t>H</w:t>
            </w:r>
            <w:r>
              <w:t>.</w:t>
            </w:r>
            <w:r w:rsidRPr="00AD58FE">
              <w:t xml:space="preserve"> Marin</w:t>
            </w:r>
            <w:r>
              <w:t xml:space="preserve"> y</w:t>
            </w:r>
            <w:r w:rsidRPr="00AD58FE">
              <w:t xml:space="preserve"> M.</w:t>
            </w:r>
            <w:r>
              <w:t xml:space="preserve"> </w:t>
            </w:r>
            <w:proofErr w:type="spellStart"/>
            <w:r w:rsidRPr="00AD58FE">
              <w:t>Cañas</w:t>
            </w:r>
            <w:proofErr w:type="spellEnd"/>
          </w:p>
        </w:tc>
        <w:tc>
          <w:tcPr>
            <w:tcW w:w="599" w:type="dxa"/>
            <w:tcMar>
              <w:top w:w="86" w:type="dxa"/>
              <w:left w:w="115" w:type="dxa"/>
              <w:right w:w="115" w:type="dxa"/>
            </w:tcMar>
          </w:tcPr>
          <w:p w14:paraId="6368A2B2" w14:textId="77777777" w:rsidR="00714B7D" w:rsidRDefault="00714B7D" w:rsidP="002A3C7E">
            <w:pPr>
              <w:jc w:val="right"/>
            </w:pPr>
          </w:p>
          <w:p w14:paraId="40366C6B" w14:textId="68FD59AC" w:rsidR="00714B7D" w:rsidRPr="003B5C89" w:rsidRDefault="00714B7D" w:rsidP="002A3C7E">
            <w:pPr>
              <w:jc w:val="right"/>
            </w:pPr>
            <w:r>
              <w:t>1</w:t>
            </w:r>
          </w:p>
        </w:tc>
      </w:tr>
      <w:tr w:rsidR="00714B7D" w:rsidRPr="003B5C89" w14:paraId="3EE499D6" w14:textId="77777777" w:rsidTr="002A3C7E">
        <w:trPr>
          <w:trHeight w:val="714"/>
          <w:jc w:val="center"/>
        </w:trPr>
        <w:tc>
          <w:tcPr>
            <w:tcW w:w="9656" w:type="dxa"/>
            <w:tcMar>
              <w:top w:w="86" w:type="dxa"/>
              <w:left w:w="115" w:type="dxa"/>
              <w:right w:w="115" w:type="dxa"/>
            </w:tcMar>
          </w:tcPr>
          <w:p w14:paraId="24664995" w14:textId="77777777" w:rsidR="00714B7D" w:rsidRPr="006B28E8" w:rsidRDefault="00714B7D" w:rsidP="00714B7D">
            <w:pPr>
              <w:rPr>
                <w:b/>
                <w:bCs/>
                <w:lang w:val="es-ES"/>
              </w:rPr>
            </w:pPr>
            <w:r w:rsidRPr="006B28E8">
              <w:rPr>
                <w:b/>
                <w:bCs/>
                <w:lang w:val="es-ES"/>
              </w:rPr>
              <w:t>La Asamblea Mundial de la Salud aprueba el Plan de Acción Mundial actualizado sobre la Resistencia a los Antimicrobianos (2026-2036)</w:t>
            </w:r>
          </w:p>
          <w:p w14:paraId="355AB65D" w14:textId="0321B179" w:rsidR="00714B7D" w:rsidRPr="003B5C89" w:rsidRDefault="00714B7D" w:rsidP="00714B7D">
            <w:pPr>
              <w:rPr>
                <w:lang w:val="es-ES"/>
              </w:rPr>
            </w:pPr>
            <w:r w:rsidRPr="006B28E8">
              <w:rPr>
                <w:i/>
                <w:iCs/>
                <w:lang w:val="es-ES"/>
              </w:rPr>
              <w:t>Organización Mundial de la Salud</w:t>
            </w:r>
            <w:r>
              <w:rPr>
                <w:i/>
                <w:iCs/>
                <w:lang w:val="es-ES"/>
              </w:rPr>
              <w:t xml:space="preserve"> (OMS), </w:t>
            </w:r>
            <w:r w:rsidRPr="00761F38">
              <w:rPr>
                <w:lang w:val="es-ES"/>
              </w:rPr>
              <w:t>25 de mayo de 2026</w:t>
            </w:r>
          </w:p>
        </w:tc>
        <w:tc>
          <w:tcPr>
            <w:tcW w:w="599" w:type="dxa"/>
            <w:tcMar>
              <w:top w:w="86" w:type="dxa"/>
              <w:left w:w="115" w:type="dxa"/>
              <w:right w:w="115" w:type="dxa"/>
            </w:tcMar>
          </w:tcPr>
          <w:p w14:paraId="7412D9AF" w14:textId="77777777" w:rsidR="00714B7D" w:rsidRDefault="00714B7D" w:rsidP="002A3C7E">
            <w:pPr>
              <w:jc w:val="right"/>
            </w:pPr>
          </w:p>
          <w:p w14:paraId="12360EDB" w14:textId="187DB4EB" w:rsidR="00714B7D" w:rsidRPr="003B5C89" w:rsidRDefault="00714B7D" w:rsidP="002A3C7E">
            <w:pPr>
              <w:jc w:val="right"/>
            </w:pPr>
            <w:r>
              <w:t>2</w:t>
            </w:r>
          </w:p>
        </w:tc>
      </w:tr>
      <w:tr w:rsidR="00714B7D" w:rsidRPr="003B5C89" w14:paraId="1B93E9D6" w14:textId="77777777" w:rsidTr="002A3C7E">
        <w:trPr>
          <w:trHeight w:val="705"/>
          <w:jc w:val="center"/>
        </w:trPr>
        <w:tc>
          <w:tcPr>
            <w:tcW w:w="9656" w:type="dxa"/>
            <w:tcMar>
              <w:top w:w="86" w:type="dxa"/>
              <w:left w:w="115" w:type="dxa"/>
              <w:right w:w="115" w:type="dxa"/>
            </w:tcMar>
          </w:tcPr>
          <w:p w14:paraId="1C7545FB" w14:textId="77777777" w:rsidR="00E20776" w:rsidRPr="004E2C2A" w:rsidRDefault="00E20776" w:rsidP="00E20776">
            <w:pPr>
              <w:rPr>
                <w:b/>
                <w:bCs/>
              </w:rPr>
            </w:pPr>
            <w:r w:rsidRPr="004E2C2A">
              <w:rPr>
                <w:b/>
                <w:bCs/>
              </w:rPr>
              <w:t xml:space="preserve">La </w:t>
            </w:r>
            <w:proofErr w:type="spellStart"/>
            <w:r w:rsidRPr="004E2C2A">
              <w:rPr>
                <w:b/>
                <w:bCs/>
              </w:rPr>
              <w:t>ofensiva</w:t>
            </w:r>
            <w:proofErr w:type="spellEnd"/>
            <w:r w:rsidRPr="004E2C2A">
              <w:rPr>
                <w:b/>
                <w:bCs/>
              </w:rPr>
              <w:t xml:space="preserve"> </w:t>
            </w:r>
            <w:proofErr w:type="spellStart"/>
            <w:r w:rsidRPr="004E2C2A">
              <w:rPr>
                <w:b/>
                <w:bCs/>
              </w:rPr>
              <w:t>mundial</w:t>
            </w:r>
            <w:proofErr w:type="spellEnd"/>
            <w:r w:rsidRPr="004E2C2A">
              <w:rPr>
                <w:b/>
                <w:bCs/>
              </w:rPr>
              <w:t xml:space="preserve"> contra los </w:t>
            </w:r>
            <w:proofErr w:type="spellStart"/>
            <w:r w:rsidRPr="004E2C2A">
              <w:rPr>
                <w:b/>
                <w:bCs/>
              </w:rPr>
              <w:t>productos</w:t>
            </w:r>
            <w:proofErr w:type="spellEnd"/>
            <w:r w:rsidRPr="004E2C2A">
              <w:rPr>
                <w:b/>
                <w:bCs/>
              </w:rPr>
              <w:t xml:space="preserve"> </w:t>
            </w:r>
            <w:proofErr w:type="spellStart"/>
            <w:r w:rsidRPr="004E2C2A">
              <w:rPr>
                <w:b/>
                <w:bCs/>
              </w:rPr>
              <w:t>farmacéuticos</w:t>
            </w:r>
            <w:proofErr w:type="spellEnd"/>
            <w:r w:rsidRPr="004E2C2A">
              <w:rPr>
                <w:b/>
                <w:bCs/>
              </w:rPr>
              <w:t xml:space="preserve"> </w:t>
            </w:r>
            <w:proofErr w:type="spellStart"/>
            <w:r w:rsidRPr="004E2C2A">
              <w:rPr>
                <w:b/>
                <w:bCs/>
              </w:rPr>
              <w:t>ilícitos</w:t>
            </w:r>
            <w:proofErr w:type="spellEnd"/>
            <w:r w:rsidRPr="004E2C2A">
              <w:rPr>
                <w:b/>
                <w:bCs/>
              </w:rPr>
              <w:t xml:space="preserve"> </w:t>
            </w:r>
            <w:proofErr w:type="spellStart"/>
            <w:r w:rsidRPr="004E2C2A">
              <w:rPr>
                <w:b/>
                <w:bCs/>
              </w:rPr>
              <w:t>registra</w:t>
            </w:r>
            <w:proofErr w:type="spellEnd"/>
            <w:r w:rsidRPr="004E2C2A">
              <w:rPr>
                <w:b/>
                <w:bCs/>
              </w:rPr>
              <w:t xml:space="preserve"> </w:t>
            </w:r>
            <w:proofErr w:type="spellStart"/>
            <w:r w:rsidRPr="004E2C2A">
              <w:rPr>
                <w:b/>
                <w:bCs/>
              </w:rPr>
              <w:t>incautaciones</w:t>
            </w:r>
            <w:proofErr w:type="spellEnd"/>
            <w:r w:rsidRPr="004E2C2A">
              <w:rPr>
                <w:b/>
                <w:bCs/>
              </w:rPr>
              <w:t xml:space="preserve"> por valor de US$15,5 </w:t>
            </w:r>
            <w:proofErr w:type="spellStart"/>
            <w:r w:rsidRPr="004E2C2A">
              <w:rPr>
                <w:b/>
                <w:bCs/>
              </w:rPr>
              <w:t>millones</w:t>
            </w:r>
            <w:proofErr w:type="spellEnd"/>
          </w:p>
          <w:p w14:paraId="72184DB0" w14:textId="5A0A7FC7" w:rsidR="00714B7D" w:rsidRPr="003B5C89" w:rsidRDefault="00E20776" w:rsidP="00E20776">
            <w:r w:rsidRPr="00410D02">
              <w:rPr>
                <w:rFonts w:cs="Times New Roman"/>
                <w:i/>
                <w:szCs w:val="20"/>
              </w:rPr>
              <w:t>INTERPOL</w:t>
            </w:r>
            <w:r w:rsidRPr="005A092D">
              <w:rPr>
                <w:szCs w:val="20"/>
              </w:rPr>
              <w:t>, 7 de mayo de 2026</w:t>
            </w:r>
          </w:p>
        </w:tc>
        <w:tc>
          <w:tcPr>
            <w:tcW w:w="599" w:type="dxa"/>
            <w:tcMar>
              <w:top w:w="86" w:type="dxa"/>
              <w:left w:w="115" w:type="dxa"/>
              <w:right w:w="115" w:type="dxa"/>
            </w:tcMar>
          </w:tcPr>
          <w:p w14:paraId="29694789" w14:textId="77777777" w:rsidR="00714B7D" w:rsidRDefault="00714B7D" w:rsidP="002A3C7E">
            <w:pPr>
              <w:jc w:val="right"/>
            </w:pPr>
          </w:p>
          <w:p w14:paraId="46EA0A24" w14:textId="77777777" w:rsidR="00714B7D" w:rsidRPr="003B5C89" w:rsidRDefault="00714B7D" w:rsidP="002A3C7E">
            <w:pPr>
              <w:jc w:val="right"/>
            </w:pPr>
            <w:r>
              <w:t>4</w:t>
            </w:r>
          </w:p>
        </w:tc>
      </w:tr>
      <w:tr w:rsidR="00714B7D" w:rsidRPr="003B5C89" w14:paraId="30B2DC6E" w14:textId="77777777" w:rsidTr="002A3C7E">
        <w:trPr>
          <w:trHeight w:val="705"/>
          <w:jc w:val="center"/>
        </w:trPr>
        <w:tc>
          <w:tcPr>
            <w:tcW w:w="9656" w:type="dxa"/>
            <w:tcMar>
              <w:top w:w="86" w:type="dxa"/>
              <w:left w:w="115" w:type="dxa"/>
              <w:right w:w="115" w:type="dxa"/>
            </w:tcMar>
          </w:tcPr>
          <w:p w14:paraId="15929FD8" w14:textId="77777777" w:rsidR="00E20776" w:rsidRDefault="00E20776" w:rsidP="00E20776">
            <w:pPr>
              <w:rPr>
                <w:rFonts w:eastAsia="Times New Roman" w:cs="Times New Roman"/>
                <w:i/>
                <w:iCs/>
                <w:color w:val="000000" w:themeColor="text1"/>
                <w:szCs w:val="20"/>
              </w:rPr>
            </w:pPr>
            <w:r w:rsidRPr="00874444">
              <w:rPr>
                <w:rFonts w:eastAsia="Times New Roman" w:cs="Times New Roman"/>
                <w:b/>
                <w:bCs/>
                <w:szCs w:val="20"/>
                <w:lang w:val="es-ES"/>
              </w:rPr>
              <w:t xml:space="preserve">Reino Unido y EE UU profundizan la cooperación regulatoria en dispositivos médicos, </w:t>
            </w:r>
            <w:r>
              <w:rPr>
                <w:rFonts w:eastAsia="Times New Roman" w:cs="Times New Roman"/>
                <w:b/>
                <w:bCs/>
                <w:szCs w:val="20"/>
                <w:lang w:val="es-ES"/>
              </w:rPr>
              <w:t>construyendo</w:t>
            </w:r>
            <w:r w:rsidRPr="00874444">
              <w:rPr>
                <w:rFonts w:eastAsia="Times New Roman" w:cs="Times New Roman"/>
                <w:b/>
                <w:bCs/>
                <w:szCs w:val="20"/>
                <w:lang w:val="es-ES"/>
              </w:rPr>
              <w:t xml:space="preserve"> una alianza farmacéutica más amplia</w:t>
            </w:r>
          </w:p>
          <w:p w14:paraId="530DDD60" w14:textId="350AE25C" w:rsidR="00714B7D" w:rsidRPr="003B5C89" w:rsidRDefault="00E20776" w:rsidP="00E20776">
            <w:r w:rsidRPr="00874444">
              <w:rPr>
                <w:rFonts w:eastAsia="Times New Roman" w:cs="Times New Roman"/>
                <w:i/>
                <w:iCs/>
                <w:color w:val="000000" w:themeColor="text1"/>
                <w:szCs w:val="20"/>
              </w:rPr>
              <w:t>Medicines and Healthcare products Regulatory Agency (MHRA),</w:t>
            </w:r>
            <w:r w:rsidRPr="00874444">
              <w:rPr>
                <w:rFonts w:eastAsia="Times New Roman" w:cs="Times New Roman"/>
                <w:color w:val="000000" w:themeColor="text1"/>
                <w:szCs w:val="20"/>
              </w:rPr>
              <w:t xml:space="preserve"> 2 de </w:t>
            </w:r>
            <w:proofErr w:type="spellStart"/>
            <w:r w:rsidRPr="00874444">
              <w:rPr>
                <w:rFonts w:eastAsia="Times New Roman" w:cs="Times New Roman"/>
                <w:color w:val="000000" w:themeColor="text1"/>
                <w:szCs w:val="20"/>
              </w:rPr>
              <w:t>abril</w:t>
            </w:r>
            <w:proofErr w:type="spellEnd"/>
            <w:r w:rsidRPr="00874444">
              <w:rPr>
                <w:rFonts w:eastAsia="Times New Roman" w:cs="Times New Roman"/>
                <w:color w:val="000000" w:themeColor="text1"/>
                <w:szCs w:val="20"/>
              </w:rPr>
              <w:t xml:space="preserve"> del 2026</w:t>
            </w:r>
          </w:p>
        </w:tc>
        <w:tc>
          <w:tcPr>
            <w:tcW w:w="599" w:type="dxa"/>
            <w:tcMar>
              <w:top w:w="86" w:type="dxa"/>
              <w:left w:w="115" w:type="dxa"/>
              <w:right w:w="115" w:type="dxa"/>
            </w:tcMar>
          </w:tcPr>
          <w:p w14:paraId="55F28051" w14:textId="77777777" w:rsidR="00714B7D" w:rsidRDefault="00714B7D" w:rsidP="002A3C7E">
            <w:pPr>
              <w:jc w:val="right"/>
            </w:pPr>
          </w:p>
          <w:p w14:paraId="53319877" w14:textId="448CBA06" w:rsidR="00714B7D" w:rsidRPr="003B5C89" w:rsidRDefault="00E20776" w:rsidP="002A3C7E">
            <w:pPr>
              <w:jc w:val="right"/>
            </w:pPr>
            <w:r>
              <w:t>6</w:t>
            </w:r>
          </w:p>
        </w:tc>
      </w:tr>
      <w:tr w:rsidR="00714B7D" w:rsidRPr="003B5C89" w14:paraId="4C2FFBF4" w14:textId="77777777" w:rsidTr="002A3C7E">
        <w:trPr>
          <w:trHeight w:val="705"/>
          <w:jc w:val="center"/>
        </w:trPr>
        <w:tc>
          <w:tcPr>
            <w:tcW w:w="9656" w:type="dxa"/>
            <w:tcMar>
              <w:top w:w="86" w:type="dxa"/>
              <w:left w:w="115" w:type="dxa"/>
              <w:right w:w="115" w:type="dxa"/>
            </w:tcMar>
          </w:tcPr>
          <w:p w14:paraId="30288F45" w14:textId="77777777" w:rsidR="00E20776" w:rsidRPr="00611227" w:rsidRDefault="00E20776" w:rsidP="00E20776">
            <w:pPr>
              <w:rPr>
                <w:rFonts w:cs="Times New Roman"/>
                <w:b/>
                <w:bCs/>
                <w:color w:val="000000" w:themeColor="text1"/>
                <w:szCs w:val="20"/>
              </w:rPr>
            </w:pPr>
            <w:proofErr w:type="spellStart"/>
            <w:r w:rsidRPr="00611227">
              <w:rPr>
                <w:rFonts w:cs="Times New Roman"/>
                <w:b/>
                <w:bCs/>
                <w:color w:val="000000" w:themeColor="text1"/>
                <w:szCs w:val="20"/>
              </w:rPr>
              <w:t>Iniciativa</w:t>
            </w:r>
            <w:proofErr w:type="spellEnd"/>
            <w:r w:rsidRPr="00611227">
              <w:rPr>
                <w:rFonts w:cs="Times New Roman"/>
                <w:b/>
                <w:bCs/>
                <w:color w:val="000000" w:themeColor="text1"/>
                <w:szCs w:val="20"/>
              </w:rPr>
              <w:t xml:space="preserve"> de </w:t>
            </w:r>
            <w:proofErr w:type="spellStart"/>
            <w:r w:rsidRPr="00611227">
              <w:rPr>
                <w:rFonts w:cs="Times New Roman"/>
                <w:b/>
                <w:bCs/>
                <w:color w:val="000000" w:themeColor="text1"/>
                <w:szCs w:val="20"/>
              </w:rPr>
              <w:t>colaboración</w:t>
            </w:r>
            <w:proofErr w:type="spellEnd"/>
            <w:r w:rsidRPr="00611227">
              <w:rPr>
                <w:rFonts w:cs="Times New Roman"/>
                <w:b/>
                <w:bCs/>
                <w:color w:val="000000" w:themeColor="text1"/>
                <w:szCs w:val="20"/>
              </w:rPr>
              <w:t xml:space="preserve"> </w:t>
            </w:r>
            <w:r>
              <w:rPr>
                <w:rFonts w:cs="Times New Roman"/>
                <w:b/>
                <w:bCs/>
                <w:color w:val="000000" w:themeColor="text1"/>
                <w:szCs w:val="20"/>
              </w:rPr>
              <w:t xml:space="preserve">entre EE UU y </w:t>
            </w:r>
            <w:proofErr w:type="spellStart"/>
            <w:r>
              <w:rPr>
                <w:rFonts w:cs="Times New Roman"/>
                <w:b/>
                <w:bCs/>
                <w:color w:val="000000" w:themeColor="text1"/>
                <w:szCs w:val="20"/>
              </w:rPr>
              <w:t>el</w:t>
            </w:r>
            <w:proofErr w:type="spellEnd"/>
            <w:r>
              <w:rPr>
                <w:rFonts w:cs="Times New Roman"/>
                <w:b/>
                <w:bCs/>
                <w:color w:val="000000" w:themeColor="text1"/>
                <w:szCs w:val="20"/>
              </w:rPr>
              <w:t xml:space="preserve"> </w:t>
            </w:r>
            <w:proofErr w:type="spellStart"/>
            <w:r>
              <w:rPr>
                <w:rFonts w:cs="Times New Roman"/>
                <w:b/>
                <w:bCs/>
                <w:color w:val="000000" w:themeColor="text1"/>
                <w:szCs w:val="20"/>
              </w:rPr>
              <w:t>Reino</w:t>
            </w:r>
            <w:proofErr w:type="spellEnd"/>
            <w:r>
              <w:rPr>
                <w:rFonts w:cs="Times New Roman"/>
                <w:b/>
                <w:bCs/>
                <w:color w:val="000000" w:themeColor="text1"/>
                <w:szCs w:val="20"/>
              </w:rPr>
              <w:t xml:space="preserve"> </w:t>
            </w:r>
            <w:proofErr w:type="spellStart"/>
            <w:r>
              <w:rPr>
                <w:rFonts w:cs="Times New Roman"/>
                <w:b/>
                <w:bCs/>
                <w:color w:val="000000" w:themeColor="text1"/>
                <w:szCs w:val="20"/>
              </w:rPr>
              <w:t>Unido</w:t>
            </w:r>
            <w:proofErr w:type="spellEnd"/>
            <w:r>
              <w:rPr>
                <w:rFonts w:cs="Times New Roman"/>
                <w:b/>
                <w:bCs/>
                <w:color w:val="000000" w:themeColor="text1"/>
                <w:szCs w:val="20"/>
              </w:rPr>
              <w:t xml:space="preserve"> </w:t>
            </w:r>
            <w:proofErr w:type="spellStart"/>
            <w:r w:rsidRPr="00611227">
              <w:rPr>
                <w:rFonts w:cs="Times New Roman"/>
                <w:b/>
                <w:bCs/>
                <w:color w:val="000000" w:themeColor="text1"/>
                <w:szCs w:val="20"/>
              </w:rPr>
              <w:t>contribuye</w:t>
            </w:r>
            <w:proofErr w:type="spellEnd"/>
            <w:r w:rsidRPr="00611227">
              <w:rPr>
                <w:rFonts w:cs="Times New Roman"/>
                <w:b/>
                <w:bCs/>
                <w:color w:val="000000" w:themeColor="text1"/>
                <w:szCs w:val="20"/>
              </w:rPr>
              <w:t xml:space="preserve"> a </w:t>
            </w:r>
            <w:proofErr w:type="spellStart"/>
            <w:r w:rsidRPr="00611227">
              <w:rPr>
                <w:rFonts w:cs="Times New Roman"/>
                <w:b/>
                <w:bCs/>
                <w:color w:val="000000" w:themeColor="text1"/>
                <w:szCs w:val="20"/>
              </w:rPr>
              <w:t>definir</w:t>
            </w:r>
            <w:proofErr w:type="spellEnd"/>
            <w:r w:rsidRPr="00611227">
              <w:rPr>
                <w:rFonts w:cs="Times New Roman"/>
                <w:b/>
                <w:bCs/>
                <w:color w:val="000000" w:themeColor="text1"/>
                <w:szCs w:val="20"/>
              </w:rPr>
              <w:t xml:space="preserve"> la </w:t>
            </w:r>
            <w:proofErr w:type="spellStart"/>
            <w:r w:rsidRPr="00611227">
              <w:rPr>
                <w:rFonts w:cs="Times New Roman"/>
                <w:b/>
                <w:bCs/>
                <w:color w:val="000000" w:themeColor="text1"/>
                <w:szCs w:val="20"/>
              </w:rPr>
              <w:t>regulación</w:t>
            </w:r>
            <w:proofErr w:type="spellEnd"/>
            <w:r w:rsidRPr="00611227">
              <w:rPr>
                <w:rFonts w:cs="Times New Roman"/>
                <w:b/>
                <w:bCs/>
                <w:color w:val="000000" w:themeColor="text1"/>
                <w:szCs w:val="20"/>
              </w:rPr>
              <w:t xml:space="preserve"> sanitaria global</w:t>
            </w:r>
            <w:r>
              <w:rPr>
                <w:rFonts w:cs="Times New Roman"/>
                <w:b/>
                <w:bCs/>
                <w:color w:val="000000" w:themeColor="text1"/>
                <w:szCs w:val="20"/>
              </w:rPr>
              <w:t xml:space="preserve"> </w:t>
            </w:r>
            <w:proofErr w:type="spellStart"/>
            <w:r>
              <w:rPr>
                <w:rFonts w:cs="Times New Roman"/>
                <w:b/>
                <w:bCs/>
                <w:color w:val="000000" w:themeColor="text1"/>
                <w:szCs w:val="20"/>
              </w:rPr>
              <w:t>futura</w:t>
            </w:r>
            <w:proofErr w:type="spellEnd"/>
          </w:p>
          <w:p w14:paraId="3C438788" w14:textId="1F0D1047" w:rsidR="00714B7D" w:rsidRPr="003B5C89" w:rsidRDefault="00E20776" w:rsidP="00E20776">
            <w:pPr>
              <w:contextualSpacing/>
              <w:rPr>
                <w:rFonts w:cs="Times New Roman"/>
                <w:b/>
                <w:bCs/>
                <w:szCs w:val="20"/>
              </w:rPr>
            </w:pPr>
            <w:proofErr w:type="spellStart"/>
            <w:r w:rsidRPr="00611227">
              <w:rPr>
                <w:rFonts w:cs="Times New Roman"/>
                <w:color w:val="000000" w:themeColor="text1"/>
                <w:szCs w:val="20"/>
              </w:rPr>
              <w:t>Salud</w:t>
            </w:r>
            <w:proofErr w:type="spellEnd"/>
            <w:r w:rsidRPr="00611227">
              <w:rPr>
                <w:rFonts w:cs="Times New Roman"/>
                <w:color w:val="000000" w:themeColor="text1"/>
                <w:szCs w:val="20"/>
              </w:rPr>
              <w:t xml:space="preserve"> y Fármacos</w:t>
            </w:r>
          </w:p>
        </w:tc>
        <w:tc>
          <w:tcPr>
            <w:tcW w:w="599" w:type="dxa"/>
            <w:tcMar>
              <w:top w:w="86" w:type="dxa"/>
              <w:left w:w="115" w:type="dxa"/>
              <w:right w:w="115" w:type="dxa"/>
            </w:tcMar>
          </w:tcPr>
          <w:p w14:paraId="05B3522A" w14:textId="77777777" w:rsidR="00714B7D" w:rsidRDefault="00714B7D" w:rsidP="002A3C7E">
            <w:pPr>
              <w:jc w:val="right"/>
            </w:pPr>
          </w:p>
          <w:p w14:paraId="4B63BBFF" w14:textId="7562723F" w:rsidR="00714B7D" w:rsidRPr="003B5C89" w:rsidRDefault="00E20776" w:rsidP="002A3C7E">
            <w:pPr>
              <w:jc w:val="right"/>
            </w:pPr>
            <w:r>
              <w:t>7</w:t>
            </w:r>
          </w:p>
        </w:tc>
      </w:tr>
      <w:tr w:rsidR="00714B7D" w:rsidRPr="003B5C89" w14:paraId="75A8DF66" w14:textId="77777777" w:rsidTr="002A3C7E">
        <w:trPr>
          <w:trHeight w:val="705"/>
          <w:jc w:val="center"/>
        </w:trPr>
        <w:tc>
          <w:tcPr>
            <w:tcW w:w="9656" w:type="dxa"/>
            <w:tcMar>
              <w:top w:w="86" w:type="dxa"/>
              <w:left w:w="115" w:type="dxa"/>
              <w:right w:w="115" w:type="dxa"/>
            </w:tcMar>
          </w:tcPr>
          <w:p w14:paraId="7193616E" w14:textId="77777777" w:rsidR="00E20776" w:rsidRPr="006C2547" w:rsidRDefault="00E20776" w:rsidP="00E20776">
            <w:pPr>
              <w:rPr>
                <w:rFonts w:cs="Times New Roman"/>
                <w:b/>
                <w:bCs/>
                <w:color w:val="000000" w:themeColor="text1"/>
                <w:szCs w:val="20"/>
              </w:rPr>
            </w:pPr>
            <w:proofErr w:type="spellStart"/>
            <w:r w:rsidRPr="006C2547">
              <w:rPr>
                <w:rFonts w:cs="Times New Roman"/>
                <w:b/>
                <w:bCs/>
                <w:color w:val="000000" w:themeColor="text1"/>
                <w:szCs w:val="20"/>
              </w:rPr>
              <w:t>Designación</w:t>
            </w:r>
            <w:proofErr w:type="spellEnd"/>
            <w:r w:rsidRPr="006C2547">
              <w:rPr>
                <w:rFonts w:cs="Times New Roman"/>
                <w:b/>
                <w:bCs/>
                <w:color w:val="000000" w:themeColor="text1"/>
                <w:szCs w:val="20"/>
              </w:rPr>
              <w:t xml:space="preserve"> de </w:t>
            </w:r>
            <w:proofErr w:type="spellStart"/>
            <w:r>
              <w:rPr>
                <w:rFonts w:cs="Times New Roman"/>
                <w:b/>
                <w:bCs/>
                <w:color w:val="000000" w:themeColor="text1"/>
                <w:szCs w:val="20"/>
              </w:rPr>
              <w:t>m</w:t>
            </w:r>
            <w:r w:rsidRPr="006C2547">
              <w:rPr>
                <w:rFonts w:cs="Times New Roman"/>
                <w:b/>
                <w:bCs/>
                <w:color w:val="000000" w:themeColor="text1"/>
                <w:szCs w:val="20"/>
              </w:rPr>
              <w:t>edicamento</w:t>
            </w:r>
            <w:proofErr w:type="spellEnd"/>
            <w:r w:rsidRPr="006C2547">
              <w:rPr>
                <w:rFonts w:cs="Times New Roman"/>
                <w:b/>
                <w:bCs/>
                <w:color w:val="000000" w:themeColor="text1"/>
                <w:szCs w:val="20"/>
              </w:rPr>
              <w:t xml:space="preserve"> </w:t>
            </w:r>
            <w:proofErr w:type="spellStart"/>
            <w:r>
              <w:rPr>
                <w:rFonts w:cs="Times New Roman"/>
                <w:b/>
                <w:bCs/>
                <w:color w:val="000000" w:themeColor="text1"/>
                <w:szCs w:val="20"/>
              </w:rPr>
              <w:t>h</w:t>
            </w:r>
            <w:r w:rsidRPr="006C2547">
              <w:rPr>
                <w:rFonts w:cs="Times New Roman"/>
                <w:b/>
                <w:bCs/>
                <w:color w:val="000000" w:themeColor="text1"/>
                <w:szCs w:val="20"/>
              </w:rPr>
              <w:t>uérfano</w:t>
            </w:r>
            <w:proofErr w:type="spellEnd"/>
            <w:r w:rsidRPr="006C2547">
              <w:rPr>
                <w:rFonts w:cs="Times New Roman"/>
                <w:b/>
                <w:bCs/>
                <w:color w:val="000000" w:themeColor="text1"/>
                <w:szCs w:val="20"/>
              </w:rPr>
              <w:t xml:space="preserve"> para </w:t>
            </w:r>
            <w:proofErr w:type="spellStart"/>
            <w:r>
              <w:rPr>
                <w:rFonts w:cs="Times New Roman"/>
                <w:b/>
                <w:bCs/>
                <w:color w:val="000000" w:themeColor="text1"/>
                <w:szCs w:val="20"/>
              </w:rPr>
              <w:t>fármac</w:t>
            </w:r>
            <w:r w:rsidRPr="006C2547">
              <w:rPr>
                <w:rFonts w:cs="Times New Roman"/>
                <w:b/>
                <w:bCs/>
                <w:color w:val="000000" w:themeColor="text1"/>
                <w:szCs w:val="20"/>
              </w:rPr>
              <w:t>os</w:t>
            </w:r>
            <w:proofErr w:type="spellEnd"/>
            <w:r w:rsidRPr="006C2547">
              <w:rPr>
                <w:rFonts w:cs="Times New Roman"/>
                <w:b/>
                <w:bCs/>
                <w:color w:val="000000" w:themeColor="text1"/>
                <w:szCs w:val="20"/>
              </w:rPr>
              <w:t xml:space="preserve"> </w:t>
            </w:r>
            <w:proofErr w:type="spellStart"/>
            <w:r>
              <w:rPr>
                <w:rFonts w:cs="Times New Roman"/>
                <w:b/>
                <w:bCs/>
                <w:color w:val="000000" w:themeColor="text1"/>
                <w:szCs w:val="20"/>
              </w:rPr>
              <w:t>a</w:t>
            </w:r>
            <w:r w:rsidRPr="006C2547">
              <w:rPr>
                <w:rFonts w:cs="Times New Roman"/>
                <w:b/>
                <w:bCs/>
                <w:color w:val="000000" w:themeColor="text1"/>
                <w:szCs w:val="20"/>
              </w:rPr>
              <w:t>probados</w:t>
            </w:r>
            <w:proofErr w:type="spellEnd"/>
            <w:r w:rsidRPr="006C2547">
              <w:rPr>
                <w:rFonts w:cs="Times New Roman"/>
                <w:b/>
                <w:bCs/>
                <w:color w:val="000000" w:themeColor="text1"/>
                <w:szCs w:val="20"/>
              </w:rPr>
              <w:t xml:space="preserve"> en EE UU y la UE: Un </w:t>
            </w:r>
            <w:proofErr w:type="spellStart"/>
            <w:r w:rsidRPr="006C2547">
              <w:rPr>
                <w:rFonts w:cs="Times New Roman"/>
                <w:b/>
                <w:bCs/>
                <w:color w:val="000000" w:themeColor="text1"/>
                <w:szCs w:val="20"/>
              </w:rPr>
              <w:t>Análisis</w:t>
            </w:r>
            <w:proofErr w:type="spellEnd"/>
            <w:r w:rsidRPr="006C2547">
              <w:rPr>
                <w:rFonts w:cs="Times New Roman"/>
                <w:b/>
                <w:bCs/>
                <w:color w:val="000000" w:themeColor="text1"/>
                <w:szCs w:val="20"/>
              </w:rPr>
              <w:t xml:space="preserve"> </w:t>
            </w:r>
            <w:proofErr w:type="spellStart"/>
            <w:r w:rsidRPr="006C2547">
              <w:rPr>
                <w:rFonts w:cs="Times New Roman"/>
                <w:b/>
                <w:bCs/>
                <w:color w:val="000000" w:themeColor="text1"/>
                <w:szCs w:val="20"/>
              </w:rPr>
              <w:t>Comparativo</w:t>
            </w:r>
            <w:proofErr w:type="spellEnd"/>
          </w:p>
          <w:p w14:paraId="5639C4CD" w14:textId="3E0DBDA9" w:rsidR="00714B7D" w:rsidRPr="003B5C89" w:rsidRDefault="00E20776" w:rsidP="00E20776">
            <w:r w:rsidRPr="00C07879">
              <w:rPr>
                <w:rFonts w:cs="Times New Roman"/>
                <w:color w:val="000000" w:themeColor="text1"/>
                <w:szCs w:val="20"/>
                <w:lang w:val="pt-BR"/>
              </w:rPr>
              <w:t xml:space="preserve">E Costa, JS Ross y AS </w:t>
            </w:r>
            <w:proofErr w:type="spellStart"/>
            <w:r w:rsidRPr="00C07879">
              <w:rPr>
                <w:rFonts w:cs="Times New Roman"/>
                <w:color w:val="000000" w:themeColor="text1"/>
                <w:szCs w:val="20"/>
                <w:lang w:val="pt-BR"/>
              </w:rPr>
              <w:t>Kesselheim</w:t>
            </w:r>
            <w:proofErr w:type="spellEnd"/>
          </w:p>
        </w:tc>
        <w:tc>
          <w:tcPr>
            <w:tcW w:w="599" w:type="dxa"/>
            <w:tcMar>
              <w:top w:w="86" w:type="dxa"/>
              <w:left w:w="115" w:type="dxa"/>
              <w:right w:w="115" w:type="dxa"/>
            </w:tcMar>
          </w:tcPr>
          <w:p w14:paraId="08066CF6" w14:textId="77777777" w:rsidR="00714B7D" w:rsidRDefault="00714B7D" w:rsidP="002A3C7E">
            <w:pPr>
              <w:jc w:val="right"/>
            </w:pPr>
          </w:p>
          <w:p w14:paraId="798EC858" w14:textId="77777777" w:rsidR="00714B7D" w:rsidRPr="003B5C89" w:rsidRDefault="00714B7D" w:rsidP="002A3C7E">
            <w:pPr>
              <w:jc w:val="right"/>
            </w:pPr>
            <w:r>
              <w:t>7</w:t>
            </w:r>
          </w:p>
        </w:tc>
      </w:tr>
    </w:tbl>
    <w:p w14:paraId="6F304427" w14:textId="77777777" w:rsidR="00714B7D" w:rsidRDefault="00714B7D" w:rsidP="00714B7D">
      <w:pPr>
        <w:rPr>
          <w:rFonts w:eastAsia="Calibri"/>
          <w:b/>
          <w:bCs/>
          <w:szCs w:val="22"/>
          <w:lang w:val="es-ES"/>
        </w:rPr>
      </w:pPr>
    </w:p>
    <w:tbl>
      <w:tblPr>
        <w:tblStyle w:val="Tablaconcuadrcula"/>
        <w:tblW w:w="10347"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0"/>
        <w:gridCol w:w="447"/>
      </w:tblGrid>
      <w:tr w:rsidR="00B916D2" w14:paraId="3F1F040F" w14:textId="77777777" w:rsidTr="002A3C7E">
        <w:tc>
          <w:tcPr>
            <w:tcW w:w="9900" w:type="dxa"/>
            <w:tcBorders>
              <w:top w:val="single" w:sz="4" w:space="0" w:color="auto"/>
              <w:bottom w:val="single" w:sz="4" w:space="0" w:color="auto"/>
            </w:tcBorders>
            <w:tcMar>
              <w:top w:w="86" w:type="dxa"/>
              <w:left w:w="115" w:type="dxa"/>
              <w:right w:w="115" w:type="dxa"/>
            </w:tcMar>
          </w:tcPr>
          <w:p w14:paraId="0A487D03" w14:textId="519B4526" w:rsidR="00B916D2" w:rsidRDefault="00263D86" w:rsidP="00E83F5E">
            <w:pPr>
              <w:jc w:val="center"/>
              <w:rPr>
                <w:b/>
                <w:bCs/>
                <w:lang w:val="es-ES"/>
              </w:rPr>
            </w:pPr>
            <w:r w:rsidRPr="00263D86">
              <w:rPr>
                <w:b/>
                <w:bCs/>
                <w:sz w:val="24"/>
                <w:szCs w:val="32"/>
                <w:lang w:val="es-ES"/>
              </w:rPr>
              <w:t>América Latina</w:t>
            </w:r>
          </w:p>
        </w:tc>
        <w:tc>
          <w:tcPr>
            <w:tcW w:w="447" w:type="dxa"/>
            <w:tcMar>
              <w:top w:w="86" w:type="dxa"/>
              <w:left w:w="115" w:type="dxa"/>
              <w:right w:w="115" w:type="dxa"/>
            </w:tcMar>
          </w:tcPr>
          <w:p w14:paraId="19F09F61" w14:textId="77777777" w:rsidR="00B916D2" w:rsidRDefault="00B916D2" w:rsidP="00B916D2">
            <w:pPr>
              <w:jc w:val="center"/>
              <w:rPr>
                <w:b/>
                <w:bCs/>
                <w:lang w:val="es-ES"/>
              </w:rPr>
            </w:pPr>
          </w:p>
        </w:tc>
      </w:tr>
      <w:tr w:rsidR="00B916D2" w14:paraId="60AE5DEF" w14:textId="77777777" w:rsidTr="002A3C7E">
        <w:tc>
          <w:tcPr>
            <w:tcW w:w="9900" w:type="dxa"/>
            <w:tcBorders>
              <w:top w:val="single" w:sz="4" w:space="0" w:color="auto"/>
            </w:tcBorders>
            <w:tcMar>
              <w:top w:w="86" w:type="dxa"/>
              <w:left w:w="115" w:type="dxa"/>
              <w:right w:w="115" w:type="dxa"/>
            </w:tcMar>
          </w:tcPr>
          <w:p w14:paraId="5C0C292A" w14:textId="77777777" w:rsidR="00263D86" w:rsidRPr="000658A6" w:rsidRDefault="00263D86" w:rsidP="00215B1F">
            <w:pPr>
              <w:rPr>
                <w:b/>
                <w:bCs/>
                <w:lang w:eastAsia="es-CO"/>
              </w:rPr>
            </w:pPr>
            <w:r>
              <w:rPr>
                <w:lang w:eastAsia="es-CO"/>
              </w:rPr>
              <w:t xml:space="preserve">Argentina. </w:t>
            </w:r>
            <w:r w:rsidRPr="000658A6">
              <w:rPr>
                <w:b/>
                <w:bCs/>
                <w:lang w:eastAsia="es-CO"/>
              </w:rPr>
              <w:t>ANMAT facilita la importación de productos necesarios para el desarrollo de estudios clínicos</w:t>
            </w:r>
          </w:p>
          <w:p w14:paraId="23EB99A7" w14:textId="59940B4B" w:rsidR="00B916D2" w:rsidRDefault="00263D86" w:rsidP="00215B1F">
            <w:pPr>
              <w:rPr>
                <w:b/>
                <w:bCs/>
                <w:lang w:val="es-ES"/>
              </w:rPr>
            </w:pPr>
            <w:r w:rsidRPr="000658A6">
              <w:rPr>
                <w:i/>
                <w:iCs/>
                <w:lang w:eastAsia="es-CO"/>
              </w:rPr>
              <w:t>Administración Nacional de Medicamentos, Alimentos y Tecnología Médica (ANMAT),</w:t>
            </w:r>
            <w:r>
              <w:rPr>
                <w:lang w:eastAsia="es-CO"/>
              </w:rPr>
              <w:t xml:space="preserve"> 24 de abril del 2026</w:t>
            </w:r>
          </w:p>
        </w:tc>
        <w:tc>
          <w:tcPr>
            <w:tcW w:w="447" w:type="dxa"/>
            <w:tcMar>
              <w:top w:w="86" w:type="dxa"/>
              <w:left w:w="115" w:type="dxa"/>
              <w:right w:w="115" w:type="dxa"/>
            </w:tcMar>
          </w:tcPr>
          <w:p w14:paraId="1E2D24EE" w14:textId="77777777" w:rsidR="00754C32" w:rsidRDefault="00754C32" w:rsidP="00B916D2">
            <w:pPr>
              <w:jc w:val="center"/>
              <w:rPr>
                <w:lang w:val="es-ES"/>
              </w:rPr>
            </w:pPr>
          </w:p>
          <w:p w14:paraId="20726C38" w14:textId="1F265F92" w:rsidR="00B916D2" w:rsidRPr="00754C32" w:rsidRDefault="00754C32" w:rsidP="00B916D2">
            <w:pPr>
              <w:jc w:val="center"/>
              <w:rPr>
                <w:lang w:val="es-ES"/>
              </w:rPr>
            </w:pPr>
            <w:r w:rsidRPr="00754C32">
              <w:rPr>
                <w:lang w:val="es-ES"/>
              </w:rPr>
              <w:t>8</w:t>
            </w:r>
          </w:p>
        </w:tc>
      </w:tr>
      <w:tr w:rsidR="00B916D2" w14:paraId="0CFF2C9C" w14:textId="77777777" w:rsidTr="002A3C7E">
        <w:tc>
          <w:tcPr>
            <w:tcW w:w="9900" w:type="dxa"/>
            <w:tcMar>
              <w:top w:w="86" w:type="dxa"/>
              <w:left w:w="115" w:type="dxa"/>
              <w:right w:w="115" w:type="dxa"/>
            </w:tcMar>
          </w:tcPr>
          <w:p w14:paraId="1D6C4801" w14:textId="2C85DF58" w:rsidR="004E00CF" w:rsidRPr="002B593E" w:rsidRDefault="004E00CF" w:rsidP="00215B1F">
            <w:pPr>
              <w:rPr>
                <w:rFonts w:eastAsia="Times New Roman" w:cs="Times New Roman"/>
                <w:b/>
                <w:bCs/>
                <w:szCs w:val="20"/>
              </w:rPr>
            </w:pPr>
            <w:r>
              <w:rPr>
                <w:lang w:eastAsia="es-CO"/>
              </w:rPr>
              <w:t xml:space="preserve">Brasil. </w:t>
            </w:r>
            <w:r w:rsidRPr="00C86F03">
              <w:rPr>
                <w:rFonts w:eastAsia="Times New Roman" w:cs="Times New Roman"/>
                <w:b/>
                <w:bCs/>
                <w:szCs w:val="20"/>
              </w:rPr>
              <w:t>Análisis del impacto regulatorio en la vigilancia sanitaria brasileña: Un</w:t>
            </w:r>
            <w:r>
              <w:rPr>
                <w:rFonts w:eastAsia="Times New Roman" w:cs="Times New Roman"/>
                <w:b/>
                <w:bCs/>
                <w:szCs w:val="20"/>
              </w:rPr>
              <w:t>a</w:t>
            </w:r>
            <w:r w:rsidRPr="00C86F03">
              <w:rPr>
                <w:rFonts w:eastAsia="Times New Roman" w:cs="Times New Roman"/>
                <w:b/>
                <w:bCs/>
                <w:szCs w:val="20"/>
              </w:rPr>
              <w:t xml:space="preserve"> e</w:t>
            </w:r>
            <w:r>
              <w:rPr>
                <w:rFonts w:eastAsia="Times New Roman" w:cs="Times New Roman"/>
                <w:b/>
                <w:bCs/>
                <w:szCs w:val="20"/>
              </w:rPr>
              <w:t>valuació</w:t>
            </w:r>
            <w:r w:rsidRPr="00C86F03">
              <w:rPr>
                <w:rFonts w:eastAsia="Times New Roman" w:cs="Times New Roman"/>
                <w:b/>
                <w:bCs/>
                <w:szCs w:val="20"/>
              </w:rPr>
              <w:t xml:space="preserve">n de las </w:t>
            </w:r>
            <w:proofErr w:type="spellStart"/>
            <w:r w:rsidRPr="00C86F03">
              <w:rPr>
                <w:rFonts w:eastAsia="Times New Roman" w:cs="Times New Roman"/>
                <w:b/>
                <w:bCs/>
                <w:szCs w:val="20"/>
              </w:rPr>
              <w:t>metodol</w:t>
            </w:r>
            <w:r w:rsidR="005E5112">
              <w:rPr>
                <w:rFonts w:eastAsia="Times New Roman" w:cs="Times New Roman"/>
                <w:b/>
                <w:bCs/>
                <w:szCs w:val="20"/>
              </w:rPr>
              <w:t>ogias</w:t>
            </w:r>
            <w:proofErr w:type="spellEnd"/>
            <w:r w:rsidRPr="00C86F03">
              <w:rPr>
                <w:rFonts w:eastAsia="Times New Roman" w:cs="Times New Roman"/>
                <w:b/>
                <w:bCs/>
                <w:szCs w:val="20"/>
              </w:rPr>
              <w:t xml:space="preserve"> de </w:t>
            </w:r>
            <w:proofErr w:type="spellStart"/>
            <w:r w:rsidRPr="00C86F03">
              <w:rPr>
                <w:rFonts w:eastAsia="Times New Roman" w:cs="Times New Roman"/>
                <w:b/>
                <w:bCs/>
                <w:szCs w:val="20"/>
              </w:rPr>
              <w:t>Anvisa</w:t>
            </w:r>
            <w:proofErr w:type="spellEnd"/>
          </w:p>
          <w:p w14:paraId="4471CDF5" w14:textId="7244386E" w:rsidR="00B916D2" w:rsidRPr="004E00CF" w:rsidRDefault="004E00CF" w:rsidP="00215B1F">
            <w:pPr>
              <w:rPr>
                <w:bCs/>
                <w:szCs w:val="20"/>
                <w:lang w:val="en-US"/>
              </w:rPr>
            </w:pPr>
            <w:r>
              <w:rPr>
                <w:lang w:val="en-US"/>
              </w:rPr>
              <w:t xml:space="preserve">J. </w:t>
            </w:r>
            <w:r w:rsidRPr="006E4A25">
              <w:rPr>
                <w:lang w:val="en-US"/>
              </w:rPr>
              <w:t>Heinen</w:t>
            </w:r>
          </w:p>
        </w:tc>
        <w:tc>
          <w:tcPr>
            <w:tcW w:w="447" w:type="dxa"/>
            <w:tcMar>
              <w:top w:w="86" w:type="dxa"/>
              <w:left w:w="115" w:type="dxa"/>
              <w:right w:w="115" w:type="dxa"/>
            </w:tcMar>
          </w:tcPr>
          <w:p w14:paraId="0C5081F2" w14:textId="77777777" w:rsidR="00754C32" w:rsidRDefault="00754C32" w:rsidP="00B916D2">
            <w:pPr>
              <w:jc w:val="center"/>
              <w:rPr>
                <w:lang w:val="es-ES"/>
              </w:rPr>
            </w:pPr>
          </w:p>
          <w:p w14:paraId="5CF70EC9" w14:textId="44EE7D7A" w:rsidR="00B916D2" w:rsidRPr="00754C32" w:rsidRDefault="00754C32" w:rsidP="00B916D2">
            <w:pPr>
              <w:jc w:val="center"/>
              <w:rPr>
                <w:lang w:val="es-ES"/>
              </w:rPr>
            </w:pPr>
            <w:r w:rsidRPr="00754C32">
              <w:rPr>
                <w:lang w:val="es-ES"/>
              </w:rPr>
              <w:t>8</w:t>
            </w:r>
          </w:p>
        </w:tc>
      </w:tr>
      <w:tr w:rsidR="00B916D2" w14:paraId="70840888" w14:textId="77777777" w:rsidTr="002A3C7E">
        <w:tc>
          <w:tcPr>
            <w:tcW w:w="9900" w:type="dxa"/>
            <w:tcMar>
              <w:top w:w="86" w:type="dxa"/>
              <w:left w:w="115" w:type="dxa"/>
              <w:right w:w="115" w:type="dxa"/>
            </w:tcMar>
          </w:tcPr>
          <w:p w14:paraId="11B7D6E8" w14:textId="0375ED74" w:rsidR="004E00CF" w:rsidRPr="00024398" w:rsidRDefault="002A3C7E" w:rsidP="00215B1F">
            <w:pPr>
              <w:rPr>
                <w:lang w:eastAsia="es-CO"/>
              </w:rPr>
            </w:pPr>
            <w:r>
              <w:rPr>
                <w:lang w:eastAsia="es-CO"/>
              </w:rPr>
              <w:t>&lt;</w:t>
            </w:r>
            <w:r w:rsidR="004E00CF">
              <w:rPr>
                <w:lang w:eastAsia="es-CO"/>
              </w:rPr>
              <w:t xml:space="preserve">Brasil. </w:t>
            </w:r>
            <w:r w:rsidR="004E00CF" w:rsidRPr="005D5200">
              <w:rPr>
                <w:b/>
                <w:bCs/>
                <w:lang w:eastAsia="es-CO"/>
              </w:rPr>
              <w:t>El Ministerio de Salud suspende temporalme</w:t>
            </w:r>
            <w:r w:rsidR="00877844">
              <w:rPr>
                <w:b/>
                <w:bCs/>
                <w:lang w:eastAsia="es-CO"/>
              </w:rPr>
              <w:t>n</w:t>
            </w:r>
            <w:r w:rsidR="004E00CF" w:rsidRPr="005D5200">
              <w:rPr>
                <w:b/>
                <w:bCs/>
                <w:lang w:eastAsia="es-CO"/>
              </w:rPr>
              <w:t xml:space="preserve">te la estrategia de vacunación de </w:t>
            </w:r>
            <w:proofErr w:type="spellStart"/>
            <w:r w:rsidR="004E00CF" w:rsidRPr="005D5200">
              <w:rPr>
                <w:b/>
                <w:bCs/>
                <w:lang w:eastAsia="es-CO"/>
              </w:rPr>
              <w:t>Butantan</w:t>
            </w:r>
            <w:proofErr w:type="spellEnd"/>
            <w:r w:rsidR="004E00CF" w:rsidRPr="005D5200">
              <w:rPr>
                <w:b/>
                <w:bCs/>
                <w:lang w:eastAsia="es-CO"/>
              </w:rPr>
              <w:t xml:space="preserve"> contra el dengue</w:t>
            </w:r>
          </w:p>
          <w:p w14:paraId="0770C666" w14:textId="649C0270" w:rsidR="00B916D2" w:rsidRPr="00877844" w:rsidRDefault="004E00CF" w:rsidP="00215B1F">
            <w:pPr>
              <w:shd w:val="clear" w:color="auto" w:fill="FFFFFF"/>
              <w:textAlignment w:val="baseline"/>
              <w:outlineLvl w:val="0"/>
              <w:rPr>
                <w:rFonts w:eastAsia="Times New Roman" w:cs="Times New Roman"/>
                <w:color w:val="EE0000"/>
                <w:kern w:val="36"/>
                <w:szCs w:val="20"/>
                <w:lang w:val="pt-BR" w:eastAsia="es-CO"/>
              </w:rPr>
            </w:pPr>
            <w:r w:rsidRPr="00903DF7">
              <w:rPr>
                <w:rFonts w:eastAsia="Times New Roman" w:cs="Times New Roman"/>
                <w:i/>
                <w:iCs/>
                <w:kern w:val="36"/>
                <w:szCs w:val="20"/>
                <w:lang w:val="pt-BR" w:eastAsia="es-CO"/>
              </w:rPr>
              <w:t xml:space="preserve">Agencia Nacional de </w:t>
            </w:r>
            <w:proofErr w:type="spellStart"/>
            <w:r w:rsidRPr="00903DF7">
              <w:rPr>
                <w:rFonts w:eastAsia="Times New Roman" w:cs="Times New Roman"/>
                <w:i/>
                <w:iCs/>
                <w:kern w:val="36"/>
                <w:szCs w:val="20"/>
                <w:lang w:val="pt-BR" w:eastAsia="es-CO"/>
              </w:rPr>
              <w:t>Vigilancia</w:t>
            </w:r>
            <w:proofErr w:type="spellEnd"/>
            <w:r w:rsidRPr="00903DF7">
              <w:rPr>
                <w:rFonts w:eastAsia="Times New Roman" w:cs="Times New Roman"/>
                <w:i/>
                <w:iCs/>
                <w:kern w:val="36"/>
                <w:szCs w:val="20"/>
                <w:lang w:val="pt-BR" w:eastAsia="es-CO"/>
              </w:rPr>
              <w:t xml:space="preserve"> </w:t>
            </w:r>
            <w:proofErr w:type="spellStart"/>
            <w:r w:rsidRPr="00903DF7">
              <w:rPr>
                <w:rFonts w:eastAsia="Times New Roman" w:cs="Times New Roman"/>
                <w:i/>
                <w:iCs/>
                <w:kern w:val="36"/>
                <w:szCs w:val="20"/>
                <w:lang w:val="pt-BR" w:eastAsia="es-CO"/>
              </w:rPr>
              <w:t>Sanitaria</w:t>
            </w:r>
            <w:proofErr w:type="spellEnd"/>
            <w:r w:rsidRPr="00903DF7">
              <w:rPr>
                <w:rFonts w:eastAsia="Times New Roman" w:cs="Times New Roman"/>
                <w:i/>
                <w:iCs/>
                <w:kern w:val="36"/>
                <w:szCs w:val="20"/>
                <w:lang w:val="pt-BR" w:eastAsia="es-CO"/>
              </w:rPr>
              <w:t xml:space="preserve"> (ANVISA), </w:t>
            </w:r>
            <w:proofErr w:type="spellStart"/>
            <w:r w:rsidRPr="00903DF7">
              <w:rPr>
                <w:rFonts w:eastAsia="Times New Roman" w:cs="Times New Roman"/>
                <w:kern w:val="36"/>
                <w:szCs w:val="20"/>
                <w:lang w:val="pt-BR" w:eastAsia="es-CO"/>
              </w:rPr>
              <w:t>junio</w:t>
            </w:r>
            <w:proofErr w:type="spellEnd"/>
            <w:r w:rsidRPr="00903DF7">
              <w:rPr>
                <w:rFonts w:eastAsia="Times New Roman" w:cs="Times New Roman"/>
                <w:kern w:val="36"/>
                <w:szCs w:val="20"/>
                <w:lang w:val="pt-BR" w:eastAsia="es-CO"/>
              </w:rPr>
              <w:t xml:space="preserve"> de 2026</w:t>
            </w:r>
          </w:p>
        </w:tc>
        <w:tc>
          <w:tcPr>
            <w:tcW w:w="447" w:type="dxa"/>
            <w:tcMar>
              <w:top w:w="86" w:type="dxa"/>
              <w:left w:w="115" w:type="dxa"/>
              <w:right w:w="115" w:type="dxa"/>
            </w:tcMar>
          </w:tcPr>
          <w:p w14:paraId="1C913484" w14:textId="77777777" w:rsidR="00B916D2" w:rsidRDefault="00B916D2" w:rsidP="00B916D2">
            <w:pPr>
              <w:jc w:val="center"/>
              <w:rPr>
                <w:lang w:val="es-ES"/>
              </w:rPr>
            </w:pPr>
          </w:p>
          <w:p w14:paraId="0C77F1CD" w14:textId="09987277" w:rsidR="00754C32" w:rsidRPr="00754C32" w:rsidRDefault="00754C32" w:rsidP="00B916D2">
            <w:pPr>
              <w:jc w:val="center"/>
              <w:rPr>
                <w:lang w:val="es-ES"/>
              </w:rPr>
            </w:pPr>
            <w:r>
              <w:rPr>
                <w:lang w:val="es-ES"/>
              </w:rPr>
              <w:t>9</w:t>
            </w:r>
          </w:p>
        </w:tc>
      </w:tr>
      <w:tr w:rsidR="00B916D2" w14:paraId="658EDA43" w14:textId="77777777" w:rsidTr="002A3C7E">
        <w:tc>
          <w:tcPr>
            <w:tcW w:w="9900" w:type="dxa"/>
            <w:tcMar>
              <w:top w:w="86" w:type="dxa"/>
              <w:left w:w="115" w:type="dxa"/>
              <w:right w:w="115" w:type="dxa"/>
            </w:tcMar>
          </w:tcPr>
          <w:p w14:paraId="7C5DABBD" w14:textId="77777777" w:rsidR="00877844" w:rsidRDefault="00877844" w:rsidP="00215B1F">
            <w:pPr>
              <w:rPr>
                <w:lang w:eastAsia="es-CO"/>
              </w:rPr>
            </w:pPr>
            <w:r w:rsidRPr="00D17869">
              <w:t>Brasil.</w:t>
            </w:r>
            <w:r>
              <w:t xml:space="preserve"> </w:t>
            </w:r>
            <w:proofErr w:type="spellStart"/>
            <w:r w:rsidRPr="00D17869">
              <w:rPr>
                <w:b/>
                <w:bCs/>
                <w:lang w:eastAsia="es-CO"/>
              </w:rPr>
              <w:t>Anvisa</w:t>
            </w:r>
            <w:proofErr w:type="spellEnd"/>
            <w:r w:rsidRPr="00D17869">
              <w:rPr>
                <w:b/>
                <w:bCs/>
                <w:lang w:eastAsia="es-CO"/>
              </w:rPr>
              <w:t xml:space="preserve"> crea un grupo para evaluar a fondo la vacuna contra el dengue </w:t>
            </w:r>
            <w:proofErr w:type="spellStart"/>
            <w:r w:rsidRPr="00D17869">
              <w:rPr>
                <w:b/>
                <w:bCs/>
                <w:lang w:eastAsia="es-CO"/>
              </w:rPr>
              <w:t>Butantan</w:t>
            </w:r>
            <w:proofErr w:type="spellEnd"/>
            <w:r w:rsidRPr="00D17869">
              <w:rPr>
                <w:b/>
                <w:bCs/>
                <w:lang w:eastAsia="es-CO"/>
              </w:rPr>
              <w:t>-DV</w:t>
            </w:r>
          </w:p>
          <w:p w14:paraId="1448390D" w14:textId="7EC4EA68" w:rsidR="00B916D2" w:rsidRPr="00877844" w:rsidRDefault="00B00DA4" w:rsidP="00215B1F">
            <w:pPr>
              <w:rPr>
                <w:rFonts w:eastAsia="Times New Roman"/>
                <w:b/>
                <w:bCs/>
                <w:kern w:val="36"/>
                <w:sz w:val="18"/>
                <w:szCs w:val="18"/>
                <w:lang w:eastAsia="es-CO"/>
              </w:rPr>
            </w:pPr>
            <w:hyperlink r:id="rId14" w:history="1">
              <w:r w:rsidR="00877844" w:rsidRPr="00877844">
                <w:rPr>
                  <w:rStyle w:val="Hipervnculo"/>
                  <w:rFonts w:cs="Times New Roman"/>
                  <w:i/>
                  <w:iCs/>
                  <w:color w:val="auto"/>
                  <w:szCs w:val="20"/>
                  <w:u w:val="none"/>
                  <w:bdr w:val="none" w:sz="0" w:space="0" w:color="auto" w:frame="1"/>
                  <w:shd w:val="clear" w:color="auto" w:fill="FFFFFF"/>
                </w:rPr>
                <w:t>Agencia Nacional de Vigilancia Sanitaria (A</w:t>
              </w:r>
            </w:hyperlink>
            <w:r w:rsidR="00877844" w:rsidRPr="00877844">
              <w:rPr>
                <w:i/>
                <w:iCs/>
              </w:rPr>
              <w:t>NVISA),</w:t>
            </w:r>
            <w:r w:rsidR="00877844" w:rsidRPr="00877844">
              <w:t xml:space="preserve"> 1</w:t>
            </w:r>
            <w:r w:rsidR="00877844" w:rsidRPr="000E5228">
              <w:t>6 de junio de 2026</w:t>
            </w:r>
          </w:p>
        </w:tc>
        <w:tc>
          <w:tcPr>
            <w:tcW w:w="447" w:type="dxa"/>
            <w:tcMar>
              <w:top w:w="86" w:type="dxa"/>
              <w:left w:w="115" w:type="dxa"/>
              <w:right w:w="115" w:type="dxa"/>
            </w:tcMar>
          </w:tcPr>
          <w:p w14:paraId="1FDAC079" w14:textId="77777777" w:rsidR="00B916D2" w:rsidRDefault="00B916D2" w:rsidP="00B916D2">
            <w:pPr>
              <w:jc w:val="center"/>
              <w:rPr>
                <w:lang w:val="es-ES"/>
              </w:rPr>
            </w:pPr>
          </w:p>
          <w:p w14:paraId="31C17413" w14:textId="4C75293A" w:rsidR="00754C32" w:rsidRPr="00754C32" w:rsidRDefault="00754C32" w:rsidP="00B916D2">
            <w:pPr>
              <w:jc w:val="center"/>
              <w:rPr>
                <w:lang w:val="es-ES"/>
              </w:rPr>
            </w:pPr>
            <w:r>
              <w:rPr>
                <w:lang w:val="es-ES"/>
              </w:rPr>
              <w:t>10</w:t>
            </w:r>
          </w:p>
        </w:tc>
      </w:tr>
      <w:tr w:rsidR="00B916D2" w14:paraId="6B5896D7" w14:textId="77777777" w:rsidTr="002A3C7E">
        <w:tc>
          <w:tcPr>
            <w:tcW w:w="9900" w:type="dxa"/>
            <w:tcMar>
              <w:top w:w="86" w:type="dxa"/>
              <w:left w:w="115" w:type="dxa"/>
              <w:right w:w="115" w:type="dxa"/>
            </w:tcMar>
          </w:tcPr>
          <w:p w14:paraId="27DDFCC4" w14:textId="4B67F39A" w:rsidR="00877844" w:rsidRPr="00F312B7" w:rsidRDefault="00877844" w:rsidP="00877844">
            <w:pPr>
              <w:rPr>
                <w:b/>
                <w:bCs/>
              </w:rPr>
            </w:pPr>
            <w:r w:rsidRPr="00057E97">
              <w:t>Colombia.</w:t>
            </w:r>
            <w:r w:rsidRPr="00F312B7">
              <w:rPr>
                <w:b/>
                <w:bCs/>
              </w:rPr>
              <w:t xml:space="preserve"> Invima y </w:t>
            </w:r>
            <w:proofErr w:type="spellStart"/>
            <w:r w:rsidRPr="00F312B7">
              <w:rPr>
                <w:b/>
                <w:bCs/>
              </w:rPr>
              <w:t>Anvisa</w:t>
            </w:r>
            <w:proofErr w:type="spellEnd"/>
            <w:r w:rsidRPr="00F312B7">
              <w:rPr>
                <w:b/>
                <w:bCs/>
              </w:rPr>
              <w:t xml:space="preserve"> firman memorando </w:t>
            </w:r>
            <w:r w:rsidR="00402DDE">
              <w:rPr>
                <w:b/>
                <w:bCs/>
              </w:rPr>
              <w:t>de</w:t>
            </w:r>
            <w:r w:rsidRPr="00F312B7">
              <w:rPr>
                <w:b/>
                <w:bCs/>
              </w:rPr>
              <w:t xml:space="preserve"> cooperación regulatoria farmacéutica entre Colombia y Brasil</w:t>
            </w:r>
          </w:p>
          <w:p w14:paraId="3458229E" w14:textId="4A0D2369" w:rsidR="00B916D2" w:rsidRPr="00877844" w:rsidRDefault="00877844" w:rsidP="00402DDE">
            <w:proofErr w:type="spellStart"/>
            <w:r w:rsidRPr="00044510">
              <w:rPr>
                <w:i/>
                <w:iCs/>
              </w:rPr>
              <w:t>ConsultorSalud</w:t>
            </w:r>
            <w:proofErr w:type="spellEnd"/>
            <w:r w:rsidRPr="00044510">
              <w:rPr>
                <w:i/>
                <w:iCs/>
              </w:rPr>
              <w:t>,</w:t>
            </w:r>
            <w:r w:rsidRPr="00DF7B91">
              <w:t xml:space="preserve"> </w:t>
            </w:r>
            <w:r>
              <w:t>juni</w:t>
            </w:r>
            <w:r w:rsidRPr="00DF7B91">
              <w:t>o</w:t>
            </w:r>
            <w:r>
              <w:t xml:space="preserve"> 25</w:t>
            </w:r>
            <w:r w:rsidRPr="00DF7B91">
              <w:t xml:space="preserve"> de 2026</w:t>
            </w:r>
          </w:p>
        </w:tc>
        <w:tc>
          <w:tcPr>
            <w:tcW w:w="447" w:type="dxa"/>
            <w:tcMar>
              <w:top w:w="86" w:type="dxa"/>
              <w:left w:w="115" w:type="dxa"/>
              <w:right w:w="115" w:type="dxa"/>
            </w:tcMar>
          </w:tcPr>
          <w:p w14:paraId="43FA6138" w14:textId="77777777" w:rsidR="00B916D2" w:rsidRDefault="00B916D2" w:rsidP="00B916D2">
            <w:pPr>
              <w:jc w:val="center"/>
              <w:rPr>
                <w:lang w:val="es-ES"/>
              </w:rPr>
            </w:pPr>
          </w:p>
          <w:p w14:paraId="3434DEEA" w14:textId="32CD9941" w:rsidR="00754C32" w:rsidRPr="00754C32" w:rsidRDefault="00754C32" w:rsidP="00B916D2">
            <w:pPr>
              <w:jc w:val="center"/>
              <w:rPr>
                <w:lang w:val="es-ES"/>
              </w:rPr>
            </w:pPr>
            <w:r>
              <w:rPr>
                <w:lang w:val="es-ES"/>
              </w:rPr>
              <w:t>10</w:t>
            </w:r>
          </w:p>
        </w:tc>
      </w:tr>
      <w:tr w:rsidR="00B916D2" w14:paraId="36CB67CD" w14:textId="77777777" w:rsidTr="002A3C7E">
        <w:tc>
          <w:tcPr>
            <w:tcW w:w="9900" w:type="dxa"/>
            <w:tcMar>
              <w:top w:w="86" w:type="dxa"/>
              <w:left w:w="115" w:type="dxa"/>
              <w:right w:w="115" w:type="dxa"/>
            </w:tcMar>
          </w:tcPr>
          <w:p w14:paraId="4A53A506" w14:textId="4B1CA833" w:rsidR="00402DDE" w:rsidRPr="005A4DC0" w:rsidRDefault="00402DDE" w:rsidP="00215B1F">
            <w:pPr>
              <w:rPr>
                <w:b/>
                <w:bCs/>
              </w:rPr>
            </w:pPr>
            <w:r>
              <w:t xml:space="preserve">Colombia. </w:t>
            </w:r>
            <w:r>
              <w:rPr>
                <w:b/>
                <w:bCs/>
              </w:rPr>
              <w:t xml:space="preserve">Beneficios y precauciones del </w:t>
            </w:r>
            <w:proofErr w:type="spellStart"/>
            <w:r w:rsidRPr="006C467D">
              <w:rPr>
                <w:b/>
                <w:bCs/>
                <w:i/>
                <w:iCs/>
              </w:rPr>
              <w:t>Reliance</w:t>
            </w:r>
            <w:proofErr w:type="spellEnd"/>
            <w:r w:rsidRPr="006C467D">
              <w:rPr>
                <w:b/>
                <w:bCs/>
                <w:i/>
                <w:iCs/>
              </w:rPr>
              <w:t xml:space="preserve"> regulatorio</w:t>
            </w:r>
            <w:r>
              <w:rPr>
                <w:b/>
                <w:bCs/>
              </w:rPr>
              <w:t xml:space="preserve"> </w:t>
            </w:r>
            <w:r w:rsidR="005E5112">
              <w:rPr>
                <w:b/>
                <w:bCs/>
              </w:rPr>
              <w:t>para</w:t>
            </w:r>
            <w:r>
              <w:rPr>
                <w:b/>
                <w:bCs/>
              </w:rPr>
              <w:t xml:space="preserve"> Colombia</w:t>
            </w:r>
          </w:p>
          <w:p w14:paraId="409F9C28" w14:textId="05EEBA3D" w:rsidR="00B916D2" w:rsidRDefault="00402DDE" w:rsidP="00215B1F">
            <w:pPr>
              <w:rPr>
                <w:b/>
                <w:bCs/>
                <w:lang w:val="es-ES"/>
              </w:rPr>
            </w:pPr>
            <w:r>
              <w:t>Salud y Fármacos</w:t>
            </w:r>
          </w:p>
        </w:tc>
        <w:tc>
          <w:tcPr>
            <w:tcW w:w="447" w:type="dxa"/>
            <w:tcMar>
              <w:top w:w="86" w:type="dxa"/>
              <w:left w:w="115" w:type="dxa"/>
              <w:right w:w="115" w:type="dxa"/>
            </w:tcMar>
          </w:tcPr>
          <w:p w14:paraId="1EFD0863" w14:textId="77777777" w:rsidR="00B916D2" w:rsidRDefault="00B916D2" w:rsidP="00B916D2">
            <w:pPr>
              <w:jc w:val="center"/>
              <w:rPr>
                <w:lang w:val="es-ES"/>
              </w:rPr>
            </w:pPr>
          </w:p>
          <w:p w14:paraId="463693A8" w14:textId="28523358" w:rsidR="00754C32" w:rsidRPr="00754C32" w:rsidRDefault="00754C32" w:rsidP="00B916D2">
            <w:pPr>
              <w:jc w:val="center"/>
              <w:rPr>
                <w:lang w:val="es-ES"/>
              </w:rPr>
            </w:pPr>
            <w:r>
              <w:rPr>
                <w:lang w:val="es-ES"/>
              </w:rPr>
              <w:t>12</w:t>
            </w:r>
          </w:p>
        </w:tc>
      </w:tr>
      <w:tr w:rsidR="00B916D2" w14:paraId="4DA43888" w14:textId="77777777" w:rsidTr="002A3C7E">
        <w:tc>
          <w:tcPr>
            <w:tcW w:w="9900" w:type="dxa"/>
            <w:tcMar>
              <w:top w:w="86" w:type="dxa"/>
              <w:left w:w="115" w:type="dxa"/>
              <w:right w:w="115" w:type="dxa"/>
            </w:tcMar>
          </w:tcPr>
          <w:p w14:paraId="4BD3512A" w14:textId="2683E385" w:rsidR="00402DDE" w:rsidRPr="00D85247" w:rsidRDefault="00402DDE" w:rsidP="00215B1F">
            <w:r w:rsidRPr="00D85247">
              <w:t xml:space="preserve">El Salvador. </w:t>
            </w:r>
            <w:r w:rsidRPr="00D85247">
              <w:rPr>
                <w:b/>
                <w:bCs/>
              </w:rPr>
              <w:t>SRS y FDA fortalece</w:t>
            </w:r>
            <w:r>
              <w:rPr>
                <w:b/>
                <w:bCs/>
              </w:rPr>
              <w:t>n</w:t>
            </w:r>
            <w:r w:rsidRPr="00D85247">
              <w:rPr>
                <w:b/>
                <w:bCs/>
              </w:rPr>
              <w:t xml:space="preserve"> las capacidades regulatorias y la cooperación técnica</w:t>
            </w:r>
          </w:p>
          <w:p w14:paraId="345A0029" w14:textId="4687B4BB" w:rsidR="00B916D2" w:rsidRPr="00402DDE" w:rsidRDefault="00402DDE" w:rsidP="00215B1F">
            <w:r w:rsidRPr="00D85247">
              <w:rPr>
                <w:i/>
                <w:iCs/>
              </w:rPr>
              <w:t>Superintendencia de Regulación Sanitaria (SRS),</w:t>
            </w:r>
            <w:r w:rsidRPr="00D85247">
              <w:t xml:space="preserve"> 18 de junio de 2026</w:t>
            </w:r>
          </w:p>
        </w:tc>
        <w:tc>
          <w:tcPr>
            <w:tcW w:w="447" w:type="dxa"/>
            <w:tcMar>
              <w:top w:w="86" w:type="dxa"/>
              <w:left w:w="115" w:type="dxa"/>
              <w:right w:w="115" w:type="dxa"/>
            </w:tcMar>
          </w:tcPr>
          <w:p w14:paraId="30DB63EA" w14:textId="77777777" w:rsidR="00B916D2" w:rsidRDefault="00B916D2" w:rsidP="00B916D2">
            <w:pPr>
              <w:jc w:val="center"/>
              <w:rPr>
                <w:lang w:val="es-ES"/>
              </w:rPr>
            </w:pPr>
          </w:p>
          <w:p w14:paraId="7BC4F2D1" w14:textId="47E8A7AE" w:rsidR="00754C32" w:rsidRPr="00754C32" w:rsidRDefault="00754C32" w:rsidP="00B916D2">
            <w:pPr>
              <w:jc w:val="center"/>
              <w:rPr>
                <w:lang w:val="es-ES"/>
              </w:rPr>
            </w:pPr>
            <w:r>
              <w:rPr>
                <w:lang w:val="es-ES"/>
              </w:rPr>
              <w:t>14</w:t>
            </w:r>
          </w:p>
        </w:tc>
      </w:tr>
      <w:tr w:rsidR="00B916D2" w14:paraId="14869068" w14:textId="77777777" w:rsidTr="002A3C7E">
        <w:tc>
          <w:tcPr>
            <w:tcW w:w="9900" w:type="dxa"/>
            <w:tcMar>
              <w:top w:w="86" w:type="dxa"/>
              <w:left w:w="115" w:type="dxa"/>
              <w:right w:w="115" w:type="dxa"/>
            </w:tcMar>
          </w:tcPr>
          <w:p w14:paraId="3C5B1548" w14:textId="0C494200" w:rsidR="00402DDE" w:rsidRPr="008A1583" w:rsidRDefault="00402DDE" w:rsidP="00215B1F">
            <w:pPr>
              <w:rPr>
                <w:b/>
                <w:bCs/>
              </w:rPr>
            </w:pPr>
            <w:r>
              <w:t xml:space="preserve">México. </w:t>
            </w:r>
            <w:r w:rsidRPr="008A1583">
              <w:rPr>
                <w:b/>
                <w:bCs/>
              </w:rPr>
              <w:t>Vía Regulatoria Abreviada (</w:t>
            </w:r>
            <w:proofErr w:type="spellStart"/>
            <w:r w:rsidRPr="008A1583">
              <w:rPr>
                <w:b/>
                <w:bCs/>
              </w:rPr>
              <w:t>Reliance</w:t>
            </w:r>
            <w:proofErr w:type="spellEnd"/>
            <w:r w:rsidRPr="008A1583">
              <w:rPr>
                <w:b/>
                <w:bCs/>
              </w:rPr>
              <w:t>)</w:t>
            </w:r>
            <w:r>
              <w:rPr>
                <w:b/>
                <w:bCs/>
              </w:rPr>
              <w:t xml:space="preserve"> </w:t>
            </w:r>
            <w:r w:rsidRPr="008D4052">
              <w:rPr>
                <w:b/>
                <w:bCs/>
              </w:rPr>
              <w:t xml:space="preserve">para otorgar </w:t>
            </w:r>
            <w:r w:rsidR="005E5112">
              <w:rPr>
                <w:b/>
                <w:bCs/>
              </w:rPr>
              <w:t xml:space="preserve">el </w:t>
            </w:r>
            <w:r w:rsidRPr="008D4052">
              <w:rPr>
                <w:b/>
                <w:bCs/>
              </w:rPr>
              <w:t xml:space="preserve">registro sanitario </w:t>
            </w:r>
            <w:r w:rsidR="005E5112">
              <w:rPr>
                <w:b/>
                <w:bCs/>
              </w:rPr>
              <w:t>a</w:t>
            </w:r>
            <w:r w:rsidRPr="008D4052">
              <w:rPr>
                <w:b/>
                <w:bCs/>
              </w:rPr>
              <w:t xml:space="preserve"> insumos para la salud</w:t>
            </w:r>
          </w:p>
          <w:p w14:paraId="301995F2" w14:textId="3E9BA35E" w:rsidR="00B916D2" w:rsidRPr="00402DDE" w:rsidRDefault="00402DDE" w:rsidP="00215B1F">
            <w:r w:rsidRPr="00904CD7">
              <w:rPr>
                <w:i/>
                <w:iCs/>
              </w:rPr>
              <w:t>Comisión Federal para la Protección contra Riesgos Sanitarios</w:t>
            </w:r>
            <w:r>
              <w:rPr>
                <w:i/>
                <w:iCs/>
              </w:rPr>
              <w:t xml:space="preserve"> </w:t>
            </w:r>
            <w:r w:rsidRPr="00904CD7">
              <w:rPr>
                <w:i/>
                <w:iCs/>
                <w:color w:val="000000" w:themeColor="text1"/>
              </w:rPr>
              <w:t>(COFEPRIS)</w:t>
            </w:r>
            <w:r w:rsidRPr="00904CD7">
              <w:rPr>
                <w:i/>
                <w:iCs/>
              </w:rPr>
              <w:t>,</w:t>
            </w:r>
            <w:r>
              <w:t xml:space="preserve"> 19</w:t>
            </w:r>
            <w:r w:rsidRPr="00904CD7">
              <w:t xml:space="preserve"> de ju</w:t>
            </w:r>
            <w:r>
              <w:t>n</w:t>
            </w:r>
            <w:r w:rsidRPr="00904CD7">
              <w:t>io de 2026</w:t>
            </w:r>
          </w:p>
        </w:tc>
        <w:tc>
          <w:tcPr>
            <w:tcW w:w="447" w:type="dxa"/>
            <w:tcMar>
              <w:top w:w="86" w:type="dxa"/>
              <w:left w:w="115" w:type="dxa"/>
              <w:right w:w="115" w:type="dxa"/>
            </w:tcMar>
          </w:tcPr>
          <w:p w14:paraId="0FE70CF4" w14:textId="77777777" w:rsidR="00B916D2" w:rsidRDefault="00B916D2" w:rsidP="00B916D2">
            <w:pPr>
              <w:jc w:val="center"/>
              <w:rPr>
                <w:lang w:val="es-ES"/>
              </w:rPr>
            </w:pPr>
          </w:p>
          <w:p w14:paraId="609A24E7" w14:textId="4ED241E6" w:rsidR="00754C32" w:rsidRPr="00754C32" w:rsidRDefault="00754C32" w:rsidP="00B916D2">
            <w:pPr>
              <w:jc w:val="center"/>
              <w:rPr>
                <w:lang w:val="es-ES"/>
              </w:rPr>
            </w:pPr>
            <w:r>
              <w:rPr>
                <w:lang w:val="es-ES"/>
              </w:rPr>
              <w:t>15</w:t>
            </w:r>
          </w:p>
        </w:tc>
      </w:tr>
      <w:tr w:rsidR="00B916D2" w14:paraId="6F5EF2F5" w14:textId="77777777" w:rsidTr="002A3C7E">
        <w:tc>
          <w:tcPr>
            <w:tcW w:w="9900" w:type="dxa"/>
            <w:tcMar>
              <w:top w:w="86" w:type="dxa"/>
              <w:left w:w="115" w:type="dxa"/>
              <w:right w:w="115" w:type="dxa"/>
            </w:tcMar>
          </w:tcPr>
          <w:p w14:paraId="19B8B1DD" w14:textId="77777777" w:rsidR="00AF59BB" w:rsidRPr="00BD14B3" w:rsidRDefault="00AF59BB" w:rsidP="00215B1F">
            <w:pPr>
              <w:rPr>
                <w:b/>
                <w:bCs/>
              </w:rPr>
            </w:pPr>
            <w:r>
              <w:t xml:space="preserve">México. </w:t>
            </w:r>
            <w:r w:rsidRPr="00BD14B3">
              <w:rPr>
                <w:b/>
                <w:bCs/>
              </w:rPr>
              <w:t>COFEPRIS reduce trámites y anuncia nuevo modelo regulatorio para medicamentos, dispositivos médicos e investigación clínica</w:t>
            </w:r>
          </w:p>
          <w:p w14:paraId="095E9B22" w14:textId="64092A90" w:rsidR="00B916D2" w:rsidRPr="00AF59BB" w:rsidRDefault="00AF59BB" w:rsidP="00215B1F">
            <w:proofErr w:type="spellStart"/>
            <w:r w:rsidRPr="00904CD7">
              <w:rPr>
                <w:i/>
                <w:iCs/>
              </w:rPr>
              <w:t>Co</w:t>
            </w:r>
            <w:r>
              <w:rPr>
                <w:i/>
                <w:iCs/>
              </w:rPr>
              <w:t>nsultorSalud</w:t>
            </w:r>
            <w:proofErr w:type="spellEnd"/>
            <w:r w:rsidRPr="00904CD7">
              <w:rPr>
                <w:i/>
                <w:iCs/>
              </w:rPr>
              <w:t>,</w:t>
            </w:r>
            <w:r>
              <w:t xml:space="preserve"> 10</w:t>
            </w:r>
            <w:r w:rsidRPr="00904CD7">
              <w:t xml:space="preserve"> de ju</w:t>
            </w:r>
            <w:r>
              <w:t>n</w:t>
            </w:r>
            <w:r w:rsidRPr="00904CD7">
              <w:t>io de 2026</w:t>
            </w:r>
          </w:p>
        </w:tc>
        <w:tc>
          <w:tcPr>
            <w:tcW w:w="447" w:type="dxa"/>
            <w:tcMar>
              <w:top w:w="86" w:type="dxa"/>
              <w:left w:w="115" w:type="dxa"/>
              <w:right w:w="115" w:type="dxa"/>
            </w:tcMar>
          </w:tcPr>
          <w:p w14:paraId="1F97D105" w14:textId="77777777" w:rsidR="00B916D2" w:rsidRDefault="00B916D2" w:rsidP="00B916D2">
            <w:pPr>
              <w:jc w:val="center"/>
              <w:rPr>
                <w:lang w:val="es-ES"/>
              </w:rPr>
            </w:pPr>
          </w:p>
          <w:p w14:paraId="4030F30F" w14:textId="77777777" w:rsidR="00754C32" w:rsidRDefault="00754C32" w:rsidP="00B916D2">
            <w:pPr>
              <w:jc w:val="center"/>
              <w:rPr>
                <w:lang w:val="es-ES"/>
              </w:rPr>
            </w:pPr>
          </w:p>
          <w:p w14:paraId="0D72276B" w14:textId="00D2AE95" w:rsidR="00754C32" w:rsidRPr="00754C32" w:rsidRDefault="00754C32" w:rsidP="00B916D2">
            <w:pPr>
              <w:jc w:val="center"/>
              <w:rPr>
                <w:lang w:val="es-ES"/>
              </w:rPr>
            </w:pPr>
            <w:r>
              <w:rPr>
                <w:lang w:val="es-ES"/>
              </w:rPr>
              <w:t>16</w:t>
            </w:r>
          </w:p>
        </w:tc>
      </w:tr>
      <w:tr w:rsidR="00B916D2" w14:paraId="0157B7A4" w14:textId="77777777" w:rsidTr="002A3C7E">
        <w:tc>
          <w:tcPr>
            <w:tcW w:w="9900" w:type="dxa"/>
            <w:tcMar>
              <w:top w:w="86" w:type="dxa"/>
              <w:left w:w="115" w:type="dxa"/>
              <w:right w:w="115" w:type="dxa"/>
            </w:tcMar>
          </w:tcPr>
          <w:p w14:paraId="12E093E0" w14:textId="77777777" w:rsidR="00AF59BB" w:rsidRPr="00904CD7" w:rsidRDefault="00AF59BB" w:rsidP="00215B1F">
            <w:pPr>
              <w:rPr>
                <w:b/>
                <w:bCs/>
              </w:rPr>
            </w:pPr>
            <w:r>
              <w:t xml:space="preserve">México. </w:t>
            </w:r>
            <w:r w:rsidRPr="00904CD7">
              <w:rPr>
                <w:b/>
                <w:bCs/>
              </w:rPr>
              <w:t>COFEPRIS informa sobre nuevas disposiciones</w:t>
            </w:r>
            <w:r>
              <w:rPr>
                <w:b/>
                <w:bCs/>
              </w:rPr>
              <w:t xml:space="preserve"> regulatorias</w:t>
            </w:r>
            <w:r w:rsidRPr="00904CD7">
              <w:rPr>
                <w:b/>
                <w:bCs/>
              </w:rPr>
              <w:t xml:space="preserve"> para la dispensación del </w:t>
            </w:r>
            <w:r w:rsidRPr="00904CD7">
              <w:rPr>
                <w:b/>
                <w:bCs/>
                <w:i/>
                <w:iCs/>
              </w:rPr>
              <w:t>tramadol</w:t>
            </w:r>
          </w:p>
          <w:p w14:paraId="289B9EF6" w14:textId="4C95A93A" w:rsidR="00B916D2" w:rsidRDefault="00AF59BB" w:rsidP="00215B1F">
            <w:pPr>
              <w:rPr>
                <w:b/>
                <w:bCs/>
                <w:lang w:val="es-ES"/>
              </w:rPr>
            </w:pPr>
            <w:r w:rsidRPr="00904CD7">
              <w:rPr>
                <w:i/>
                <w:iCs/>
              </w:rPr>
              <w:t>Comisión Federal para la Protección contra Riesgos Sanitarios</w:t>
            </w:r>
            <w:r>
              <w:rPr>
                <w:i/>
                <w:iCs/>
              </w:rPr>
              <w:t xml:space="preserve"> </w:t>
            </w:r>
            <w:r w:rsidRPr="00904CD7">
              <w:rPr>
                <w:i/>
                <w:iCs/>
                <w:color w:val="000000" w:themeColor="text1"/>
              </w:rPr>
              <w:t>(COFEPRIS)</w:t>
            </w:r>
            <w:r w:rsidRPr="00904CD7">
              <w:rPr>
                <w:i/>
                <w:iCs/>
              </w:rPr>
              <w:t>,</w:t>
            </w:r>
            <w:r>
              <w:t xml:space="preserve"> </w:t>
            </w:r>
            <w:r w:rsidRPr="00904CD7">
              <w:t>3 de julio de 2026</w:t>
            </w:r>
          </w:p>
        </w:tc>
        <w:tc>
          <w:tcPr>
            <w:tcW w:w="447" w:type="dxa"/>
            <w:tcMar>
              <w:top w:w="86" w:type="dxa"/>
              <w:left w:w="115" w:type="dxa"/>
              <w:right w:w="115" w:type="dxa"/>
            </w:tcMar>
          </w:tcPr>
          <w:p w14:paraId="294FD16F" w14:textId="77777777" w:rsidR="00B916D2" w:rsidRDefault="00B916D2" w:rsidP="00B916D2">
            <w:pPr>
              <w:jc w:val="center"/>
              <w:rPr>
                <w:lang w:val="es-ES"/>
              </w:rPr>
            </w:pPr>
          </w:p>
          <w:p w14:paraId="752E03E1" w14:textId="20B4D72B" w:rsidR="00754C32" w:rsidRPr="00754C32" w:rsidRDefault="00754C32" w:rsidP="00B916D2">
            <w:pPr>
              <w:jc w:val="center"/>
              <w:rPr>
                <w:lang w:val="es-ES"/>
              </w:rPr>
            </w:pPr>
            <w:r>
              <w:rPr>
                <w:lang w:val="es-ES"/>
              </w:rPr>
              <w:t>17</w:t>
            </w:r>
          </w:p>
        </w:tc>
      </w:tr>
      <w:tr w:rsidR="00B916D2" w14:paraId="517E2ABF" w14:textId="77777777" w:rsidTr="002A3C7E">
        <w:tc>
          <w:tcPr>
            <w:tcW w:w="9900" w:type="dxa"/>
            <w:tcMar>
              <w:top w:w="86" w:type="dxa"/>
              <w:left w:w="115" w:type="dxa"/>
              <w:right w:w="115" w:type="dxa"/>
            </w:tcMar>
          </w:tcPr>
          <w:p w14:paraId="4EECDFC2" w14:textId="77777777" w:rsidR="00AF59BB" w:rsidRPr="00CE1F98" w:rsidRDefault="00AF59BB" w:rsidP="00215B1F">
            <w:r w:rsidRPr="00CE1F98">
              <w:t xml:space="preserve">Perú. </w:t>
            </w:r>
            <w:r w:rsidRPr="00CE1F98">
              <w:rPr>
                <w:b/>
                <w:bCs/>
              </w:rPr>
              <w:t xml:space="preserve">Perú y España fortalecen </w:t>
            </w:r>
            <w:r>
              <w:rPr>
                <w:b/>
                <w:bCs/>
              </w:rPr>
              <w:t xml:space="preserve">el </w:t>
            </w:r>
            <w:r w:rsidRPr="00CE1F98">
              <w:rPr>
                <w:b/>
                <w:bCs/>
              </w:rPr>
              <w:t>sistema regulatorio de medicamentos con estándares globales</w:t>
            </w:r>
          </w:p>
          <w:p w14:paraId="1D2CCD72" w14:textId="6E7DAB20" w:rsidR="00B916D2" w:rsidRPr="00AF59BB" w:rsidRDefault="00AF59BB" w:rsidP="00215B1F">
            <w:r w:rsidRPr="00CE1F98">
              <w:rPr>
                <w:i/>
                <w:iCs/>
              </w:rPr>
              <w:t>Dirección General de Medicamentos, Insumos y Drogas (DIGEMID),</w:t>
            </w:r>
            <w:r w:rsidRPr="00D20A5D">
              <w:t xml:space="preserve"> 8 de junio de 2026</w:t>
            </w:r>
          </w:p>
        </w:tc>
        <w:tc>
          <w:tcPr>
            <w:tcW w:w="447" w:type="dxa"/>
            <w:tcMar>
              <w:top w:w="86" w:type="dxa"/>
              <w:left w:w="115" w:type="dxa"/>
              <w:right w:w="115" w:type="dxa"/>
            </w:tcMar>
          </w:tcPr>
          <w:p w14:paraId="670ED924" w14:textId="77777777" w:rsidR="00B916D2" w:rsidRDefault="00B916D2" w:rsidP="00B916D2">
            <w:pPr>
              <w:jc w:val="center"/>
              <w:rPr>
                <w:lang w:val="es-ES"/>
              </w:rPr>
            </w:pPr>
          </w:p>
          <w:p w14:paraId="5AD2511A" w14:textId="7276BB46" w:rsidR="00754C32" w:rsidRPr="00754C32" w:rsidRDefault="00754C32" w:rsidP="00B916D2">
            <w:pPr>
              <w:jc w:val="center"/>
              <w:rPr>
                <w:lang w:val="es-ES"/>
              </w:rPr>
            </w:pPr>
            <w:r>
              <w:rPr>
                <w:lang w:val="es-ES"/>
              </w:rPr>
              <w:t>17</w:t>
            </w:r>
          </w:p>
        </w:tc>
      </w:tr>
      <w:tr w:rsidR="00B916D2" w14:paraId="1FEEE9E4" w14:textId="77777777" w:rsidTr="002A3C7E">
        <w:tc>
          <w:tcPr>
            <w:tcW w:w="9900" w:type="dxa"/>
            <w:tcMar>
              <w:top w:w="86" w:type="dxa"/>
              <w:left w:w="115" w:type="dxa"/>
              <w:right w:w="115" w:type="dxa"/>
            </w:tcMar>
          </w:tcPr>
          <w:p w14:paraId="703AD0E1" w14:textId="77777777" w:rsidR="00B916D2" w:rsidRDefault="00B916D2" w:rsidP="00B916D2">
            <w:pPr>
              <w:jc w:val="center"/>
              <w:rPr>
                <w:b/>
                <w:bCs/>
                <w:lang w:val="es-ES"/>
              </w:rPr>
            </w:pPr>
          </w:p>
        </w:tc>
        <w:tc>
          <w:tcPr>
            <w:tcW w:w="447" w:type="dxa"/>
            <w:tcMar>
              <w:top w:w="86" w:type="dxa"/>
              <w:left w:w="115" w:type="dxa"/>
              <w:right w:w="115" w:type="dxa"/>
            </w:tcMar>
          </w:tcPr>
          <w:p w14:paraId="1B6C2C5F" w14:textId="77777777" w:rsidR="00B916D2" w:rsidRPr="00754C32" w:rsidRDefault="00B916D2" w:rsidP="00B916D2">
            <w:pPr>
              <w:jc w:val="center"/>
              <w:rPr>
                <w:lang w:val="es-ES"/>
              </w:rPr>
            </w:pPr>
          </w:p>
        </w:tc>
      </w:tr>
    </w:tbl>
    <w:p w14:paraId="7BF02DBC" w14:textId="0A22875A" w:rsidR="00F25512" w:rsidRDefault="00F25512"/>
    <w:tbl>
      <w:tblPr>
        <w:tblStyle w:val="Tablaconcuadrcula"/>
        <w:tblW w:w="10347" w:type="dxa"/>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0"/>
        <w:gridCol w:w="447"/>
      </w:tblGrid>
      <w:tr w:rsidR="00B916D2" w:rsidRPr="00AF59BB" w14:paraId="1F63B9DE" w14:textId="77777777" w:rsidTr="002A3C7E">
        <w:tc>
          <w:tcPr>
            <w:tcW w:w="9900" w:type="dxa"/>
            <w:tcBorders>
              <w:top w:val="single" w:sz="4" w:space="0" w:color="auto"/>
              <w:bottom w:val="single" w:sz="4" w:space="0" w:color="auto"/>
            </w:tcBorders>
            <w:tcMar>
              <w:top w:w="86" w:type="dxa"/>
              <w:left w:w="115" w:type="dxa"/>
              <w:right w:w="115" w:type="dxa"/>
            </w:tcMar>
          </w:tcPr>
          <w:p w14:paraId="2B8F9E34" w14:textId="7966E871" w:rsidR="00B916D2" w:rsidRPr="00AF59BB" w:rsidRDefault="00AF59BB" w:rsidP="00AF59BB">
            <w:pPr>
              <w:jc w:val="center"/>
              <w:rPr>
                <w:b/>
                <w:bCs/>
                <w:color w:val="000000" w:themeColor="text1"/>
                <w:sz w:val="24"/>
                <w:szCs w:val="32"/>
              </w:rPr>
            </w:pPr>
            <w:r w:rsidRPr="005C1B8E">
              <w:rPr>
                <w:b/>
                <w:bCs/>
                <w:color w:val="000000" w:themeColor="text1"/>
                <w:sz w:val="24"/>
                <w:szCs w:val="32"/>
              </w:rPr>
              <w:lastRenderedPageBreak/>
              <w:t>Europa y El Reino Unido</w:t>
            </w:r>
          </w:p>
        </w:tc>
        <w:tc>
          <w:tcPr>
            <w:tcW w:w="447" w:type="dxa"/>
            <w:tcMar>
              <w:top w:w="86" w:type="dxa"/>
              <w:left w:w="115" w:type="dxa"/>
              <w:right w:w="115" w:type="dxa"/>
            </w:tcMar>
          </w:tcPr>
          <w:p w14:paraId="3FB50A95" w14:textId="77777777" w:rsidR="00B916D2" w:rsidRPr="00C07879" w:rsidRDefault="00B916D2" w:rsidP="00B916D2">
            <w:pPr>
              <w:jc w:val="center"/>
              <w:rPr>
                <w:b/>
                <w:bCs/>
                <w:lang w:val="es-ES"/>
              </w:rPr>
            </w:pPr>
          </w:p>
        </w:tc>
      </w:tr>
      <w:tr w:rsidR="00B916D2" w:rsidRPr="00AF59BB" w14:paraId="2A119FA1" w14:textId="77777777" w:rsidTr="002A3C7E">
        <w:tc>
          <w:tcPr>
            <w:tcW w:w="9900" w:type="dxa"/>
            <w:tcBorders>
              <w:top w:val="single" w:sz="4" w:space="0" w:color="auto"/>
            </w:tcBorders>
            <w:tcMar>
              <w:top w:w="86" w:type="dxa"/>
              <w:left w:w="115" w:type="dxa"/>
              <w:right w:w="115" w:type="dxa"/>
            </w:tcMar>
          </w:tcPr>
          <w:p w14:paraId="4FDE34EB" w14:textId="7175A0E3" w:rsidR="00B916D2" w:rsidRPr="005E5112" w:rsidRDefault="00AF59BB" w:rsidP="005E5112">
            <w:pPr>
              <w:rPr>
                <w:b/>
                <w:bCs/>
                <w:lang w:val="es-ES"/>
              </w:rPr>
            </w:pPr>
            <w:r w:rsidRPr="000A6D30">
              <w:rPr>
                <w:rFonts w:cs="Times New Roman"/>
              </w:rPr>
              <w:t xml:space="preserve">Europa. </w:t>
            </w:r>
            <w:r>
              <w:rPr>
                <w:b/>
                <w:bCs/>
              </w:rPr>
              <w:t xml:space="preserve">Manejo de los conflictos de interés en la EMA: las evaluaciones de medicamentos ¿de verdad se protegen de la influencia de la industria? </w:t>
            </w:r>
            <w:r w:rsidRPr="00AF59BB">
              <w:rPr>
                <w:b/>
                <w:bCs/>
              </w:rPr>
              <w:br/>
            </w:r>
            <w:proofErr w:type="spellStart"/>
            <w:r w:rsidRPr="005E5112">
              <w:rPr>
                <w:i/>
                <w:iCs/>
                <w:lang w:val="es-ES"/>
              </w:rPr>
              <w:t>Prescrire</w:t>
            </w:r>
            <w:proofErr w:type="spellEnd"/>
            <w:r w:rsidRPr="005E5112">
              <w:rPr>
                <w:i/>
                <w:iCs/>
                <w:lang w:val="es-ES"/>
              </w:rPr>
              <w:t xml:space="preserve"> International</w:t>
            </w:r>
            <w:r w:rsidRPr="005E5112">
              <w:rPr>
                <w:lang w:val="es-ES"/>
              </w:rPr>
              <w:t xml:space="preserve"> 2026; 35 (280): 110-111</w:t>
            </w:r>
          </w:p>
        </w:tc>
        <w:tc>
          <w:tcPr>
            <w:tcW w:w="447" w:type="dxa"/>
            <w:tcMar>
              <w:top w:w="86" w:type="dxa"/>
              <w:left w:w="115" w:type="dxa"/>
              <w:right w:w="115" w:type="dxa"/>
            </w:tcMar>
          </w:tcPr>
          <w:p w14:paraId="697A7127" w14:textId="77777777" w:rsidR="003A0725" w:rsidRPr="00754C32" w:rsidRDefault="003A0725" w:rsidP="00B916D2">
            <w:pPr>
              <w:jc w:val="center"/>
              <w:rPr>
                <w:lang w:val="es-ES"/>
              </w:rPr>
            </w:pPr>
          </w:p>
          <w:p w14:paraId="114AC040" w14:textId="77777777" w:rsidR="00754C32" w:rsidRPr="00754C32" w:rsidRDefault="00754C32" w:rsidP="00754C32">
            <w:pPr>
              <w:rPr>
                <w:lang w:val="es-ES"/>
              </w:rPr>
            </w:pPr>
          </w:p>
          <w:p w14:paraId="1AA0E8D9" w14:textId="47631413" w:rsidR="00B916D2" w:rsidRPr="00754C32" w:rsidRDefault="00754C32" w:rsidP="00B916D2">
            <w:pPr>
              <w:jc w:val="center"/>
              <w:rPr>
                <w:lang w:val="es-ES"/>
              </w:rPr>
            </w:pPr>
            <w:r>
              <w:rPr>
                <w:lang w:val="es-ES"/>
              </w:rPr>
              <w:t>18</w:t>
            </w:r>
          </w:p>
        </w:tc>
      </w:tr>
      <w:tr w:rsidR="005F1DD4" w:rsidRPr="00215B1F" w14:paraId="749DA12D" w14:textId="77777777" w:rsidTr="002A3C7E">
        <w:tc>
          <w:tcPr>
            <w:tcW w:w="9900" w:type="dxa"/>
            <w:tcMar>
              <w:top w:w="86" w:type="dxa"/>
              <w:left w:w="115" w:type="dxa"/>
              <w:right w:w="115" w:type="dxa"/>
            </w:tcMar>
          </w:tcPr>
          <w:p w14:paraId="5BF415C5" w14:textId="77777777" w:rsidR="00215B1F" w:rsidRPr="002F4CFC" w:rsidRDefault="00215B1F" w:rsidP="00896A9F">
            <w:pPr>
              <w:rPr>
                <w:b/>
                <w:szCs w:val="20"/>
              </w:rPr>
            </w:pPr>
            <w:r w:rsidRPr="000B2851">
              <w:rPr>
                <w:bCs/>
                <w:szCs w:val="20"/>
              </w:rPr>
              <w:t>Europa.</w:t>
            </w:r>
            <w:r>
              <w:rPr>
                <w:b/>
                <w:szCs w:val="20"/>
              </w:rPr>
              <w:t xml:space="preserve"> </w:t>
            </w:r>
            <w:r w:rsidRPr="002F4CFC">
              <w:rPr>
                <w:b/>
                <w:szCs w:val="20"/>
              </w:rPr>
              <w:t xml:space="preserve">La EMA recomienda revocar la autorización de comercialización de </w:t>
            </w:r>
            <w:proofErr w:type="spellStart"/>
            <w:r w:rsidRPr="002F4CFC">
              <w:rPr>
                <w:b/>
                <w:szCs w:val="20"/>
              </w:rPr>
              <w:t>Tavneos</w:t>
            </w:r>
            <w:proofErr w:type="spellEnd"/>
          </w:p>
          <w:p w14:paraId="0C836AFE" w14:textId="505E05E2" w:rsidR="005F1DD4" w:rsidRPr="00215B1F" w:rsidRDefault="00215B1F" w:rsidP="00896A9F">
            <w:pPr>
              <w:rPr>
                <w:szCs w:val="20"/>
              </w:rPr>
            </w:pPr>
            <w:r w:rsidRPr="004A4369">
              <w:rPr>
                <w:i/>
                <w:iCs/>
                <w:szCs w:val="20"/>
              </w:rPr>
              <w:t xml:space="preserve">Agencia Europea de </w:t>
            </w:r>
            <w:proofErr w:type="spellStart"/>
            <w:r w:rsidRPr="004A4369">
              <w:rPr>
                <w:i/>
                <w:iCs/>
                <w:szCs w:val="20"/>
              </w:rPr>
              <w:t>Mediamentos</w:t>
            </w:r>
            <w:proofErr w:type="spellEnd"/>
            <w:r w:rsidRPr="004A4369">
              <w:rPr>
                <w:i/>
                <w:iCs/>
                <w:szCs w:val="20"/>
              </w:rPr>
              <w:t xml:space="preserve"> (EMA),</w:t>
            </w:r>
            <w:r>
              <w:rPr>
                <w:szCs w:val="20"/>
              </w:rPr>
              <w:t xml:space="preserve"> 26 de junio de 2026</w:t>
            </w:r>
          </w:p>
        </w:tc>
        <w:tc>
          <w:tcPr>
            <w:tcW w:w="447" w:type="dxa"/>
            <w:tcMar>
              <w:top w:w="86" w:type="dxa"/>
              <w:left w:w="115" w:type="dxa"/>
              <w:right w:w="115" w:type="dxa"/>
            </w:tcMar>
          </w:tcPr>
          <w:p w14:paraId="225C3406" w14:textId="77777777" w:rsidR="005F1DD4" w:rsidRPr="00754C32" w:rsidRDefault="005F1DD4" w:rsidP="00B916D2">
            <w:pPr>
              <w:jc w:val="center"/>
            </w:pPr>
          </w:p>
          <w:p w14:paraId="28AC49F2" w14:textId="636D21F8" w:rsidR="003A0725" w:rsidRPr="00754C32" w:rsidRDefault="00754C32" w:rsidP="00B916D2">
            <w:pPr>
              <w:jc w:val="center"/>
            </w:pPr>
            <w:r>
              <w:t>20</w:t>
            </w:r>
          </w:p>
        </w:tc>
      </w:tr>
      <w:tr w:rsidR="005F1DD4" w:rsidRPr="00215B1F" w14:paraId="303B7CFC" w14:textId="77777777" w:rsidTr="002A3C7E">
        <w:tc>
          <w:tcPr>
            <w:tcW w:w="9900" w:type="dxa"/>
            <w:tcMar>
              <w:top w:w="86" w:type="dxa"/>
              <w:left w:w="115" w:type="dxa"/>
              <w:right w:w="115" w:type="dxa"/>
            </w:tcMar>
          </w:tcPr>
          <w:p w14:paraId="2FE52EC6" w14:textId="77777777" w:rsidR="00215B1F" w:rsidRDefault="00215B1F" w:rsidP="00896A9F">
            <w:pPr>
              <w:rPr>
                <w:rFonts w:eastAsia="Times New Roman" w:cs="Times New Roman"/>
                <w:b/>
                <w:bCs/>
                <w:color w:val="0D0D0D" w:themeColor="text1" w:themeTint="F2"/>
                <w:szCs w:val="20"/>
              </w:rPr>
            </w:pPr>
            <w:r w:rsidRPr="00057E97">
              <w:rPr>
                <w:rFonts w:eastAsia="Times New Roman" w:cs="Times New Roman"/>
                <w:color w:val="0D0D0D" w:themeColor="text1" w:themeTint="F2"/>
                <w:szCs w:val="20"/>
              </w:rPr>
              <w:t>Europa.</w:t>
            </w:r>
            <w:r>
              <w:rPr>
                <w:rFonts w:eastAsia="Times New Roman" w:cs="Times New Roman"/>
                <w:b/>
                <w:bCs/>
                <w:color w:val="0D0D0D" w:themeColor="text1" w:themeTint="F2"/>
                <w:szCs w:val="20"/>
              </w:rPr>
              <w:t xml:space="preserve"> </w:t>
            </w:r>
            <w:r w:rsidRPr="00C50B64">
              <w:rPr>
                <w:rFonts w:eastAsia="Times New Roman" w:cs="Times New Roman"/>
                <w:b/>
                <w:bCs/>
                <w:color w:val="0D0D0D" w:themeColor="text1" w:themeTint="F2"/>
                <w:szCs w:val="20"/>
              </w:rPr>
              <w:t xml:space="preserve">Retirada de medicamentos que contienen </w:t>
            </w:r>
            <w:proofErr w:type="spellStart"/>
            <w:r w:rsidRPr="00C50B64">
              <w:rPr>
                <w:rFonts w:eastAsia="Times New Roman" w:cs="Times New Roman"/>
                <w:b/>
                <w:bCs/>
                <w:i/>
                <w:iCs/>
                <w:color w:val="0D0D0D" w:themeColor="text1" w:themeTint="F2"/>
                <w:szCs w:val="20"/>
              </w:rPr>
              <w:t>levamisol</w:t>
            </w:r>
            <w:proofErr w:type="spellEnd"/>
            <w:r w:rsidRPr="00C50B64">
              <w:rPr>
                <w:rFonts w:eastAsia="Times New Roman" w:cs="Times New Roman"/>
                <w:b/>
                <w:bCs/>
                <w:color w:val="0D0D0D" w:themeColor="text1" w:themeTint="F2"/>
                <w:szCs w:val="20"/>
              </w:rPr>
              <w:t xml:space="preserve"> </w:t>
            </w:r>
          </w:p>
          <w:p w14:paraId="5E3D3A80" w14:textId="691F47CA" w:rsidR="005F1DD4" w:rsidRPr="00215B1F" w:rsidRDefault="00215B1F" w:rsidP="00896A9F">
            <w:pPr>
              <w:rPr>
                <w:rFonts w:eastAsia="Times New Roman" w:cs="Times New Roman"/>
                <w:color w:val="0D0D0D" w:themeColor="text1" w:themeTint="F2"/>
                <w:szCs w:val="20"/>
              </w:rPr>
            </w:pPr>
            <w:proofErr w:type="spellStart"/>
            <w:r w:rsidRPr="00C50B64">
              <w:rPr>
                <w:rFonts w:eastAsia="Times New Roman" w:cs="Times New Roman"/>
                <w:i/>
                <w:iCs/>
                <w:color w:val="0D0D0D" w:themeColor="text1" w:themeTint="F2"/>
                <w:szCs w:val="20"/>
              </w:rPr>
              <w:t>European</w:t>
            </w:r>
            <w:proofErr w:type="spellEnd"/>
            <w:r w:rsidRPr="00C50B64">
              <w:rPr>
                <w:rFonts w:eastAsia="Times New Roman" w:cs="Times New Roman"/>
                <w:i/>
                <w:iCs/>
                <w:color w:val="0D0D0D" w:themeColor="text1" w:themeTint="F2"/>
                <w:szCs w:val="20"/>
              </w:rPr>
              <w:t xml:space="preserve"> Medicine Agency,</w:t>
            </w:r>
            <w:r w:rsidRPr="00C50B64">
              <w:rPr>
                <w:rFonts w:eastAsia="Times New Roman" w:cs="Times New Roman"/>
                <w:color w:val="0D0D0D" w:themeColor="text1" w:themeTint="F2"/>
                <w:szCs w:val="20"/>
              </w:rPr>
              <w:t xml:space="preserve"> 26 de marzo de 2026 </w:t>
            </w:r>
          </w:p>
        </w:tc>
        <w:tc>
          <w:tcPr>
            <w:tcW w:w="447" w:type="dxa"/>
            <w:tcMar>
              <w:top w:w="86" w:type="dxa"/>
              <w:left w:w="115" w:type="dxa"/>
              <w:right w:w="115" w:type="dxa"/>
            </w:tcMar>
          </w:tcPr>
          <w:p w14:paraId="0510C341" w14:textId="77777777" w:rsidR="005F1DD4" w:rsidRDefault="005F1DD4" w:rsidP="00B916D2">
            <w:pPr>
              <w:jc w:val="center"/>
            </w:pPr>
          </w:p>
          <w:p w14:paraId="6DFA23C7" w14:textId="1D70F3CA" w:rsidR="00754C32" w:rsidRPr="00754C32" w:rsidRDefault="00754C32" w:rsidP="00B916D2">
            <w:pPr>
              <w:jc w:val="center"/>
            </w:pPr>
            <w:r>
              <w:t>22</w:t>
            </w:r>
          </w:p>
        </w:tc>
      </w:tr>
      <w:tr w:rsidR="00871E58" w:rsidRPr="00215B1F" w14:paraId="5D4E70D5" w14:textId="77777777" w:rsidTr="002A3C7E">
        <w:tc>
          <w:tcPr>
            <w:tcW w:w="9900" w:type="dxa"/>
            <w:tcMar>
              <w:top w:w="86" w:type="dxa"/>
              <w:left w:w="115" w:type="dxa"/>
              <w:right w:w="115" w:type="dxa"/>
            </w:tcMar>
          </w:tcPr>
          <w:p w14:paraId="094DABD6" w14:textId="59FD6817" w:rsidR="00871E58" w:rsidRPr="009F6FB8" w:rsidRDefault="00871E58" w:rsidP="00896A9F">
            <w:pPr>
              <w:shd w:val="clear" w:color="auto" w:fill="FFFFFF"/>
              <w:tabs>
                <w:tab w:val="left" w:pos="7920"/>
              </w:tabs>
              <w:outlineLvl w:val="0"/>
              <w:rPr>
                <w:rFonts w:eastAsia="Times New Roman" w:cs="Times New Roman"/>
                <w:b/>
                <w:kern w:val="36"/>
                <w:szCs w:val="20"/>
                <w:lang w:val="es-ES"/>
              </w:rPr>
            </w:pPr>
            <w:r w:rsidRPr="009F6FB8">
              <w:rPr>
                <w:rFonts w:eastAsia="Times New Roman" w:cs="Times New Roman"/>
                <w:kern w:val="36"/>
                <w:szCs w:val="20"/>
                <w:lang w:val="es-ES"/>
              </w:rPr>
              <w:t>España.</w:t>
            </w:r>
            <w:r w:rsidRPr="009F6FB8">
              <w:rPr>
                <w:rFonts w:eastAsia="Times New Roman" w:cs="Times New Roman"/>
                <w:b/>
                <w:kern w:val="36"/>
                <w:szCs w:val="20"/>
                <w:lang w:val="es-ES"/>
              </w:rPr>
              <w:t xml:space="preserve"> El Consejo de Ministros aprueba el primer marco estatal para evaluar tecnologías sanitarias en el Sistema Nacional de Salud</w:t>
            </w:r>
          </w:p>
          <w:p w14:paraId="1094FA43" w14:textId="0E62B589" w:rsidR="00871E58" w:rsidRPr="00871E58" w:rsidRDefault="00871E58" w:rsidP="00896A9F">
            <w:pPr>
              <w:shd w:val="clear" w:color="auto" w:fill="FFFFFF"/>
              <w:tabs>
                <w:tab w:val="left" w:pos="7920"/>
              </w:tabs>
              <w:outlineLvl w:val="0"/>
              <w:rPr>
                <w:rFonts w:eastAsia="Times New Roman" w:cs="Times New Roman"/>
                <w:kern w:val="36"/>
                <w:szCs w:val="20"/>
                <w:lang w:val="es-ES"/>
              </w:rPr>
            </w:pPr>
            <w:r w:rsidRPr="009F6FB8">
              <w:rPr>
                <w:rFonts w:eastAsia="Times New Roman" w:cs="Times New Roman"/>
                <w:i/>
                <w:kern w:val="36"/>
                <w:szCs w:val="20"/>
                <w:lang w:val="es-ES"/>
              </w:rPr>
              <w:t>Ministerio de Salud</w:t>
            </w:r>
            <w:r w:rsidRPr="009F6FB8">
              <w:rPr>
                <w:rFonts w:eastAsia="Times New Roman" w:cs="Times New Roman"/>
                <w:kern w:val="36"/>
                <w:szCs w:val="20"/>
                <w:lang w:val="es-ES"/>
              </w:rPr>
              <w:t>, 26 de mayo de 2026</w:t>
            </w:r>
          </w:p>
        </w:tc>
        <w:tc>
          <w:tcPr>
            <w:tcW w:w="447" w:type="dxa"/>
            <w:tcMar>
              <w:top w:w="86" w:type="dxa"/>
              <w:left w:w="115" w:type="dxa"/>
              <w:right w:w="115" w:type="dxa"/>
            </w:tcMar>
          </w:tcPr>
          <w:p w14:paraId="68C12CFE" w14:textId="77777777" w:rsidR="00871E58" w:rsidRDefault="00871E58" w:rsidP="00B916D2">
            <w:pPr>
              <w:jc w:val="center"/>
            </w:pPr>
          </w:p>
          <w:p w14:paraId="2B338FA0" w14:textId="77777777" w:rsidR="00754C32" w:rsidRDefault="00754C32" w:rsidP="00754C32"/>
          <w:p w14:paraId="3E51A5B2" w14:textId="1B858852" w:rsidR="00754C32" w:rsidRPr="00754C32" w:rsidRDefault="00754C32" w:rsidP="00B916D2">
            <w:pPr>
              <w:jc w:val="center"/>
            </w:pPr>
            <w:r>
              <w:t>24</w:t>
            </w:r>
          </w:p>
        </w:tc>
      </w:tr>
      <w:tr w:rsidR="00871E58" w:rsidRPr="00215B1F" w14:paraId="2DE410C2" w14:textId="77777777" w:rsidTr="002A3C7E">
        <w:tc>
          <w:tcPr>
            <w:tcW w:w="9900" w:type="dxa"/>
            <w:tcMar>
              <w:top w:w="86" w:type="dxa"/>
              <w:left w:w="115" w:type="dxa"/>
              <w:right w:w="115" w:type="dxa"/>
            </w:tcMar>
          </w:tcPr>
          <w:p w14:paraId="06AF5D8C" w14:textId="77777777" w:rsidR="00896A9F" w:rsidRPr="009F6FB8" w:rsidRDefault="00896A9F" w:rsidP="00896A9F">
            <w:pPr>
              <w:shd w:val="clear" w:color="auto" w:fill="FFFFFF"/>
              <w:tabs>
                <w:tab w:val="left" w:pos="7920"/>
              </w:tabs>
              <w:outlineLvl w:val="0"/>
              <w:rPr>
                <w:rFonts w:eastAsia="Times New Roman" w:cs="Times New Roman"/>
                <w:b/>
                <w:kern w:val="36"/>
                <w:szCs w:val="20"/>
                <w:lang w:val="es-ES"/>
              </w:rPr>
            </w:pPr>
            <w:r w:rsidRPr="009F6FB8">
              <w:rPr>
                <w:rFonts w:eastAsia="Times New Roman" w:cs="Times New Roman"/>
                <w:kern w:val="36"/>
                <w:szCs w:val="20"/>
                <w:lang w:val="es-ES"/>
              </w:rPr>
              <w:t>España.</w:t>
            </w:r>
            <w:r w:rsidRPr="009F6FB8">
              <w:rPr>
                <w:rFonts w:eastAsia="Times New Roman" w:cs="Times New Roman"/>
                <w:b/>
                <w:kern w:val="36"/>
                <w:szCs w:val="20"/>
                <w:lang w:val="es-ES"/>
              </w:rPr>
              <w:t xml:space="preserve"> Aprobado el proyecto de ley que integra por primera vez a las organizaciones de pacientes en la gobernanza del</w:t>
            </w:r>
            <w:r w:rsidRPr="009F6FB8">
              <w:rPr>
                <w:rFonts w:eastAsia="Times New Roman" w:cs="Times New Roman"/>
                <w:kern w:val="36"/>
                <w:szCs w:val="20"/>
                <w:lang w:val="es-ES"/>
              </w:rPr>
              <w:t xml:space="preserve"> </w:t>
            </w:r>
            <w:r w:rsidRPr="009F6FB8">
              <w:rPr>
                <w:rFonts w:eastAsia="Times New Roman" w:cs="Times New Roman"/>
                <w:b/>
                <w:kern w:val="36"/>
                <w:szCs w:val="20"/>
                <w:lang w:val="es-ES"/>
              </w:rPr>
              <w:t>Sistema Nacional de Salud</w:t>
            </w:r>
          </w:p>
          <w:p w14:paraId="5BDD7712" w14:textId="3E1D562F" w:rsidR="00871E58" w:rsidRPr="005E5112" w:rsidRDefault="00896A9F" w:rsidP="005E5112">
            <w:pPr>
              <w:shd w:val="clear" w:color="auto" w:fill="FFFFFF"/>
              <w:tabs>
                <w:tab w:val="left" w:pos="7920"/>
              </w:tabs>
              <w:outlineLvl w:val="0"/>
              <w:rPr>
                <w:rFonts w:eastAsia="Times New Roman" w:cs="Times New Roman"/>
                <w:kern w:val="36"/>
                <w:szCs w:val="20"/>
                <w:lang w:val="es-ES"/>
              </w:rPr>
            </w:pPr>
            <w:r w:rsidRPr="009F6FB8">
              <w:rPr>
                <w:rFonts w:eastAsia="Times New Roman" w:cs="Times New Roman"/>
                <w:i/>
                <w:kern w:val="36"/>
                <w:szCs w:val="20"/>
                <w:lang w:val="es-ES"/>
              </w:rPr>
              <w:t>Ministerio de Salud</w:t>
            </w:r>
            <w:r w:rsidRPr="009F6FB8">
              <w:rPr>
                <w:rFonts w:eastAsia="Times New Roman" w:cs="Times New Roman"/>
                <w:kern w:val="36"/>
                <w:szCs w:val="20"/>
                <w:lang w:val="es-ES"/>
              </w:rPr>
              <w:t>, 9 de junio de 2026</w:t>
            </w:r>
          </w:p>
        </w:tc>
        <w:tc>
          <w:tcPr>
            <w:tcW w:w="447" w:type="dxa"/>
            <w:tcMar>
              <w:top w:w="86" w:type="dxa"/>
              <w:left w:w="115" w:type="dxa"/>
              <w:right w:w="115" w:type="dxa"/>
            </w:tcMar>
          </w:tcPr>
          <w:p w14:paraId="52602EB8" w14:textId="77777777" w:rsidR="00871E58" w:rsidRDefault="00871E58" w:rsidP="00B916D2">
            <w:pPr>
              <w:jc w:val="center"/>
            </w:pPr>
          </w:p>
          <w:p w14:paraId="7B105CF7" w14:textId="77777777" w:rsidR="00754C32" w:rsidRDefault="00754C32" w:rsidP="00B916D2">
            <w:pPr>
              <w:jc w:val="center"/>
            </w:pPr>
          </w:p>
          <w:p w14:paraId="5A2DE62C" w14:textId="4138AE12" w:rsidR="00754C32" w:rsidRPr="00754C32" w:rsidRDefault="00754C32" w:rsidP="00B916D2">
            <w:pPr>
              <w:jc w:val="center"/>
            </w:pPr>
            <w:r>
              <w:t>25</w:t>
            </w:r>
          </w:p>
        </w:tc>
      </w:tr>
      <w:tr w:rsidR="005F1DD4" w:rsidRPr="00215B1F" w14:paraId="6BA6D15E" w14:textId="77777777" w:rsidTr="002A3C7E">
        <w:tc>
          <w:tcPr>
            <w:tcW w:w="9900" w:type="dxa"/>
            <w:tcMar>
              <w:top w:w="86" w:type="dxa"/>
              <w:left w:w="115" w:type="dxa"/>
              <w:right w:w="115" w:type="dxa"/>
            </w:tcMar>
          </w:tcPr>
          <w:p w14:paraId="79344733" w14:textId="77777777" w:rsidR="008A335E" w:rsidRDefault="008A335E" w:rsidP="002B1A02">
            <w:pPr>
              <w:rPr>
                <w:b/>
                <w:bCs/>
              </w:rPr>
            </w:pPr>
            <w:r>
              <w:rPr>
                <w:rFonts w:eastAsia="Times New Roman" w:cs="Times New Roman"/>
                <w:szCs w:val="20"/>
              </w:rPr>
              <w:t xml:space="preserve">Francia. </w:t>
            </w:r>
            <w:r>
              <w:rPr>
                <w:b/>
                <w:bCs/>
              </w:rPr>
              <w:t xml:space="preserve">Exposición ambiental al </w:t>
            </w:r>
            <w:r w:rsidRPr="00261205">
              <w:rPr>
                <w:b/>
                <w:bCs/>
                <w:i/>
                <w:iCs/>
              </w:rPr>
              <w:t>ácido valproico</w:t>
            </w:r>
            <w:r>
              <w:rPr>
                <w:b/>
                <w:bCs/>
              </w:rPr>
              <w:t xml:space="preserve">: Sanofi bajo investigación formal </w:t>
            </w:r>
          </w:p>
          <w:p w14:paraId="75369467" w14:textId="5943518F" w:rsidR="005F1DD4" w:rsidRPr="008A335E" w:rsidRDefault="008A335E" w:rsidP="002B1A02">
            <w:proofErr w:type="spellStart"/>
            <w:r>
              <w:rPr>
                <w:i/>
                <w:iCs/>
              </w:rPr>
              <w:t>Prescrire</w:t>
            </w:r>
            <w:proofErr w:type="spellEnd"/>
            <w:r>
              <w:rPr>
                <w:i/>
                <w:iCs/>
              </w:rPr>
              <w:t xml:space="preserve"> International</w:t>
            </w:r>
            <w:r>
              <w:t xml:space="preserve"> 2026; 35 (281): 139</w:t>
            </w:r>
          </w:p>
        </w:tc>
        <w:tc>
          <w:tcPr>
            <w:tcW w:w="447" w:type="dxa"/>
            <w:tcMar>
              <w:top w:w="86" w:type="dxa"/>
              <w:left w:w="115" w:type="dxa"/>
              <w:right w:w="115" w:type="dxa"/>
            </w:tcMar>
          </w:tcPr>
          <w:p w14:paraId="1E26B8EC" w14:textId="77777777" w:rsidR="005F1DD4" w:rsidRDefault="005F1DD4" w:rsidP="00B916D2">
            <w:pPr>
              <w:jc w:val="center"/>
            </w:pPr>
          </w:p>
          <w:p w14:paraId="49E830D9" w14:textId="2A241936" w:rsidR="00754C32" w:rsidRPr="00754C32" w:rsidRDefault="00754C32" w:rsidP="00B916D2">
            <w:pPr>
              <w:jc w:val="center"/>
            </w:pPr>
            <w:r>
              <w:t>26</w:t>
            </w:r>
          </w:p>
        </w:tc>
      </w:tr>
      <w:tr w:rsidR="005F1DD4" w:rsidRPr="00215B1F" w14:paraId="206AAC14" w14:textId="77777777" w:rsidTr="002A3C7E">
        <w:tc>
          <w:tcPr>
            <w:tcW w:w="9900" w:type="dxa"/>
            <w:tcMar>
              <w:top w:w="86" w:type="dxa"/>
              <w:left w:w="115" w:type="dxa"/>
              <w:right w:w="115" w:type="dxa"/>
            </w:tcMar>
          </w:tcPr>
          <w:p w14:paraId="5DB4A872" w14:textId="77777777" w:rsidR="008A335E" w:rsidRPr="007C7616" w:rsidRDefault="008A335E" w:rsidP="002B1A02">
            <w:pPr>
              <w:rPr>
                <w:b/>
                <w:bCs/>
                <w:color w:val="0D0D0D" w:themeColor="text1" w:themeTint="F2"/>
                <w:szCs w:val="20"/>
              </w:rPr>
            </w:pPr>
            <w:r>
              <w:rPr>
                <w:rFonts w:eastAsia="Times New Roman" w:cs="Times New Roman"/>
                <w:szCs w:val="20"/>
              </w:rPr>
              <w:t xml:space="preserve">Suiza. </w:t>
            </w:r>
            <w:r>
              <w:rPr>
                <w:b/>
                <w:bCs/>
                <w:color w:val="0D0D0D" w:themeColor="text1" w:themeTint="F2"/>
                <w:szCs w:val="20"/>
              </w:rPr>
              <w:t>¿Qué beneficios aportan los nuevos</w:t>
            </w:r>
            <w:r w:rsidRPr="007C7616">
              <w:rPr>
                <w:b/>
                <w:bCs/>
                <w:color w:val="0D0D0D" w:themeColor="text1" w:themeTint="F2"/>
                <w:szCs w:val="20"/>
              </w:rPr>
              <w:t xml:space="preserve"> fármacos oncológicos</w:t>
            </w:r>
            <w:r>
              <w:rPr>
                <w:b/>
                <w:bCs/>
                <w:color w:val="0D0D0D" w:themeColor="text1" w:themeTint="F2"/>
                <w:szCs w:val="20"/>
              </w:rPr>
              <w:t xml:space="preserve"> </w:t>
            </w:r>
            <w:r w:rsidRPr="00DA2FE0">
              <w:rPr>
                <w:b/>
                <w:bCs/>
                <w:color w:val="0D0D0D" w:themeColor="text1" w:themeTint="F2"/>
                <w:szCs w:val="20"/>
              </w:rPr>
              <w:t>aprobados en Suiza</w:t>
            </w:r>
            <w:r>
              <w:rPr>
                <w:b/>
                <w:bCs/>
                <w:color w:val="0D0D0D" w:themeColor="text1" w:themeTint="F2"/>
                <w:szCs w:val="20"/>
              </w:rPr>
              <w:t xml:space="preserve"> a los pacientes con cáncer?</w:t>
            </w:r>
          </w:p>
          <w:p w14:paraId="79BAE97F" w14:textId="2D44D70B" w:rsidR="005F1DD4" w:rsidRPr="008A335E" w:rsidRDefault="008A335E" w:rsidP="002B1A02">
            <w:pPr>
              <w:rPr>
                <w:color w:val="0D0D0D" w:themeColor="text1" w:themeTint="F2"/>
                <w:szCs w:val="20"/>
              </w:rPr>
            </w:pPr>
            <w:r>
              <w:rPr>
                <w:color w:val="0D0D0D" w:themeColor="text1" w:themeTint="F2"/>
                <w:szCs w:val="20"/>
              </w:rPr>
              <w:t>Salud y Fármacos</w:t>
            </w:r>
          </w:p>
        </w:tc>
        <w:tc>
          <w:tcPr>
            <w:tcW w:w="447" w:type="dxa"/>
            <w:tcMar>
              <w:top w:w="86" w:type="dxa"/>
              <w:left w:w="115" w:type="dxa"/>
              <w:right w:w="115" w:type="dxa"/>
            </w:tcMar>
          </w:tcPr>
          <w:p w14:paraId="6E4D0AB4" w14:textId="77777777" w:rsidR="005F1DD4" w:rsidRDefault="005F1DD4" w:rsidP="00B916D2">
            <w:pPr>
              <w:jc w:val="center"/>
            </w:pPr>
          </w:p>
          <w:p w14:paraId="129CB223" w14:textId="56981DE5" w:rsidR="00754C32" w:rsidRPr="00754C32" w:rsidRDefault="00754C32" w:rsidP="00B916D2">
            <w:pPr>
              <w:jc w:val="center"/>
            </w:pPr>
            <w:r>
              <w:t>27</w:t>
            </w:r>
          </w:p>
        </w:tc>
      </w:tr>
      <w:tr w:rsidR="005F1DD4" w:rsidRPr="00215B1F" w14:paraId="05DDFB8C" w14:textId="77777777" w:rsidTr="002A3C7E">
        <w:tc>
          <w:tcPr>
            <w:tcW w:w="9900" w:type="dxa"/>
            <w:tcMar>
              <w:top w:w="86" w:type="dxa"/>
              <w:left w:w="115" w:type="dxa"/>
              <w:right w:w="115" w:type="dxa"/>
            </w:tcMar>
          </w:tcPr>
          <w:p w14:paraId="516C7E7C" w14:textId="77777777" w:rsidR="00A01BCE" w:rsidRPr="001E6614" w:rsidRDefault="00A01BCE" w:rsidP="002B1A02">
            <w:pPr>
              <w:tabs>
                <w:tab w:val="left" w:pos="7920"/>
              </w:tabs>
              <w:rPr>
                <w:b/>
                <w:lang w:val="es-ES"/>
              </w:rPr>
            </w:pPr>
            <w:r w:rsidRPr="0085388B">
              <w:rPr>
                <w:rFonts w:eastAsia="Times New Roman" w:cs="Times New Roman"/>
                <w:szCs w:val="20"/>
                <w:lang w:val="es-ES"/>
              </w:rPr>
              <w:t>Reino Unido.</w:t>
            </w:r>
            <w:r>
              <w:rPr>
                <w:rFonts w:eastAsia="Times New Roman" w:cs="Times New Roman"/>
                <w:b/>
                <w:bCs/>
                <w:szCs w:val="20"/>
                <w:lang w:val="es-ES"/>
              </w:rPr>
              <w:t xml:space="preserve"> </w:t>
            </w:r>
            <w:r w:rsidRPr="001E6614">
              <w:rPr>
                <w:b/>
                <w:lang w:val="es-ES"/>
              </w:rPr>
              <w:t>La evaluación concomitante del MHRA y NICE beneficia a la industria</w:t>
            </w:r>
          </w:p>
          <w:p w14:paraId="37583A0E" w14:textId="4A3D4DE9" w:rsidR="005F1DD4" w:rsidRPr="00215B1F" w:rsidRDefault="00A01BCE" w:rsidP="002B1A02">
            <w:pPr>
              <w:rPr>
                <w:b/>
                <w:bCs/>
              </w:rPr>
            </w:pPr>
            <w:r w:rsidRPr="001E6614">
              <w:rPr>
                <w:lang w:val="es-ES"/>
              </w:rPr>
              <w:t>Salud y Fármacos</w:t>
            </w:r>
          </w:p>
        </w:tc>
        <w:tc>
          <w:tcPr>
            <w:tcW w:w="447" w:type="dxa"/>
            <w:tcMar>
              <w:top w:w="86" w:type="dxa"/>
              <w:left w:w="115" w:type="dxa"/>
              <w:right w:w="115" w:type="dxa"/>
            </w:tcMar>
          </w:tcPr>
          <w:p w14:paraId="6C52E715" w14:textId="77777777" w:rsidR="005F1DD4" w:rsidRDefault="005F1DD4" w:rsidP="00B916D2">
            <w:pPr>
              <w:jc w:val="center"/>
            </w:pPr>
          </w:p>
          <w:p w14:paraId="4EB80D2B" w14:textId="6B5F2445" w:rsidR="00754C32" w:rsidRPr="00754C32" w:rsidRDefault="00754C32" w:rsidP="00B916D2">
            <w:pPr>
              <w:jc w:val="center"/>
            </w:pPr>
            <w:r>
              <w:t>28</w:t>
            </w:r>
          </w:p>
        </w:tc>
      </w:tr>
      <w:tr w:rsidR="005F1DD4" w:rsidRPr="00A01BCE" w14:paraId="44CA0563" w14:textId="77777777" w:rsidTr="002A3C7E">
        <w:tc>
          <w:tcPr>
            <w:tcW w:w="9900" w:type="dxa"/>
            <w:tcMar>
              <w:top w:w="86" w:type="dxa"/>
              <w:left w:w="115" w:type="dxa"/>
              <w:right w:w="115" w:type="dxa"/>
            </w:tcMar>
          </w:tcPr>
          <w:p w14:paraId="5EED7892" w14:textId="30A2EDB0" w:rsidR="00A01BCE" w:rsidRPr="009F6FB8" w:rsidRDefault="00E83F5E" w:rsidP="002B1A02">
            <w:pPr>
              <w:tabs>
                <w:tab w:val="left" w:pos="7920"/>
              </w:tabs>
              <w:rPr>
                <w:rFonts w:cs="Times New Roman"/>
                <w:b/>
                <w:bCs/>
                <w:szCs w:val="20"/>
                <w:lang w:val="es-ES"/>
              </w:rPr>
            </w:pPr>
            <w:r w:rsidRPr="0085388B">
              <w:rPr>
                <w:rFonts w:eastAsia="Times New Roman" w:cs="Times New Roman"/>
                <w:szCs w:val="20"/>
                <w:lang w:val="es-ES"/>
              </w:rPr>
              <w:t>Reino Unido.</w:t>
            </w:r>
            <w:r>
              <w:rPr>
                <w:rFonts w:eastAsia="Times New Roman" w:cs="Times New Roman"/>
                <w:b/>
                <w:bCs/>
                <w:szCs w:val="20"/>
                <w:lang w:val="es-ES"/>
              </w:rPr>
              <w:t xml:space="preserve"> </w:t>
            </w:r>
            <w:r w:rsidR="00A01BCE" w:rsidRPr="009F6FB8">
              <w:rPr>
                <w:rFonts w:cs="Times New Roman"/>
                <w:b/>
                <w:bCs/>
                <w:szCs w:val="20"/>
                <w:lang w:val="es-ES"/>
              </w:rPr>
              <w:t>Activistas presentan una impugnación legal por «apropiación ilegal de poder» por los cambios en el control de precios de medicamentos para el NHS en respuesta a las exigencias de Trump</w:t>
            </w:r>
          </w:p>
          <w:p w14:paraId="035D5021" w14:textId="2E07DD1A" w:rsidR="005F1DD4" w:rsidRPr="00A01BCE" w:rsidRDefault="00A01BCE" w:rsidP="002B1A02">
            <w:pPr>
              <w:rPr>
                <w:b/>
                <w:bCs/>
              </w:rPr>
            </w:pPr>
            <w:r w:rsidRPr="009F6FB8">
              <w:rPr>
                <w:rFonts w:cs="Times New Roman"/>
                <w:i/>
                <w:iCs/>
                <w:szCs w:val="20"/>
                <w:lang w:val="es-ES"/>
              </w:rPr>
              <w:t xml:space="preserve">Global </w:t>
            </w:r>
            <w:proofErr w:type="spellStart"/>
            <w:r w:rsidRPr="009F6FB8">
              <w:rPr>
                <w:rFonts w:cs="Times New Roman"/>
                <w:i/>
                <w:iCs/>
                <w:szCs w:val="20"/>
                <w:lang w:val="es-ES"/>
              </w:rPr>
              <w:t>Justice</w:t>
            </w:r>
            <w:proofErr w:type="spellEnd"/>
            <w:r w:rsidRPr="009F6FB8">
              <w:rPr>
                <w:rFonts w:cs="Times New Roman"/>
                <w:i/>
                <w:iCs/>
                <w:szCs w:val="20"/>
                <w:lang w:val="es-ES"/>
              </w:rPr>
              <w:t xml:space="preserve"> </w:t>
            </w:r>
            <w:proofErr w:type="spellStart"/>
            <w:r w:rsidRPr="009F6FB8">
              <w:rPr>
                <w:rFonts w:cs="Times New Roman"/>
                <w:i/>
                <w:iCs/>
                <w:szCs w:val="20"/>
                <w:lang w:val="es-ES"/>
              </w:rPr>
              <w:t>Now</w:t>
            </w:r>
            <w:proofErr w:type="spellEnd"/>
            <w:r w:rsidRPr="009F6FB8">
              <w:rPr>
                <w:rFonts w:cs="Times New Roman"/>
                <w:i/>
                <w:iCs/>
                <w:szCs w:val="20"/>
                <w:lang w:val="es-ES"/>
              </w:rPr>
              <w:t xml:space="preserve">, </w:t>
            </w:r>
            <w:r w:rsidRPr="009F6FB8">
              <w:rPr>
                <w:rFonts w:cs="Times New Roman"/>
                <w:szCs w:val="20"/>
                <w:lang w:val="es-ES"/>
              </w:rPr>
              <w:t>2 de junio de 2016</w:t>
            </w:r>
          </w:p>
        </w:tc>
        <w:tc>
          <w:tcPr>
            <w:tcW w:w="447" w:type="dxa"/>
            <w:tcMar>
              <w:top w:w="86" w:type="dxa"/>
              <w:left w:w="115" w:type="dxa"/>
              <w:right w:w="115" w:type="dxa"/>
            </w:tcMar>
          </w:tcPr>
          <w:p w14:paraId="4FF13154" w14:textId="77777777" w:rsidR="005F1DD4" w:rsidRDefault="005F1DD4" w:rsidP="00B916D2">
            <w:pPr>
              <w:jc w:val="center"/>
            </w:pPr>
          </w:p>
          <w:p w14:paraId="1FA130EE" w14:textId="77777777" w:rsidR="00754C32" w:rsidRDefault="00754C32" w:rsidP="00B916D2">
            <w:pPr>
              <w:jc w:val="center"/>
            </w:pPr>
          </w:p>
          <w:p w14:paraId="2DD7A462" w14:textId="519A6A52" w:rsidR="00754C32" w:rsidRPr="00754C32" w:rsidRDefault="00754C32" w:rsidP="00B916D2">
            <w:pPr>
              <w:jc w:val="center"/>
            </w:pPr>
            <w:r>
              <w:t>29</w:t>
            </w:r>
          </w:p>
        </w:tc>
      </w:tr>
      <w:tr w:rsidR="005F1DD4" w:rsidRPr="00A01BCE" w14:paraId="029285B9" w14:textId="77777777" w:rsidTr="002A3C7E">
        <w:tc>
          <w:tcPr>
            <w:tcW w:w="9900" w:type="dxa"/>
            <w:tcBorders>
              <w:bottom w:val="single" w:sz="4" w:space="0" w:color="auto"/>
            </w:tcBorders>
            <w:tcMar>
              <w:top w:w="86" w:type="dxa"/>
              <w:left w:w="115" w:type="dxa"/>
              <w:right w:w="115" w:type="dxa"/>
            </w:tcMar>
          </w:tcPr>
          <w:p w14:paraId="153D933D" w14:textId="77777777" w:rsidR="005F1DD4" w:rsidRPr="00A01BCE" w:rsidRDefault="005F1DD4" w:rsidP="00B916D2">
            <w:pPr>
              <w:jc w:val="center"/>
              <w:rPr>
                <w:b/>
                <w:bCs/>
              </w:rPr>
            </w:pPr>
          </w:p>
        </w:tc>
        <w:tc>
          <w:tcPr>
            <w:tcW w:w="447" w:type="dxa"/>
            <w:tcMar>
              <w:top w:w="86" w:type="dxa"/>
              <w:left w:w="115" w:type="dxa"/>
              <w:right w:w="115" w:type="dxa"/>
            </w:tcMar>
          </w:tcPr>
          <w:p w14:paraId="764650B1" w14:textId="77777777" w:rsidR="005F1DD4" w:rsidRPr="00754C32" w:rsidRDefault="005F1DD4" w:rsidP="00B916D2">
            <w:pPr>
              <w:jc w:val="center"/>
            </w:pPr>
          </w:p>
        </w:tc>
      </w:tr>
      <w:tr w:rsidR="005F1DD4" w:rsidRPr="00A01BCE" w14:paraId="0C724799" w14:textId="77777777" w:rsidTr="002A3C7E">
        <w:tc>
          <w:tcPr>
            <w:tcW w:w="9900" w:type="dxa"/>
            <w:tcBorders>
              <w:top w:val="single" w:sz="4" w:space="0" w:color="auto"/>
              <w:bottom w:val="single" w:sz="4" w:space="0" w:color="auto"/>
            </w:tcBorders>
            <w:tcMar>
              <w:top w:w="86" w:type="dxa"/>
              <w:left w:w="115" w:type="dxa"/>
              <w:right w:w="115" w:type="dxa"/>
            </w:tcMar>
          </w:tcPr>
          <w:p w14:paraId="4A20C194" w14:textId="6B6FC043" w:rsidR="005F1DD4" w:rsidRPr="002B1A02" w:rsidRDefault="002B1A02" w:rsidP="002B1A02">
            <w:pPr>
              <w:jc w:val="center"/>
              <w:rPr>
                <w:rFonts w:cs="Times New Roman"/>
                <w:b/>
                <w:bCs/>
                <w:sz w:val="24"/>
              </w:rPr>
            </w:pPr>
            <w:r w:rsidRPr="00303AD9">
              <w:rPr>
                <w:rFonts w:cs="Times New Roman"/>
                <w:b/>
                <w:bCs/>
                <w:sz w:val="24"/>
              </w:rPr>
              <w:t>EE UU</w:t>
            </w:r>
            <w:r>
              <w:rPr>
                <w:rFonts w:cs="Times New Roman"/>
                <w:b/>
                <w:bCs/>
                <w:sz w:val="24"/>
              </w:rPr>
              <w:t xml:space="preserve"> y Canadá</w:t>
            </w:r>
          </w:p>
        </w:tc>
        <w:tc>
          <w:tcPr>
            <w:tcW w:w="447" w:type="dxa"/>
            <w:tcMar>
              <w:top w:w="86" w:type="dxa"/>
              <w:left w:w="115" w:type="dxa"/>
              <w:right w:w="115" w:type="dxa"/>
            </w:tcMar>
          </w:tcPr>
          <w:p w14:paraId="65AF2D85" w14:textId="77777777" w:rsidR="005F1DD4" w:rsidRPr="00754C32" w:rsidRDefault="005F1DD4" w:rsidP="00B916D2">
            <w:pPr>
              <w:jc w:val="center"/>
            </w:pPr>
          </w:p>
        </w:tc>
      </w:tr>
      <w:tr w:rsidR="005F1DD4" w:rsidRPr="00A01BCE" w14:paraId="0E33D967" w14:textId="77777777" w:rsidTr="002A3C7E">
        <w:tc>
          <w:tcPr>
            <w:tcW w:w="9900" w:type="dxa"/>
            <w:tcBorders>
              <w:top w:val="single" w:sz="4" w:space="0" w:color="auto"/>
            </w:tcBorders>
            <w:tcMar>
              <w:top w:w="86" w:type="dxa"/>
              <w:left w:w="115" w:type="dxa"/>
              <w:right w:w="115" w:type="dxa"/>
            </w:tcMar>
          </w:tcPr>
          <w:p w14:paraId="392FC73F" w14:textId="77777777" w:rsidR="002B1A02" w:rsidRDefault="002B1A02" w:rsidP="009121BF">
            <w:pPr>
              <w:rPr>
                <w:rFonts w:cs="Times New Roman"/>
                <w:b/>
                <w:bCs/>
                <w:szCs w:val="20"/>
              </w:rPr>
            </w:pPr>
            <w:r w:rsidRPr="00A60E54">
              <w:rPr>
                <w:rFonts w:cs="Times New Roman"/>
                <w:szCs w:val="20"/>
              </w:rPr>
              <w:t>Canadá.</w:t>
            </w:r>
            <w:r>
              <w:rPr>
                <w:rFonts w:cs="Times New Roman"/>
                <w:b/>
                <w:bCs/>
                <w:szCs w:val="20"/>
              </w:rPr>
              <w:t xml:space="preserve"> </w:t>
            </w:r>
            <w:r w:rsidRPr="00A22A81">
              <w:rPr>
                <w:rFonts w:cs="Times New Roman"/>
                <w:b/>
                <w:bCs/>
                <w:szCs w:val="20"/>
              </w:rPr>
              <w:t>Aprobación de Medicamentos Huérfanos en Canadá, 1999-2022: Un Estudio Transversal</w:t>
            </w:r>
          </w:p>
          <w:p w14:paraId="17316ADD" w14:textId="6580DFB1" w:rsidR="005F1DD4" w:rsidRPr="00A01BCE" w:rsidRDefault="002B1A02" w:rsidP="009121BF">
            <w:pPr>
              <w:rPr>
                <w:b/>
                <w:bCs/>
              </w:rPr>
            </w:pPr>
            <w:r w:rsidRPr="003712A0">
              <w:rPr>
                <w:rFonts w:cs="Times New Roman"/>
                <w:szCs w:val="20"/>
                <w:lang w:val="en-US"/>
              </w:rPr>
              <w:t xml:space="preserve">Joel </w:t>
            </w:r>
            <w:proofErr w:type="spellStart"/>
            <w:r w:rsidRPr="003712A0">
              <w:rPr>
                <w:rFonts w:cs="Times New Roman"/>
                <w:szCs w:val="20"/>
                <w:lang w:val="en-US"/>
              </w:rPr>
              <w:t>Lexchin</w:t>
            </w:r>
            <w:proofErr w:type="spellEnd"/>
          </w:p>
        </w:tc>
        <w:tc>
          <w:tcPr>
            <w:tcW w:w="447" w:type="dxa"/>
            <w:tcMar>
              <w:top w:w="86" w:type="dxa"/>
              <w:left w:w="115" w:type="dxa"/>
              <w:right w:w="115" w:type="dxa"/>
            </w:tcMar>
          </w:tcPr>
          <w:p w14:paraId="597BC631" w14:textId="77777777" w:rsidR="005F1DD4" w:rsidRDefault="005F1DD4" w:rsidP="00B916D2">
            <w:pPr>
              <w:jc w:val="center"/>
            </w:pPr>
          </w:p>
          <w:p w14:paraId="5DDD4F30" w14:textId="4DB06D2A" w:rsidR="00754C32" w:rsidRPr="00754C32" w:rsidRDefault="00754C32" w:rsidP="00B916D2">
            <w:pPr>
              <w:jc w:val="center"/>
            </w:pPr>
            <w:r>
              <w:t>31</w:t>
            </w:r>
          </w:p>
        </w:tc>
      </w:tr>
      <w:tr w:rsidR="005F1DD4" w:rsidRPr="00F25512" w14:paraId="5C45D476" w14:textId="77777777" w:rsidTr="002A3C7E">
        <w:tc>
          <w:tcPr>
            <w:tcW w:w="9900" w:type="dxa"/>
            <w:tcMar>
              <w:top w:w="86" w:type="dxa"/>
              <w:left w:w="115" w:type="dxa"/>
              <w:right w:w="115" w:type="dxa"/>
            </w:tcMar>
          </w:tcPr>
          <w:p w14:paraId="1E15D7E0" w14:textId="77777777" w:rsidR="005E5112" w:rsidRDefault="00B178C9" w:rsidP="005E5112">
            <w:pPr>
              <w:rPr>
                <w:rFonts w:cs="Times New Roman"/>
                <w:b/>
                <w:bCs/>
                <w:szCs w:val="20"/>
              </w:rPr>
            </w:pPr>
            <w:r w:rsidRPr="00B178C9">
              <w:rPr>
                <w:rFonts w:cs="Times New Roman"/>
                <w:szCs w:val="20"/>
              </w:rPr>
              <w:t>Canadá.</w:t>
            </w:r>
            <w:r w:rsidRPr="00B178C9">
              <w:rPr>
                <w:rFonts w:cs="Times New Roman"/>
                <w:b/>
                <w:bCs/>
                <w:szCs w:val="20"/>
              </w:rPr>
              <w:t xml:space="preserve"> </w:t>
            </w:r>
            <w:r w:rsidR="005E5112" w:rsidRPr="005E5112">
              <w:rPr>
                <w:rFonts w:cs="Times New Roman"/>
                <w:b/>
                <w:bCs/>
                <w:szCs w:val="20"/>
              </w:rPr>
              <w:t xml:space="preserve">La homologación no llena las expectativas: depender de reguladores extranjeros apunta a la etapa equivocada del acceso a medicamentos en </w:t>
            </w:r>
          </w:p>
          <w:p w14:paraId="76280CA5" w14:textId="5BD1E39D" w:rsidR="005F1DD4" w:rsidRPr="002B1A02" w:rsidRDefault="002B1A02" w:rsidP="005E5112">
            <w:pPr>
              <w:rPr>
                <w:b/>
                <w:bCs/>
                <w:lang w:val="en-US"/>
              </w:rPr>
            </w:pPr>
            <w:r w:rsidRPr="00937508">
              <w:rPr>
                <w:szCs w:val="20"/>
                <w:lang w:val="en-US"/>
              </w:rPr>
              <w:t xml:space="preserve">D </w:t>
            </w:r>
            <w:proofErr w:type="spellStart"/>
            <w:r w:rsidRPr="00937508">
              <w:rPr>
                <w:szCs w:val="20"/>
                <w:lang w:val="en-US"/>
              </w:rPr>
              <w:t>Eisenkraft</w:t>
            </w:r>
            <w:proofErr w:type="spellEnd"/>
            <w:r w:rsidRPr="00937508">
              <w:rPr>
                <w:szCs w:val="20"/>
                <w:lang w:val="en-US"/>
              </w:rPr>
              <w:t xml:space="preserve"> Klein</w:t>
            </w:r>
            <w:r>
              <w:rPr>
                <w:szCs w:val="20"/>
                <w:lang w:val="en-US"/>
              </w:rPr>
              <w:t xml:space="preserve"> y</w:t>
            </w:r>
            <w:r w:rsidRPr="00937508">
              <w:rPr>
                <w:szCs w:val="20"/>
                <w:lang w:val="en-US"/>
              </w:rPr>
              <w:t xml:space="preserve"> AS </w:t>
            </w:r>
            <w:proofErr w:type="spellStart"/>
            <w:r w:rsidRPr="00937508">
              <w:rPr>
                <w:szCs w:val="20"/>
                <w:lang w:val="en-US"/>
              </w:rPr>
              <w:t>Kesselheim</w:t>
            </w:r>
            <w:proofErr w:type="spellEnd"/>
          </w:p>
        </w:tc>
        <w:tc>
          <w:tcPr>
            <w:tcW w:w="447" w:type="dxa"/>
            <w:tcMar>
              <w:top w:w="86" w:type="dxa"/>
              <w:left w:w="115" w:type="dxa"/>
              <w:right w:w="115" w:type="dxa"/>
            </w:tcMar>
          </w:tcPr>
          <w:p w14:paraId="13660FF6" w14:textId="77777777" w:rsidR="005F1DD4" w:rsidRDefault="005F1DD4" w:rsidP="00B916D2">
            <w:pPr>
              <w:jc w:val="center"/>
              <w:rPr>
                <w:lang w:val="en-US"/>
              </w:rPr>
            </w:pPr>
          </w:p>
          <w:p w14:paraId="1CFCC48E" w14:textId="77777777" w:rsidR="00D05D06" w:rsidRDefault="00D05D06" w:rsidP="00B916D2">
            <w:pPr>
              <w:jc w:val="center"/>
              <w:rPr>
                <w:lang w:val="en-US"/>
              </w:rPr>
            </w:pPr>
          </w:p>
          <w:p w14:paraId="797A1A09" w14:textId="21A752E0" w:rsidR="00D05D06" w:rsidRPr="00754C32" w:rsidRDefault="00D05D06" w:rsidP="00B916D2">
            <w:pPr>
              <w:jc w:val="center"/>
              <w:rPr>
                <w:lang w:val="en-US"/>
              </w:rPr>
            </w:pPr>
            <w:r>
              <w:rPr>
                <w:lang w:val="en-US"/>
              </w:rPr>
              <w:t>31</w:t>
            </w:r>
          </w:p>
        </w:tc>
      </w:tr>
      <w:tr w:rsidR="005F1DD4" w:rsidRPr="002B1A02" w14:paraId="0547BF57" w14:textId="77777777" w:rsidTr="002A3C7E">
        <w:tc>
          <w:tcPr>
            <w:tcW w:w="9900" w:type="dxa"/>
            <w:tcMar>
              <w:top w:w="86" w:type="dxa"/>
              <w:left w:w="115" w:type="dxa"/>
              <w:right w:w="115" w:type="dxa"/>
            </w:tcMar>
          </w:tcPr>
          <w:p w14:paraId="14C899A4" w14:textId="77777777" w:rsidR="002B1A02" w:rsidRPr="006C75A6" w:rsidRDefault="002B1A02" w:rsidP="009121BF">
            <w:pPr>
              <w:rPr>
                <w:rFonts w:eastAsia="Times New Roman" w:cs="Times New Roman"/>
                <w:b/>
                <w:bCs/>
                <w:color w:val="0D0D0D" w:themeColor="text1" w:themeTint="F2"/>
                <w:szCs w:val="20"/>
              </w:rPr>
            </w:pPr>
            <w:r>
              <w:rPr>
                <w:rFonts w:eastAsia="Times New Roman" w:cs="Times New Roman"/>
                <w:color w:val="0D0D0D" w:themeColor="text1" w:themeTint="F2"/>
                <w:szCs w:val="20"/>
              </w:rPr>
              <w:t xml:space="preserve">Canadá. </w:t>
            </w:r>
            <w:r w:rsidRPr="006C75A6">
              <w:rPr>
                <w:rFonts w:eastAsia="Times New Roman" w:cs="Times New Roman"/>
                <w:b/>
                <w:bCs/>
                <w:color w:val="0D0D0D" w:themeColor="text1" w:themeTint="F2"/>
                <w:szCs w:val="20"/>
              </w:rPr>
              <w:t xml:space="preserve">Informes de </w:t>
            </w:r>
            <w:proofErr w:type="spellStart"/>
            <w:r w:rsidRPr="006C75A6">
              <w:rPr>
                <w:rFonts w:eastAsia="Times New Roman" w:cs="Times New Roman"/>
                <w:b/>
                <w:bCs/>
                <w:color w:val="0D0D0D" w:themeColor="text1" w:themeTint="F2"/>
                <w:szCs w:val="20"/>
              </w:rPr>
              <w:t>Health</w:t>
            </w:r>
            <w:proofErr w:type="spellEnd"/>
            <w:r w:rsidRPr="006C75A6">
              <w:rPr>
                <w:rFonts w:eastAsia="Times New Roman" w:cs="Times New Roman"/>
                <w:b/>
                <w:bCs/>
                <w:color w:val="0D0D0D" w:themeColor="text1" w:themeTint="F2"/>
                <w:szCs w:val="20"/>
              </w:rPr>
              <w:t xml:space="preserve"> </w:t>
            </w:r>
            <w:proofErr w:type="spellStart"/>
            <w:r w:rsidRPr="006C75A6">
              <w:rPr>
                <w:rFonts w:eastAsia="Times New Roman" w:cs="Times New Roman"/>
                <w:b/>
                <w:bCs/>
                <w:color w:val="0D0D0D" w:themeColor="text1" w:themeTint="F2"/>
                <w:szCs w:val="20"/>
              </w:rPr>
              <w:t>Canada</w:t>
            </w:r>
            <w:proofErr w:type="spellEnd"/>
            <w:r w:rsidRPr="006C75A6">
              <w:rPr>
                <w:rFonts w:eastAsia="Times New Roman" w:cs="Times New Roman"/>
                <w:b/>
                <w:bCs/>
                <w:color w:val="0D0D0D" w:themeColor="text1" w:themeTint="F2"/>
                <w:szCs w:val="20"/>
              </w:rPr>
              <w:t xml:space="preserve"> sobre la calidad de vida en relación con los medicamentos oncológicos</w:t>
            </w:r>
          </w:p>
          <w:p w14:paraId="7DF4A32E" w14:textId="12B569F5" w:rsidR="005F1DD4" w:rsidRPr="002B1A02" w:rsidRDefault="002B1A02" w:rsidP="009121BF">
            <w:pPr>
              <w:rPr>
                <w:b/>
                <w:bCs/>
                <w:lang w:val="en-US"/>
              </w:rPr>
            </w:pPr>
            <w:r w:rsidRPr="003712A0">
              <w:rPr>
                <w:rFonts w:cs="Times New Roman"/>
                <w:szCs w:val="20"/>
                <w:lang w:val="en-US"/>
              </w:rPr>
              <w:t xml:space="preserve">Joel </w:t>
            </w:r>
            <w:proofErr w:type="spellStart"/>
            <w:r w:rsidRPr="003712A0">
              <w:rPr>
                <w:rFonts w:cs="Times New Roman"/>
                <w:szCs w:val="20"/>
                <w:lang w:val="en-US"/>
              </w:rPr>
              <w:t>Lexchin</w:t>
            </w:r>
            <w:proofErr w:type="spellEnd"/>
          </w:p>
        </w:tc>
        <w:tc>
          <w:tcPr>
            <w:tcW w:w="447" w:type="dxa"/>
            <w:tcMar>
              <w:top w:w="86" w:type="dxa"/>
              <w:left w:w="115" w:type="dxa"/>
              <w:right w:w="115" w:type="dxa"/>
            </w:tcMar>
          </w:tcPr>
          <w:p w14:paraId="7F925E19" w14:textId="77777777" w:rsidR="005F1DD4" w:rsidRDefault="005F1DD4" w:rsidP="00B916D2">
            <w:pPr>
              <w:jc w:val="center"/>
              <w:rPr>
                <w:lang w:val="en-US"/>
              </w:rPr>
            </w:pPr>
          </w:p>
          <w:p w14:paraId="2D2526A1" w14:textId="48C4A8A9" w:rsidR="00D05D06" w:rsidRPr="00754C32" w:rsidRDefault="00D05D06" w:rsidP="00B916D2">
            <w:pPr>
              <w:jc w:val="center"/>
              <w:rPr>
                <w:lang w:val="en-US"/>
              </w:rPr>
            </w:pPr>
            <w:r>
              <w:rPr>
                <w:lang w:val="en-US"/>
              </w:rPr>
              <w:t>32</w:t>
            </w:r>
          </w:p>
        </w:tc>
      </w:tr>
      <w:tr w:rsidR="00B43E3C" w:rsidRPr="002F5652" w14:paraId="20793EE0" w14:textId="77777777" w:rsidTr="002A3C7E">
        <w:tc>
          <w:tcPr>
            <w:tcW w:w="9900" w:type="dxa"/>
            <w:tcMar>
              <w:top w:w="86" w:type="dxa"/>
              <w:left w:w="115" w:type="dxa"/>
              <w:right w:w="115" w:type="dxa"/>
            </w:tcMar>
          </w:tcPr>
          <w:p w14:paraId="178C28A4" w14:textId="77777777" w:rsidR="005C63A0" w:rsidRPr="002A2E6A" w:rsidRDefault="005C63A0" w:rsidP="00FE3E51">
            <w:pPr>
              <w:rPr>
                <w:rFonts w:eastAsia="Times New Roman" w:cs="Times New Roman"/>
                <w:b/>
                <w:color w:val="0D0D0D" w:themeColor="text1" w:themeTint="F2"/>
                <w:szCs w:val="20"/>
              </w:rPr>
            </w:pPr>
            <w:r w:rsidRPr="002A2E6A">
              <w:rPr>
                <w:rFonts w:eastAsia="Times New Roman" w:cs="Times New Roman"/>
                <w:color w:val="0D0D0D" w:themeColor="text1" w:themeTint="F2"/>
                <w:szCs w:val="20"/>
              </w:rPr>
              <w:t xml:space="preserve">EE UU. </w:t>
            </w:r>
            <w:r w:rsidRPr="002A2E6A">
              <w:rPr>
                <w:rFonts w:eastAsia="Times New Roman" w:cs="Times New Roman"/>
                <w:b/>
                <w:color w:val="0D0D0D" w:themeColor="text1" w:themeTint="F2"/>
                <w:szCs w:val="20"/>
              </w:rPr>
              <w:t xml:space="preserve">Solicitud de </w:t>
            </w:r>
            <w:proofErr w:type="spellStart"/>
            <w:r w:rsidRPr="002A2E6A">
              <w:rPr>
                <w:rFonts w:eastAsia="Times New Roman" w:cs="Times New Roman"/>
                <w:b/>
                <w:color w:val="0D0D0D" w:themeColor="text1" w:themeTint="F2"/>
                <w:szCs w:val="20"/>
              </w:rPr>
              <w:t>prespuesto</w:t>
            </w:r>
            <w:proofErr w:type="spellEnd"/>
            <w:r w:rsidRPr="002A2E6A">
              <w:rPr>
                <w:rFonts w:eastAsia="Times New Roman" w:cs="Times New Roman"/>
                <w:b/>
                <w:color w:val="0D0D0D" w:themeColor="text1" w:themeTint="F2"/>
                <w:szCs w:val="20"/>
              </w:rPr>
              <w:t xml:space="preserve"> y de modificaciones regulatorias para la FDA  </w:t>
            </w:r>
          </w:p>
          <w:p w14:paraId="17E1C9F0" w14:textId="76FFE262" w:rsidR="00B43E3C" w:rsidRPr="002A2E6A" w:rsidRDefault="005C63A0" w:rsidP="005C63A0">
            <w:pPr>
              <w:rPr>
                <w:rFonts w:eastAsia="Times New Roman" w:cs="Times New Roman"/>
                <w:color w:val="FF0000"/>
                <w:szCs w:val="20"/>
              </w:rPr>
            </w:pPr>
            <w:r w:rsidRPr="002A2E6A">
              <w:rPr>
                <w:rFonts w:eastAsia="Times New Roman" w:cs="Times New Roman"/>
                <w:color w:val="0D0D0D" w:themeColor="text1" w:themeTint="F2"/>
                <w:szCs w:val="20"/>
              </w:rPr>
              <w:t>Salud y Fármacos</w:t>
            </w:r>
          </w:p>
        </w:tc>
        <w:tc>
          <w:tcPr>
            <w:tcW w:w="447" w:type="dxa"/>
            <w:tcMar>
              <w:top w:w="86" w:type="dxa"/>
              <w:left w:w="115" w:type="dxa"/>
              <w:right w:w="115" w:type="dxa"/>
            </w:tcMar>
          </w:tcPr>
          <w:p w14:paraId="4F25D88B" w14:textId="77777777" w:rsidR="00B43E3C" w:rsidRDefault="00B43E3C" w:rsidP="00B916D2">
            <w:pPr>
              <w:jc w:val="center"/>
            </w:pPr>
          </w:p>
          <w:p w14:paraId="4C0CC1F2" w14:textId="34021B49" w:rsidR="00D05D06" w:rsidRPr="00754C32" w:rsidRDefault="00D05D06" w:rsidP="00B916D2">
            <w:pPr>
              <w:jc w:val="center"/>
            </w:pPr>
            <w:r>
              <w:t>32</w:t>
            </w:r>
          </w:p>
        </w:tc>
      </w:tr>
      <w:tr w:rsidR="005C63A0" w:rsidRPr="002F5652" w14:paraId="24D05AD4" w14:textId="77777777" w:rsidTr="002A3C7E">
        <w:tc>
          <w:tcPr>
            <w:tcW w:w="9900" w:type="dxa"/>
            <w:tcMar>
              <w:top w:w="86" w:type="dxa"/>
              <w:left w:w="115" w:type="dxa"/>
              <w:right w:w="115" w:type="dxa"/>
            </w:tcMar>
          </w:tcPr>
          <w:p w14:paraId="057A8999" w14:textId="0BB306EF" w:rsidR="005C63A0" w:rsidRPr="002A2E6A" w:rsidRDefault="005C63A0" w:rsidP="00FE3E51">
            <w:pPr>
              <w:rPr>
                <w:rFonts w:eastAsia="Times New Roman" w:cs="Times New Roman"/>
                <w:color w:val="0D0D0D" w:themeColor="text1" w:themeTint="F2"/>
                <w:szCs w:val="20"/>
              </w:rPr>
            </w:pPr>
            <w:r w:rsidRPr="002A2E6A">
              <w:rPr>
                <w:rFonts w:eastAsia="Times New Roman" w:cs="Times New Roman"/>
                <w:color w:val="0D0D0D" w:themeColor="text1" w:themeTint="F2"/>
                <w:szCs w:val="20"/>
              </w:rPr>
              <w:t xml:space="preserve">EE UU. </w:t>
            </w:r>
            <w:r w:rsidRPr="002A2E6A">
              <w:rPr>
                <w:rFonts w:eastAsia="Times New Roman" w:cs="Times New Roman"/>
                <w:b/>
                <w:bCs/>
                <w:color w:val="0D0D0D" w:themeColor="text1" w:themeTint="F2"/>
                <w:szCs w:val="20"/>
              </w:rPr>
              <w:t>Fortalecimiento de la regulación de la FDA en contra de la publicidad engañosa</w:t>
            </w:r>
          </w:p>
          <w:p w14:paraId="26620B30" w14:textId="48FD72B8" w:rsidR="005C63A0" w:rsidRPr="002A2E6A" w:rsidRDefault="005C63A0" w:rsidP="00FE3E51">
            <w:pPr>
              <w:rPr>
                <w:rFonts w:eastAsia="Times New Roman" w:cs="Times New Roman"/>
                <w:color w:val="0D0D0D" w:themeColor="text1" w:themeTint="F2"/>
                <w:szCs w:val="20"/>
              </w:rPr>
            </w:pPr>
            <w:r w:rsidRPr="002A2E6A">
              <w:rPr>
                <w:rFonts w:eastAsia="Times New Roman" w:cs="Times New Roman"/>
                <w:color w:val="0D0D0D" w:themeColor="text1" w:themeTint="F2"/>
                <w:szCs w:val="20"/>
              </w:rPr>
              <w:t>Salud y Fármacos</w:t>
            </w:r>
          </w:p>
        </w:tc>
        <w:tc>
          <w:tcPr>
            <w:tcW w:w="447" w:type="dxa"/>
            <w:tcMar>
              <w:top w:w="86" w:type="dxa"/>
              <w:left w:w="115" w:type="dxa"/>
              <w:right w:w="115" w:type="dxa"/>
            </w:tcMar>
          </w:tcPr>
          <w:p w14:paraId="0151871E" w14:textId="77777777" w:rsidR="005C63A0" w:rsidRDefault="005C63A0" w:rsidP="00B916D2">
            <w:pPr>
              <w:jc w:val="center"/>
            </w:pPr>
          </w:p>
          <w:p w14:paraId="1A540855" w14:textId="7115564E" w:rsidR="00D05D06" w:rsidRPr="00754C32" w:rsidRDefault="00D05D06" w:rsidP="00B916D2">
            <w:pPr>
              <w:jc w:val="center"/>
            </w:pPr>
            <w:r>
              <w:t>33</w:t>
            </w:r>
          </w:p>
        </w:tc>
      </w:tr>
      <w:tr w:rsidR="005C63A0" w:rsidRPr="002F5652" w14:paraId="712C1508" w14:textId="77777777" w:rsidTr="002A3C7E">
        <w:tc>
          <w:tcPr>
            <w:tcW w:w="9900" w:type="dxa"/>
            <w:tcMar>
              <w:top w:w="86" w:type="dxa"/>
              <w:left w:w="115" w:type="dxa"/>
              <w:right w:w="115" w:type="dxa"/>
            </w:tcMar>
          </w:tcPr>
          <w:p w14:paraId="384AC15B" w14:textId="54783D36" w:rsidR="005C63A0" w:rsidRPr="002A2E6A" w:rsidRDefault="005C63A0" w:rsidP="005C63A0">
            <w:pPr>
              <w:contextualSpacing/>
              <w:rPr>
                <w:rFonts w:eastAsia="Times New Roman" w:cs="Times New Roman"/>
                <w:b/>
                <w:bCs/>
                <w:color w:val="0D0D0D" w:themeColor="text1" w:themeTint="F2"/>
                <w:szCs w:val="20"/>
              </w:rPr>
            </w:pPr>
            <w:r w:rsidRPr="002A2E6A">
              <w:rPr>
                <w:rFonts w:eastAsia="Times New Roman" w:cs="Times New Roman"/>
                <w:color w:val="0D0D0D" w:themeColor="text1" w:themeTint="F2"/>
                <w:szCs w:val="20"/>
              </w:rPr>
              <w:t xml:space="preserve">EE UU. </w:t>
            </w:r>
            <w:r w:rsidRPr="002A2E6A">
              <w:rPr>
                <w:rFonts w:eastAsia="Times New Roman" w:cs="Times New Roman"/>
                <w:b/>
                <w:bCs/>
                <w:color w:val="0D0D0D" w:themeColor="text1" w:themeTint="F2"/>
                <w:szCs w:val="20"/>
              </w:rPr>
              <w:t>La FDA anuncia pasos importantes para implementar ensayos clínicos en tiempo real</w:t>
            </w:r>
          </w:p>
          <w:p w14:paraId="571D6411" w14:textId="26E88F69" w:rsidR="005C63A0" w:rsidRPr="002A2E6A" w:rsidRDefault="005C63A0" w:rsidP="000E7EC2">
            <w:pPr>
              <w:rPr>
                <w:rFonts w:eastAsia="Times New Roman" w:cs="Times New Roman"/>
                <w:color w:val="0D0D0D" w:themeColor="text1" w:themeTint="F2"/>
                <w:szCs w:val="20"/>
              </w:rPr>
            </w:pPr>
            <w:r w:rsidRPr="002A2E6A">
              <w:rPr>
                <w:rFonts w:eastAsia="Times New Roman" w:cs="Times New Roman"/>
                <w:i/>
                <w:iCs/>
                <w:color w:val="0D0D0D" w:themeColor="text1" w:themeTint="F2"/>
                <w:szCs w:val="20"/>
              </w:rPr>
              <w:t xml:space="preserve">U. S. </w:t>
            </w:r>
            <w:proofErr w:type="spellStart"/>
            <w:r w:rsidRPr="002A2E6A">
              <w:rPr>
                <w:rFonts w:eastAsia="Times New Roman" w:cs="Times New Roman"/>
                <w:i/>
                <w:iCs/>
                <w:color w:val="0D0D0D" w:themeColor="text1" w:themeTint="F2"/>
                <w:szCs w:val="20"/>
              </w:rPr>
              <w:t>Food</w:t>
            </w:r>
            <w:proofErr w:type="spellEnd"/>
            <w:r w:rsidRPr="002A2E6A">
              <w:rPr>
                <w:rFonts w:eastAsia="Times New Roman" w:cs="Times New Roman"/>
                <w:i/>
                <w:iCs/>
                <w:color w:val="0D0D0D" w:themeColor="text1" w:themeTint="F2"/>
                <w:szCs w:val="20"/>
              </w:rPr>
              <w:t xml:space="preserve"> &amp; </w:t>
            </w:r>
            <w:proofErr w:type="spellStart"/>
            <w:r w:rsidRPr="002A2E6A">
              <w:rPr>
                <w:rFonts w:eastAsia="Times New Roman" w:cs="Times New Roman"/>
                <w:i/>
                <w:iCs/>
                <w:color w:val="0D0D0D" w:themeColor="text1" w:themeTint="F2"/>
                <w:szCs w:val="20"/>
              </w:rPr>
              <w:t>Drug</w:t>
            </w:r>
            <w:proofErr w:type="spellEnd"/>
            <w:r w:rsidRPr="002A2E6A">
              <w:rPr>
                <w:rFonts w:eastAsia="Times New Roman" w:cs="Times New Roman"/>
                <w:i/>
                <w:iCs/>
                <w:color w:val="0D0D0D" w:themeColor="text1" w:themeTint="F2"/>
                <w:szCs w:val="20"/>
              </w:rPr>
              <w:t xml:space="preserve"> </w:t>
            </w:r>
            <w:proofErr w:type="spellStart"/>
            <w:r w:rsidRPr="002A2E6A">
              <w:rPr>
                <w:rFonts w:eastAsia="Times New Roman" w:cs="Times New Roman"/>
                <w:i/>
                <w:iCs/>
                <w:color w:val="0D0D0D" w:themeColor="text1" w:themeTint="F2"/>
                <w:szCs w:val="20"/>
              </w:rPr>
              <w:t>Administration</w:t>
            </w:r>
            <w:proofErr w:type="spellEnd"/>
            <w:r w:rsidRPr="002A2E6A">
              <w:rPr>
                <w:rFonts w:eastAsia="Times New Roman" w:cs="Times New Roman"/>
                <w:i/>
                <w:iCs/>
                <w:color w:val="0D0D0D" w:themeColor="text1" w:themeTint="F2"/>
                <w:szCs w:val="20"/>
              </w:rPr>
              <w:t xml:space="preserve"> (FDA), </w:t>
            </w:r>
            <w:r w:rsidRPr="002A2E6A">
              <w:rPr>
                <w:rFonts w:eastAsia="Times New Roman" w:cs="Times New Roman"/>
                <w:color w:val="0D0D0D" w:themeColor="text1" w:themeTint="F2"/>
                <w:szCs w:val="20"/>
              </w:rPr>
              <w:t>28 de abril de 2026</w:t>
            </w:r>
          </w:p>
        </w:tc>
        <w:tc>
          <w:tcPr>
            <w:tcW w:w="447" w:type="dxa"/>
            <w:tcMar>
              <w:top w:w="86" w:type="dxa"/>
              <w:left w:w="115" w:type="dxa"/>
              <w:right w:w="115" w:type="dxa"/>
            </w:tcMar>
          </w:tcPr>
          <w:p w14:paraId="4D493617" w14:textId="77777777" w:rsidR="005C63A0" w:rsidRDefault="005C63A0" w:rsidP="005C63A0">
            <w:pPr>
              <w:jc w:val="center"/>
            </w:pPr>
          </w:p>
          <w:p w14:paraId="1D94D13F" w14:textId="62369F99" w:rsidR="00D05D06" w:rsidRPr="00754C32" w:rsidRDefault="00D05D06" w:rsidP="005C63A0">
            <w:pPr>
              <w:jc w:val="center"/>
            </w:pPr>
            <w:r>
              <w:t>34</w:t>
            </w:r>
          </w:p>
        </w:tc>
      </w:tr>
      <w:tr w:rsidR="005C63A0" w:rsidRPr="002F5652" w14:paraId="1C1EC009" w14:textId="77777777" w:rsidTr="002A3C7E">
        <w:tc>
          <w:tcPr>
            <w:tcW w:w="9900" w:type="dxa"/>
            <w:tcMar>
              <w:top w:w="86" w:type="dxa"/>
              <w:left w:w="115" w:type="dxa"/>
              <w:right w:w="115" w:type="dxa"/>
            </w:tcMar>
          </w:tcPr>
          <w:p w14:paraId="21D373FC" w14:textId="17FFBE20" w:rsidR="005C63A0" w:rsidRPr="002A2E6A" w:rsidRDefault="005C63A0" w:rsidP="005C63A0">
            <w:pPr>
              <w:rPr>
                <w:rFonts w:eastAsia="Times New Roman" w:cs="Times New Roman"/>
                <w:b/>
                <w:bCs/>
                <w:color w:val="0D0D0D" w:themeColor="text1" w:themeTint="F2"/>
                <w:szCs w:val="20"/>
              </w:rPr>
            </w:pPr>
            <w:r w:rsidRPr="002A2E6A">
              <w:rPr>
                <w:rFonts w:eastAsia="Times New Roman" w:cs="Times New Roman"/>
                <w:bCs/>
                <w:color w:val="0D0D0D" w:themeColor="text1" w:themeTint="F2"/>
                <w:szCs w:val="20"/>
              </w:rPr>
              <w:t>EE UU.</w:t>
            </w:r>
            <w:r w:rsidRPr="002A2E6A">
              <w:rPr>
                <w:rFonts w:eastAsia="Times New Roman" w:cs="Times New Roman"/>
                <w:b/>
                <w:bCs/>
                <w:color w:val="0D0D0D" w:themeColor="text1" w:themeTint="F2"/>
                <w:szCs w:val="20"/>
              </w:rPr>
              <w:t xml:space="preserve"> </w:t>
            </w:r>
            <w:r w:rsidR="00472EFF" w:rsidRPr="002A2E6A">
              <w:rPr>
                <w:rFonts w:cs="Times New Roman"/>
                <w:b/>
                <w:bCs/>
                <w:szCs w:val="20"/>
              </w:rPr>
              <w:t>Nuevas propuestas de reforma para acelerar los ensayos clínicos</w:t>
            </w:r>
          </w:p>
          <w:p w14:paraId="23CA10B5" w14:textId="481547C3" w:rsidR="005C63A0" w:rsidRPr="002A2E6A" w:rsidRDefault="005C63A0" w:rsidP="005C63A0">
            <w:pPr>
              <w:contextualSpacing/>
              <w:rPr>
                <w:rFonts w:eastAsia="Times New Roman" w:cs="Times New Roman"/>
                <w:color w:val="0D0D0D" w:themeColor="text1" w:themeTint="F2"/>
                <w:szCs w:val="20"/>
              </w:rPr>
            </w:pPr>
            <w:r w:rsidRPr="002A2E6A">
              <w:rPr>
                <w:rFonts w:eastAsia="Times New Roman" w:cs="Times New Roman"/>
                <w:color w:val="0D0D0D" w:themeColor="text1" w:themeTint="F2"/>
                <w:szCs w:val="20"/>
              </w:rPr>
              <w:t>Salud y Fármacos</w:t>
            </w:r>
          </w:p>
        </w:tc>
        <w:tc>
          <w:tcPr>
            <w:tcW w:w="447" w:type="dxa"/>
            <w:tcMar>
              <w:top w:w="86" w:type="dxa"/>
              <w:left w:w="115" w:type="dxa"/>
              <w:right w:w="115" w:type="dxa"/>
            </w:tcMar>
          </w:tcPr>
          <w:p w14:paraId="5CC30B2A" w14:textId="77777777" w:rsidR="005C63A0" w:rsidRDefault="005C63A0" w:rsidP="005C63A0">
            <w:pPr>
              <w:jc w:val="center"/>
            </w:pPr>
          </w:p>
          <w:p w14:paraId="19EFB5D1" w14:textId="55BC571A" w:rsidR="00D05D06" w:rsidRPr="00754C32" w:rsidRDefault="00D05D06" w:rsidP="005C63A0">
            <w:pPr>
              <w:jc w:val="center"/>
            </w:pPr>
            <w:r>
              <w:t>25</w:t>
            </w:r>
          </w:p>
        </w:tc>
      </w:tr>
      <w:tr w:rsidR="00892371" w:rsidRPr="002F5652" w14:paraId="2074FA1B" w14:textId="77777777" w:rsidTr="002A3C7E">
        <w:tc>
          <w:tcPr>
            <w:tcW w:w="9900" w:type="dxa"/>
            <w:tcMar>
              <w:top w:w="86" w:type="dxa"/>
              <w:left w:w="115" w:type="dxa"/>
              <w:right w:w="115" w:type="dxa"/>
            </w:tcMar>
          </w:tcPr>
          <w:p w14:paraId="50B8B4A8" w14:textId="77777777" w:rsidR="00892371" w:rsidRPr="002A2E6A" w:rsidRDefault="00892371" w:rsidP="00472EFF">
            <w:pPr>
              <w:rPr>
                <w:b/>
                <w:bCs/>
              </w:rPr>
            </w:pPr>
            <w:r w:rsidRPr="002A2E6A">
              <w:rPr>
                <w:rFonts w:eastAsia="Times New Roman" w:cs="Times New Roman"/>
                <w:color w:val="0D0D0D" w:themeColor="text1" w:themeTint="F2"/>
                <w:szCs w:val="20"/>
              </w:rPr>
              <w:t xml:space="preserve">EE UU. </w:t>
            </w:r>
            <w:r w:rsidRPr="002A2E6A">
              <w:rPr>
                <w:b/>
                <w:bCs/>
              </w:rPr>
              <w:t xml:space="preserve">La FDA aclara los objetivos del Programa piloto basado en Inteligencia Artificial para los ensayos Fase I </w:t>
            </w:r>
          </w:p>
          <w:p w14:paraId="5F76F54C" w14:textId="58F7634D" w:rsidR="00892371" w:rsidRPr="002A2E6A" w:rsidRDefault="00892371" w:rsidP="00892371">
            <w:pPr>
              <w:rPr>
                <w:rFonts w:eastAsia="Times New Roman" w:cs="Times New Roman"/>
                <w:bCs/>
                <w:color w:val="0D0D0D" w:themeColor="text1" w:themeTint="F2"/>
                <w:szCs w:val="20"/>
              </w:rPr>
            </w:pPr>
            <w:r w:rsidRPr="002A2E6A">
              <w:rPr>
                <w:rFonts w:eastAsia="Times New Roman" w:cs="Times New Roman"/>
                <w:color w:val="0D0D0D" w:themeColor="text1" w:themeTint="F2"/>
                <w:szCs w:val="20"/>
              </w:rPr>
              <w:t>Salud y Fármacos</w:t>
            </w:r>
          </w:p>
        </w:tc>
        <w:tc>
          <w:tcPr>
            <w:tcW w:w="447" w:type="dxa"/>
            <w:tcMar>
              <w:top w:w="86" w:type="dxa"/>
              <w:left w:w="115" w:type="dxa"/>
              <w:right w:w="115" w:type="dxa"/>
            </w:tcMar>
          </w:tcPr>
          <w:p w14:paraId="33070FAB" w14:textId="77777777" w:rsidR="00892371" w:rsidRDefault="00892371" w:rsidP="005C63A0">
            <w:pPr>
              <w:jc w:val="center"/>
            </w:pPr>
          </w:p>
          <w:p w14:paraId="71AD4D22" w14:textId="214FFE20" w:rsidR="00D05D06" w:rsidRPr="00754C32" w:rsidRDefault="00D05D06" w:rsidP="005C63A0">
            <w:pPr>
              <w:jc w:val="center"/>
            </w:pPr>
            <w:r>
              <w:t>36</w:t>
            </w:r>
          </w:p>
        </w:tc>
      </w:tr>
      <w:tr w:rsidR="00892371" w:rsidRPr="00F25512" w14:paraId="675F5E7C" w14:textId="77777777" w:rsidTr="002A3C7E">
        <w:tc>
          <w:tcPr>
            <w:tcW w:w="9900" w:type="dxa"/>
            <w:tcMar>
              <w:top w:w="86" w:type="dxa"/>
              <w:left w:w="115" w:type="dxa"/>
              <w:right w:w="115" w:type="dxa"/>
            </w:tcMar>
          </w:tcPr>
          <w:p w14:paraId="1DD46EA5" w14:textId="34333684" w:rsidR="00892371" w:rsidRPr="002A2E6A" w:rsidRDefault="00892371" w:rsidP="009E43D5">
            <w:pPr>
              <w:rPr>
                <w:rFonts w:cs="Times New Roman"/>
                <w:szCs w:val="20"/>
              </w:rPr>
            </w:pPr>
            <w:r w:rsidRPr="002A2E6A">
              <w:t>EE UU.</w:t>
            </w:r>
            <w:r w:rsidRPr="002A2E6A">
              <w:rPr>
                <w:b/>
                <w:bCs/>
              </w:rPr>
              <w:t xml:space="preserve"> Evaluación de eficacia de un fármaco tras múltiples ensayos negativos: recorrido de </w:t>
            </w:r>
            <w:proofErr w:type="spellStart"/>
            <w:r w:rsidRPr="002A2E6A">
              <w:rPr>
                <w:b/>
                <w:bCs/>
                <w:i/>
                <w:iCs/>
              </w:rPr>
              <w:t>gepirona</w:t>
            </w:r>
            <w:proofErr w:type="spellEnd"/>
            <w:r w:rsidRPr="002A2E6A">
              <w:rPr>
                <w:b/>
                <w:bCs/>
              </w:rPr>
              <w:t xml:space="preserve"> por </w:t>
            </w:r>
            <w:r w:rsidRPr="002A2E6A">
              <w:rPr>
                <w:rFonts w:cs="Times New Roman"/>
                <w:b/>
                <w:bCs/>
                <w:szCs w:val="20"/>
              </w:rPr>
              <w:t>la FDA</w:t>
            </w:r>
            <w:r w:rsidRPr="002A2E6A">
              <w:rPr>
                <w:rFonts w:ascii="Helvetica" w:hAnsi="Helvetica" w:cs="Helvetica"/>
                <w:color w:val="333333"/>
                <w:sz w:val="23"/>
                <w:szCs w:val="23"/>
                <w:shd w:val="clear" w:color="auto" w:fill="FFFFFF"/>
              </w:rPr>
              <w:t xml:space="preserve"> </w:t>
            </w:r>
          </w:p>
          <w:p w14:paraId="627647B0" w14:textId="12FD533C" w:rsidR="00892371" w:rsidRPr="00F25512" w:rsidRDefault="00892371" w:rsidP="00892371">
            <w:pPr>
              <w:rPr>
                <w:rFonts w:eastAsia="Times New Roman" w:cs="Times New Roman"/>
                <w:bCs/>
                <w:color w:val="0D0D0D" w:themeColor="text1" w:themeTint="F2"/>
                <w:szCs w:val="20"/>
                <w:lang w:val="en-US"/>
              </w:rPr>
            </w:pPr>
            <w:r w:rsidRPr="002A2E6A">
              <w:rPr>
                <w:rFonts w:cs="Times New Roman"/>
                <w:szCs w:val="20"/>
                <w:lang w:val="en-US"/>
              </w:rPr>
              <w:t xml:space="preserve">EH Turner, JH Powers, RY </w:t>
            </w:r>
            <w:proofErr w:type="spellStart"/>
            <w:r w:rsidRPr="002A2E6A">
              <w:rPr>
                <w:rFonts w:cs="Times New Roman"/>
                <w:szCs w:val="20"/>
                <w:lang w:val="en-US"/>
              </w:rPr>
              <w:t>Ahn</w:t>
            </w:r>
            <w:proofErr w:type="spellEnd"/>
            <w:r w:rsidRPr="002A2E6A">
              <w:rPr>
                <w:rFonts w:cs="Times New Roman"/>
                <w:szCs w:val="20"/>
                <w:lang w:val="en-US"/>
              </w:rPr>
              <w:t xml:space="preserve">-Horst y </w:t>
            </w:r>
            <w:r w:rsidR="009E43D5" w:rsidRPr="002A2E6A">
              <w:rPr>
                <w:rFonts w:cs="Times New Roman"/>
                <w:szCs w:val="20"/>
                <w:lang w:val="en-US"/>
              </w:rPr>
              <w:t>A</w:t>
            </w:r>
            <w:r w:rsidRPr="002A2E6A">
              <w:rPr>
                <w:rFonts w:cs="Times New Roman"/>
                <w:szCs w:val="20"/>
                <w:lang w:val="en-US"/>
              </w:rPr>
              <w:t xml:space="preserve">S </w:t>
            </w:r>
            <w:proofErr w:type="spellStart"/>
            <w:r w:rsidRPr="002A2E6A">
              <w:rPr>
                <w:rFonts w:cs="Times New Roman"/>
                <w:szCs w:val="20"/>
                <w:lang w:val="en-US"/>
              </w:rPr>
              <w:t>Kesselheim</w:t>
            </w:r>
            <w:proofErr w:type="spellEnd"/>
          </w:p>
        </w:tc>
        <w:tc>
          <w:tcPr>
            <w:tcW w:w="447" w:type="dxa"/>
            <w:tcMar>
              <w:top w:w="86" w:type="dxa"/>
              <w:left w:w="115" w:type="dxa"/>
              <w:right w:w="115" w:type="dxa"/>
            </w:tcMar>
          </w:tcPr>
          <w:p w14:paraId="44044C50" w14:textId="77777777" w:rsidR="00892371" w:rsidRDefault="00892371" w:rsidP="005C63A0">
            <w:pPr>
              <w:jc w:val="center"/>
              <w:rPr>
                <w:lang w:val="en-US"/>
              </w:rPr>
            </w:pPr>
          </w:p>
          <w:p w14:paraId="6EA91389" w14:textId="69D6C0B3" w:rsidR="00D05D06" w:rsidRPr="00754C32" w:rsidRDefault="00D05D06" w:rsidP="005C63A0">
            <w:pPr>
              <w:jc w:val="center"/>
              <w:rPr>
                <w:lang w:val="en-US"/>
              </w:rPr>
            </w:pPr>
            <w:r>
              <w:rPr>
                <w:lang w:val="en-US"/>
              </w:rPr>
              <w:t>37</w:t>
            </w:r>
          </w:p>
        </w:tc>
      </w:tr>
      <w:tr w:rsidR="005C63A0" w:rsidRPr="002F5652" w14:paraId="769B0F4F" w14:textId="77777777" w:rsidTr="002A3C7E">
        <w:tc>
          <w:tcPr>
            <w:tcW w:w="9900" w:type="dxa"/>
            <w:tcMar>
              <w:top w:w="86" w:type="dxa"/>
              <w:left w:w="115" w:type="dxa"/>
              <w:right w:w="115" w:type="dxa"/>
            </w:tcMar>
          </w:tcPr>
          <w:p w14:paraId="12DB37C1" w14:textId="2B509887" w:rsidR="005C63A0" w:rsidRPr="002A2E6A" w:rsidRDefault="005C63A0" w:rsidP="005C63A0">
            <w:pPr>
              <w:contextualSpacing/>
              <w:outlineLvl w:val="0"/>
              <w:rPr>
                <w:rFonts w:eastAsia="Times New Roman" w:cs="Times New Roman"/>
                <w:b/>
                <w:bCs/>
                <w:color w:val="0D0D0D" w:themeColor="text1" w:themeTint="F2"/>
                <w:szCs w:val="20"/>
              </w:rPr>
            </w:pPr>
            <w:r w:rsidRPr="002A2E6A">
              <w:rPr>
                <w:rFonts w:eastAsia="Times New Roman" w:cs="Times New Roman"/>
                <w:color w:val="0D0D0D" w:themeColor="text1" w:themeTint="F2"/>
                <w:szCs w:val="20"/>
              </w:rPr>
              <w:t xml:space="preserve">EE UU. </w:t>
            </w:r>
            <w:r w:rsidRPr="002A2E6A">
              <w:rPr>
                <w:rFonts w:eastAsia="Times New Roman" w:cs="Times New Roman"/>
                <w:b/>
                <w:bCs/>
                <w:color w:val="0D0D0D" w:themeColor="text1" w:themeTint="F2"/>
                <w:szCs w:val="20"/>
              </w:rPr>
              <w:t>Propuestas para maximizar los beneficios de la vía de aprobación acelerada de la FDA</w:t>
            </w:r>
          </w:p>
          <w:p w14:paraId="3055F261" w14:textId="7EF6A753" w:rsidR="005C63A0" w:rsidRPr="002A2E6A" w:rsidRDefault="005C63A0" w:rsidP="005C63A0">
            <w:pPr>
              <w:contextualSpacing/>
              <w:rPr>
                <w:rFonts w:eastAsia="Times New Roman" w:cs="Times New Roman"/>
                <w:color w:val="0D0D0D" w:themeColor="text1" w:themeTint="F2"/>
                <w:szCs w:val="20"/>
              </w:rPr>
            </w:pPr>
            <w:r w:rsidRPr="002A2E6A">
              <w:rPr>
                <w:rFonts w:eastAsia="Times New Roman" w:cs="Times New Roman"/>
                <w:color w:val="0D0D0D" w:themeColor="text1" w:themeTint="F2"/>
                <w:szCs w:val="20"/>
              </w:rPr>
              <w:t>Salud y Fármacos</w:t>
            </w:r>
          </w:p>
        </w:tc>
        <w:tc>
          <w:tcPr>
            <w:tcW w:w="447" w:type="dxa"/>
            <w:tcMar>
              <w:top w:w="86" w:type="dxa"/>
              <w:left w:w="115" w:type="dxa"/>
              <w:right w:w="115" w:type="dxa"/>
            </w:tcMar>
          </w:tcPr>
          <w:p w14:paraId="46A696D5" w14:textId="77777777" w:rsidR="005C63A0" w:rsidRDefault="005C63A0" w:rsidP="005C63A0">
            <w:pPr>
              <w:jc w:val="center"/>
            </w:pPr>
          </w:p>
          <w:p w14:paraId="6C40376C" w14:textId="376EE65B" w:rsidR="00D05D06" w:rsidRPr="00754C32" w:rsidRDefault="00653144" w:rsidP="005C63A0">
            <w:pPr>
              <w:jc w:val="center"/>
            </w:pPr>
            <w:r>
              <w:t>38</w:t>
            </w:r>
          </w:p>
        </w:tc>
      </w:tr>
      <w:tr w:rsidR="005C63A0" w:rsidRPr="002F5652" w14:paraId="0F9F0A23" w14:textId="77777777" w:rsidTr="002A3C7E">
        <w:tc>
          <w:tcPr>
            <w:tcW w:w="9900" w:type="dxa"/>
            <w:tcMar>
              <w:top w:w="86" w:type="dxa"/>
              <w:left w:w="115" w:type="dxa"/>
              <w:right w:w="115" w:type="dxa"/>
            </w:tcMar>
          </w:tcPr>
          <w:p w14:paraId="7EBA64E4" w14:textId="1F0B171F" w:rsidR="005C63A0" w:rsidRPr="002A2E6A" w:rsidRDefault="005C63A0" w:rsidP="005C63A0">
            <w:pPr>
              <w:contextualSpacing/>
              <w:rPr>
                <w:rFonts w:eastAsia="Times New Roman" w:cs="Times New Roman"/>
                <w:b/>
                <w:bCs/>
                <w:color w:val="0D0D0D" w:themeColor="text1" w:themeTint="F2"/>
                <w:szCs w:val="20"/>
              </w:rPr>
            </w:pPr>
            <w:r w:rsidRPr="002A2E6A">
              <w:rPr>
                <w:rFonts w:eastAsia="Times New Roman" w:cs="Times New Roman"/>
                <w:color w:val="0D0D0D" w:themeColor="text1" w:themeTint="F2"/>
                <w:szCs w:val="20"/>
              </w:rPr>
              <w:t xml:space="preserve">EE UU. </w:t>
            </w:r>
            <w:r w:rsidRPr="002A2E6A">
              <w:rPr>
                <w:rFonts w:eastAsia="Times New Roman" w:cs="Times New Roman"/>
                <w:b/>
                <w:bCs/>
                <w:color w:val="0D0D0D" w:themeColor="text1" w:themeTint="F2"/>
                <w:szCs w:val="20"/>
              </w:rPr>
              <w:t xml:space="preserve">Programa piloto </w:t>
            </w:r>
            <w:proofErr w:type="spellStart"/>
            <w:r w:rsidRPr="002A2E6A">
              <w:rPr>
                <w:rFonts w:eastAsia="Times New Roman" w:cs="Times New Roman"/>
                <w:b/>
                <w:bCs/>
                <w:color w:val="0D0D0D" w:themeColor="text1" w:themeTint="F2"/>
                <w:szCs w:val="20"/>
              </w:rPr>
              <w:t>PreCheck</w:t>
            </w:r>
            <w:proofErr w:type="spellEnd"/>
            <w:r w:rsidRPr="002A2E6A">
              <w:rPr>
                <w:rFonts w:eastAsia="Times New Roman" w:cs="Times New Roman"/>
                <w:b/>
                <w:bCs/>
                <w:color w:val="0D0D0D" w:themeColor="text1" w:themeTint="F2"/>
                <w:szCs w:val="20"/>
              </w:rPr>
              <w:t xml:space="preserve"> de la FDA: Fortalecimiento de la cadena de suministro farmacéutico nacional</w:t>
            </w:r>
          </w:p>
          <w:p w14:paraId="5F0C7025" w14:textId="4FBD6B40" w:rsidR="005C63A0" w:rsidRPr="002A2E6A" w:rsidRDefault="005C63A0" w:rsidP="005C63A0">
            <w:pPr>
              <w:contextualSpacing/>
              <w:rPr>
                <w:rFonts w:eastAsia="Times New Roman" w:cs="Times New Roman"/>
                <w:color w:val="0D0D0D" w:themeColor="text1" w:themeTint="F2"/>
                <w:szCs w:val="20"/>
              </w:rPr>
            </w:pPr>
            <w:r w:rsidRPr="002A2E6A">
              <w:rPr>
                <w:rFonts w:eastAsia="Times New Roman" w:cs="Times New Roman"/>
                <w:i/>
                <w:iCs/>
                <w:color w:val="0D0D0D" w:themeColor="text1" w:themeTint="F2"/>
                <w:szCs w:val="20"/>
              </w:rPr>
              <w:t xml:space="preserve">U. S. </w:t>
            </w:r>
            <w:proofErr w:type="spellStart"/>
            <w:r w:rsidRPr="002A2E6A">
              <w:rPr>
                <w:rFonts w:eastAsia="Times New Roman" w:cs="Times New Roman"/>
                <w:i/>
                <w:iCs/>
                <w:color w:val="0D0D0D" w:themeColor="text1" w:themeTint="F2"/>
                <w:szCs w:val="20"/>
              </w:rPr>
              <w:t>Food</w:t>
            </w:r>
            <w:proofErr w:type="spellEnd"/>
            <w:r w:rsidRPr="002A2E6A">
              <w:rPr>
                <w:rFonts w:eastAsia="Times New Roman" w:cs="Times New Roman"/>
                <w:i/>
                <w:iCs/>
                <w:color w:val="0D0D0D" w:themeColor="text1" w:themeTint="F2"/>
                <w:szCs w:val="20"/>
              </w:rPr>
              <w:t xml:space="preserve"> &amp; </w:t>
            </w:r>
            <w:proofErr w:type="spellStart"/>
            <w:r w:rsidRPr="002A2E6A">
              <w:rPr>
                <w:rFonts w:eastAsia="Times New Roman" w:cs="Times New Roman"/>
                <w:i/>
                <w:iCs/>
                <w:color w:val="0D0D0D" w:themeColor="text1" w:themeTint="F2"/>
                <w:szCs w:val="20"/>
              </w:rPr>
              <w:t>Drug</w:t>
            </w:r>
            <w:proofErr w:type="spellEnd"/>
            <w:r w:rsidRPr="002A2E6A">
              <w:rPr>
                <w:rFonts w:eastAsia="Times New Roman" w:cs="Times New Roman"/>
                <w:i/>
                <w:iCs/>
                <w:color w:val="0D0D0D" w:themeColor="text1" w:themeTint="F2"/>
                <w:szCs w:val="20"/>
              </w:rPr>
              <w:t xml:space="preserve"> </w:t>
            </w:r>
            <w:proofErr w:type="spellStart"/>
            <w:r w:rsidRPr="002A2E6A">
              <w:rPr>
                <w:rFonts w:eastAsia="Times New Roman" w:cs="Times New Roman"/>
                <w:i/>
                <w:iCs/>
                <w:color w:val="0D0D0D" w:themeColor="text1" w:themeTint="F2"/>
                <w:szCs w:val="20"/>
              </w:rPr>
              <w:t>Administration</w:t>
            </w:r>
            <w:proofErr w:type="spellEnd"/>
            <w:r w:rsidRPr="002A2E6A">
              <w:rPr>
                <w:rFonts w:eastAsia="Times New Roman" w:cs="Times New Roman"/>
                <w:i/>
                <w:iCs/>
                <w:color w:val="0D0D0D" w:themeColor="text1" w:themeTint="F2"/>
                <w:szCs w:val="20"/>
              </w:rPr>
              <w:t xml:space="preserve"> (FDA), </w:t>
            </w:r>
            <w:r w:rsidRPr="002A2E6A">
              <w:rPr>
                <w:rFonts w:eastAsia="Times New Roman" w:cs="Times New Roman"/>
                <w:color w:val="0D0D0D" w:themeColor="text1" w:themeTint="F2"/>
                <w:szCs w:val="20"/>
              </w:rPr>
              <w:t>10 de abril de 2026</w:t>
            </w:r>
          </w:p>
        </w:tc>
        <w:tc>
          <w:tcPr>
            <w:tcW w:w="447" w:type="dxa"/>
            <w:tcMar>
              <w:top w:w="86" w:type="dxa"/>
              <w:left w:w="115" w:type="dxa"/>
              <w:right w:w="115" w:type="dxa"/>
            </w:tcMar>
          </w:tcPr>
          <w:p w14:paraId="5F006ECA" w14:textId="77777777" w:rsidR="005C63A0" w:rsidRDefault="005C63A0" w:rsidP="005C63A0">
            <w:pPr>
              <w:jc w:val="center"/>
            </w:pPr>
          </w:p>
          <w:p w14:paraId="7B3732A6" w14:textId="5DF0FA54" w:rsidR="00653144" w:rsidRPr="00754C32" w:rsidRDefault="00653144" w:rsidP="005C63A0">
            <w:pPr>
              <w:jc w:val="center"/>
            </w:pPr>
            <w:r>
              <w:t>39</w:t>
            </w:r>
          </w:p>
        </w:tc>
      </w:tr>
      <w:tr w:rsidR="005C63A0" w:rsidRPr="002F5652" w14:paraId="15B0477C" w14:textId="77777777" w:rsidTr="002A3C7E">
        <w:tc>
          <w:tcPr>
            <w:tcW w:w="9900" w:type="dxa"/>
            <w:tcMar>
              <w:top w:w="86" w:type="dxa"/>
              <w:left w:w="115" w:type="dxa"/>
              <w:right w:w="115" w:type="dxa"/>
            </w:tcMar>
          </w:tcPr>
          <w:p w14:paraId="6C9FFA61" w14:textId="3D2671DD" w:rsidR="00E83F5E" w:rsidRPr="002A2E6A" w:rsidRDefault="00E83F5E" w:rsidP="00E83F5E">
            <w:pPr>
              <w:spacing w:after="225"/>
              <w:contextualSpacing/>
              <w:outlineLvl w:val="0"/>
              <w:rPr>
                <w:rFonts w:eastAsia="Times New Roman" w:cs="Times New Roman"/>
                <w:color w:val="0D0D0D" w:themeColor="text1" w:themeTint="F2"/>
                <w:szCs w:val="20"/>
              </w:rPr>
            </w:pPr>
            <w:r w:rsidRPr="002A2E6A">
              <w:rPr>
                <w:rFonts w:eastAsia="Times New Roman" w:cs="Times New Roman"/>
                <w:color w:val="0D0D0D" w:themeColor="text1" w:themeTint="F2"/>
                <w:szCs w:val="20"/>
              </w:rPr>
              <w:t xml:space="preserve">EE UU. </w:t>
            </w:r>
            <w:r w:rsidRPr="002A2E6A">
              <w:rPr>
                <w:rFonts w:eastAsia="Times New Roman" w:cs="Times New Roman"/>
                <w:b/>
                <w:bCs/>
                <w:color w:val="0D0D0D" w:themeColor="text1" w:themeTint="F2"/>
                <w:szCs w:val="20"/>
              </w:rPr>
              <w:t xml:space="preserve">Serios cuestionamientos de transparencia al programa de Vales de Prioridad Nacional del Comisionado </w:t>
            </w:r>
          </w:p>
          <w:p w14:paraId="0B4AAB1F" w14:textId="50555E5D" w:rsidR="005C63A0" w:rsidRPr="002A2E6A" w:rsidRDefault="00E83F5E" w:rsidP="00E83F5E">
            <w:pPr>
              <w:contextualSpacing/>
              <w:rPr>
                <w:rFonts w:eastAsia="Times New Roman" w:cs="Times New Roman"/>
                <w:color w:val="0D0D0D" w:themeColor="text1" w:themeTint="F2"/>
                <w:szCs w:val="20"/>
              </w:rPr>
            </w:pPr>
            <w:r w:rsidRPr="002A2E6A">
              <w:rPr>
                <w:rFonts w:eastAsia="Times New Roman" w:cs="Times New Roman"/>
                <w:color w:val="0D0D0D" w:themeColor="text1" w:themeTint="F2"/>
                <w:szCs w:val="20"/>
              </w:rPr>
              <w:t>Salud y Fármacos</w:t>
            </w:r>
          </w:p>
        </w:tc>
        <w:tc>
          <w:tcPr>
            <w:tcW w:w="447" w:type="dxa"/>
            <w:tcMar>
              <w:top w:w="86" w:type="dxa"/>
              <w:left w:w="115" w:type="dxa"/>
              <w:right w:w="115" w:type="dxa"/>
            </w:tcMar>
          </w:tcPr>
          <w:p w14:paraId="6FC914A9" w14:textId="77777777" w:rsidR="005C63A0" w:rsidRDefault="005C63A0" w:rsidP="005C63A0">
            <w:pPr>
              <w:jc w:val="center"/>
            </w:pPr>
          </w:p>
          <w:p w14:paraId="4A937304" w14:textId="4B9F55F5" w:rsidR="00653144" w:rsidRPr="00754C32" w:rsidRDefault="00653144" w:rsidP="005C63A0">
            <w:pPr>
              <w:jc w:val="center"/>
            </w:pPr>
            <w:r>
              <w:t>43</w:t>
            </w:r>
          </w:p>
        </w:tc>
      </w:tr>
      <w:tr w:rsidR="005C63A0" w:rsidRPr="002F5652" w14:paraId="4C98FFF9" w14:textId="77777777" w:rsidTr="002A3C7E">
        <w:tc>
          <w:tcPr>
            <w:tcW w:w="9900" w:type="dxa"/>
            <w:tcMar>
              <w:top w:w="86" w:type="dxa"/>
              <w:left w:w="115" w:type="dxa"/>
              <w:right w:w="115" w:type="dxa"/>
            </w:tcMar>
          </w:tcPr>
          <w:p w14:paraId="34B94C7D" w14:textId="018E87DE" w:rsidR="00E83F5E" w:rsidRPr="002A2E6A" w:rsidRDefault="00E83F5E" w:rsidP="00E83F5E">
            <w:pPr>
              <w:contextualSpacing/>
              <w:rPr>
                <w:rFonts w:eastAsia="Times New Roman" w:cs="Times New Roman"/>
                <w:b/>
                <w:bCs/>
                <w:color w:val="0D0D0D" w:themeColor="text1" w:themeTint="F2"/>
                <w:szCs w:val="20"/>
              </w:rPr>
            </w:pPr>
            <w:r w:rsidRPr="002A2E6A">
              <w:rPr>
                <w:rFonts w:eastAsia="Times New Roman" w:cs="Times New Roman"/>
                <w:color w:val="0D0D0D" w:themeColor="text1" w:themeTint="F2"/>
                <w:szCs w:val="20"/>
              </w:rPr>
              <w:t xml:space="preserve">EE UU. </w:t>
            </w:r>
            <w:r w:rsidRPr="002A2E6A">
              <w:rPr>
                <w:rFonts w:eastAsia="Times New Roman" w:cs="Times New Roman"/>
                <w:b/>
                <w:bCs/>
                <w:color w:val="0D0D0D" w:themeColor="text1" w:themeTint="F2"/>
                <w:szCs w:val="20"/>
              </w:rPr>
              <w:t xml:space="preserve">Garantizar la calidad y el acceso: </w:t>
            </w:r>
            <w:r w:rsidR="004E2C2A">
              <w:rPr>
                <w:rFonts w:eastAsia="Times New Roman" w:cs="Times New Roman"/>
                <w:b/>
                <w:bCs/>
                <w:color w:val="0D0D0D" w:themeColor="text1" w:themeTint="F2"/>
                <w:szCs w:val="20"/>
              </w:rPr>
              <w:t>E</w:t>
            </w:r>
            <w:r w:rsidRPr="002A2E6A">
              <w:rPr>
                <w:rFonts w:eastAsia="Times New Roman" w:cs="Times New Roman"/>
                <w:b/>
                <w:bCs/>
                <w:color w:val="0D0D0D" w:themeColor="text1" w:themeTint="F2"/>
                <w:szCs w:val="20"/>
              </w:rPr>
              <w:t>nfoque de la FDA para la supervisión de los medicamentos genéricos</w:t>
            </w:r>
          </w:p>
          <w:p w14:paraId="44711AC0" w14:textId="43B83286" w:rsidR="005C63A0" w:rsidRPr="002A2E6A" w:rsidRDefault="00E83F5E" w:rsidP="00E83F5E">
            <w:pPr>
              <w:contextualSpacing/>
              <w:rPr>
                <w:rFonts w:eastAsia="Times New Roman" w:cs="Times New Roman"/>
                <w:color w:val="0D0D0D" w:themeColor="text1" w:themeTint="F2"/>
                <w:szCs w:val="20"/>
              </w:rPr>
            </w:pPr>
            <w:r w:rsidRPr="002A2E6A">
              <w:rPr>
                <w:rFonts w:eastAsia="Times New Roman" w:cs="Times New Roman"/>
                <w:i/>
                <w:iCs/>
                <w:color w:val="0D0D0D" w:themeColor="text1" w:themeTint="F2"/>
                <w:szCs w:val="20"/>
              </w:rPr>
              <w:t xml:space="preserve">U. S. </w:t>
            </w:r>
            <w:proofErr w:type="spellStart"/>
            <w:r w:rsidRPr="002A2E6A">
              <w:rPr>
                <w:rFonts w:eastAsia="Times New Roman" w:cs="Times New Roman"/>
                <w:i/>
                <w:iCs/>
                <w:color w:val="0D0D0D" w:themeColor="text1" w:themeTint="F2"/>
                <w:szCs w:val="20"/>
              </w:rPr>
              <w:t>Food</w:t>
            </w:r>
            <w:proofErr w:type="spellEnd"/>
            <w:r w:rsidRPr="002A2E6A">
              <w:rPr>
                <w:rFonts w:eastAsia="Times New Roman" w:cs="Times New Roman"/>
                <w:i/>
                <w:iCs/>
                <w:color w:val="0D0D0D" w:themeColor="text1" w:themeTint="F2"/>
                <w:szCs w:val="20"/>
              </w:rPr>
              <w:t xml:space="preserve"> &amp; </w:t>
            </w:r>
            <w:proofErr w:type="spellStart"/>
            <w:r w:rsidRPr="002A2E6A">
              <w:rPr>
                <w:rFonts w:eastAsia="Times New Roman" w:cs="Times New Roman"/>
                <w:i/>
                <w:iCs/>
                <w:color w:val="0D0D0D" w:themeColor="text1" w:themeTint="F2"/>
                <w:szCs w:val="20"/>
              </w:rPr>
              <w:t>Drug</w:t>
            </w:r>
            <w:proofErr w:type="spellEnd"/>
            <w:r w:rsidRPr="002A2E6A">
              <w:rPr>
                <w:rFonts w:eastAsia="Times New Roman" w:cs="Times New Roman"/>
                <w:i/>
                <w:iCs/>
                <w:color w:val="0D0D0D" w:themeColor="text1" w:themeTint="F2"/>
                <w:szCs w:val="20"/>
              </w:rPr>
              <w:t xml:space="preserve"> </w:t>
            </w:r>
            <w:proofErr w:type="spellStart"/>
            <w:r w:rsidRPr="002A2E6A">
              <w:rPr>
                <w:rFonts w:eastAsia="Times New Roman" w:cs="Times New Roman"/>
                <w:i/>
                <w:iCs/>
                <w:color w:val="0D0D0D" w:themeColor="text1" w:themeTint="F2"/>
                <w:szCs w:val="20"/>
              </w:rPr>
              <w:t>Administration</w:t>
            </w:r>
            <w:proofErr w:type="spellEnd"/>
            <w:r w:rsidRPr="002A2E6A">
              <w:rPr>
                <w:rFonts w:eastAsia="Times New Roman" w:cs="Times New Roman"/>
                <w:i/>
                <w:iCs/>
                <w:color w:val="0D0D0D" w:themeColor="text1" w:themeTint="F2"/>
                <w:szCs w:val="20"/>
              </w:rPr>
              <w:t xml:space="preserve"> (FDA), </w:t>
            </w:r>
            <w:r w:rsidRPr="002A2E6A">
              <w:rPr>
                <w:rFonts w:eastAsia="Times New Roman" w:cs="Times New Roman"/>
                <w:color w:val="0D0D0D" w:themeColor="text1" w:themeTint="F2"/>
                <w:szCs w:val="20"/>
              </w:rPr>
              <w:t>12 de julio de 2026</w:t>
            </w:r>
          </w:p>
        </w:tc>
        <w:tc>
          <w:tcPr>
            <w:tcW w:w="447" w:type="dxa"/>
            <w:tcMar>
              <w:top w:w="86" w:type="dxa"/>
              <w:left w:w="115" w:type="dxa"/>
              <w:right w:w="115" w:type="dxa"/>
            </w:tcMar>
          </w:tcPr>
          <w:p w14:paraId="2E0823D9" w14:textId="77777777" w:rsidR="005C63A0" w:rsidRPr="00E56EAE" w:rsidRDefault="005C63A0" w:rsidP="005C63A0">
            <w:pPr>
              <w:jc w:val="center"/>
            </w:pPr>
          </w:p>
          <w:p w14:paraId="421C23DF" w14:textId="074BD8BD" w:rsidR="00E56EAE" w:rsidRPr="00E56EAE" w:rsidRDefault="00E56EAE" w:rsidP="00D853C2">
            <w:r w:rsidRPr="00E56EAE">
              <w:t>44</w:t>
            </w:r>
          </w:p>
        </w:tc>
      </w:tr>
      <w:tr w:rsidR="005C63A0" w:rsidRPr="00F25512" w14:paraId="361595AE" w14:textId="77777777" w:rsidTr="002A3C7E">
        <w:tc>
          <w:tcPr>
            <w:tcW w:w="9900" w:type="dxa"/>
            <w:tcMar>
              <w:top w:w="86" w:type="dxa"/>
              <w:left w:w="115" w:type="dxa"/>
              <w:right w:w="115" w:type="dxa"/>
            </w:tcMar>
          </w:tcPr>
          <w:p w14:paraId="5B56FEAA" w14:textId="64E24774" w:rsidR="00E83F5E" w:rsidRPr="002A2E6A" w:rsidRDefault="00E83F5E" w:rsidP="00E83F5E">
            <w:pPr>
              <w:contextualSpacing/>
              <w:rPr>
                <w:rFonts w:eastAsia="Times New Roman" w:cs="Times New Roman"/>
                <w:i/>
                <w:iCs/>
                <w:color w:val="0D0D0D" w:themeColor="text1" w:themeTint="F2"/>
                <w:szCs w:val="20"/>
              </w:rPr>
            </w:pPr>
            <w:r w:rsidRPr="002A2E6A">
              <w:rPr>
                <w:rFonts w:eastAsia="Times New Roman" w:cs="Times New Roman"/>
                <w:color w:val="0D0D0D" w:themeColor="text1" w:themeTint="F2"/>
                <w:szCs w:val="20"/>
              </w:rPr>
              <w:lastRenderedPageBreak/>
              <w:t xml:space="preserve">EE UU. </w:t>
            </w:r>
            <w:r w:rsidRPr="002A2E6A">
              <w:rPr>
                <w:rFonts w:eastAsia="Times New Roman" w:cs="Times New Roman"/>
                <w:b/>
                <w:bCs/>
                <w:color w:val="0D0D0D" w:themeColor="text1" w:themeTint="F2"/>
                <w:szCs w:val="20"/>
              </w:rPr>
              <w:t>Riesgo de sesgo y beneficio clínico de los ensayos de fase III que respaldan los medicamentos contra el cáncer aprobados por la FDA, 2018-2025: Un análisis transversal</w:t>
            </w:r>
          </w:p>
          <w:p w14:paraId="5BFFB202" w14:textId="33749A1F" w:rsidR="005C63A0" w:rsidRPr="00F25512" w:rsidRDefault="00E83F5E" w:rsidP="00E83F5E">
            <w:pPr>
              <w:contextualSpacing/>
              <w:rPr>
                <w:rFonts w:eastAsia="Times New Roman" w:cs="Times New Roman"/>
                <w:color w:val="0D0D0D" w:themeColor="text1" w:themeTint="F2"/>
                <w:szCs w:val="20"/>
                <w:lang w:val="en-US"/>
              </w:rPr>
            </w:pPr>
            <w:r w:rsidRPr="002A2E6A">
              <w:rPr>
                <w:rFonts w:eastAsia="Times New Roman" w:cs="Times New Roman"/>
                <w:color w:val="0D0D0D" w:themeColor="text1" w:themeTint="F2"/>
                <w:szCs w:val="20"/>
                <w:lang w:val="en-US"/>
              </w:rPr>
              <w:t xml:space="preserve">G Li, Y Pu, C Chen, AS </w:t>
            </w:r>
            <w:proofErr w:type="spellStart"/>
            <w:r w:rsidRPr="002A2E6A">
              <w:rPr>
                <w:rFonts w:eastAsia="Times New Roman" w:cs="Times New Roman"/>
                <w:color w:val="0D0D0D" w:themeColor="text1" w:themeTint="F2"/>
                <w:szCs w:val="20"/>
                <w:lang w:val="en-US"/>
              </w:rPr>
              <w:t>Keselheim</w:t>
            </w:r>
            <w:proofErr w:type="spellEnd"/>
            <w:r w:rsidRPr="002A2E6A">
              <w:rPr>
                <w:rFonts w:eastAsia="Times New Roman" w:cs="Times New Roman"/>
                <w:color w:val="0D0D0D" w:themeColor="text1" w:themeTint="F2"/>
                <w:szCs w:val="20"/>
                <w:lang w:val="en-US"/>
              </w:rPr>
              <w:t xml:space="preserve"> y A </w:t>
            </w:r>
            <w:proofErr w:type="spellStart"/>
            <w:r w:rsidRPr="002A2E6A">
              <w:rPr>
                <w:rFonts w:eastAsia="Times New Roman" w:cs="Times New Roman"/>
                <w:color w:val="0D0D0D" w:themeColor="text1" w:themeTint="F2"/>
                <w:szCs w:val="20"/>
                <w:lang w:val="en-US"/>
              </w:rPr>
              <w:t>Tibau</w:t>
            </w:r>
            <w:proofErr w:type="spellEnd"/>
          </w:p>
        </w:tc>
        <w:tc>
          <w:tcPr>
            <w:tcW w:w="447" w:type="dxa"/>
            <w:tcMar>
              <w:top w:w="86" w:type="dxa"/>
              <w:left w:w="115" w:type="dxa"/>
              <w:right w:w="115" w:type="dxa"/>
            </w:tcMar>
          </w:tcPr>
          <w:p w14:paraId="73A216B3" w14:textId="77777777" w:rsidR="005C63A0" w:rsidRPr="00E56EAE" w:rsidRDefault="005C63A0" w:rsidP="005C63A0">
            <w:pPr>
              <w:jc w:val="center"/>
              <w:rPr>
                <w:lang w:val="en-US"/>
              </w:rPr>
            </w:pPr>
          </w:p>
          <w:p w14:paraId="3E7ACC1D" w14:textId="77777777" w:rsidR="00E56EAE" w:rsidRPr="00E56EAE" w:rsidRDefault="00E56EAE" w:rsidP="005C63A0">
            <w:pPr>
              <w:jc w:val="center"/>
              <w:rPr>
                <w:lang w:val="en-US"/>
              </w:rPr>
            </w:pPr>
          </w:p>
          <w:p w14:paraId="7B5CE6F7" w14:textId="65F54B44" w:rsidR="00E56EAE" w:rsidRPr="00E56EAE" w:rsidRDefault="00E56EAE" w:rsidP="005C63A0">
            <w:pPr>
              <w:jc w:val="center"/>
              <w:rPr>
                <w:lang w:val="en-US"/>
              </w:rPr>
            </w:pPr>
            <w:r w:rsidRPr="00E56EAE">
              <w:rPr>
                <w:lang w:val="en-US"/>
              </w:rPr>
              <w:t>46</w:t>
            </w:r>
          </w:p>
        </w:tc>
      </w:tr>
      <w:tr w:rsidR="005C63A0" w:rsidRPr="002F5652" w14:paraId="4DC6E14C" w14:textId="77777777" w:rsidTr="002A3C7E">
        <w:tc>
          <w:tcPr>
            <w:tcW w:w="9900" w:type="dxa"/>
            <w:tcMar>
              <w:top w:w="86" w:type="dxa"/>
              <w:left w:w="115" w:type="dxa"/>
              <w:right w:w="115" w:type="dxa"/>
            </w:tcMar>
          </w:tcPr>
          <w:p w14:paraId="73570328" w14:textId="51122C8C" w:rsidR="00E83F5E" w:rsidRPr="002A2E6A" w:rsidRDefault="00E83F5E" w:rsidP="00E83F5E">
            <w:pPr>
              <w:rPr>
                <w:rFonts w:eastAsia="Times New Roman" w:cs="Times New Roman"/>
                <w:b/>
                <w:color w:val="0D0D0D" w:themeColor="text1" w:themeTint="F2"/>
                <w:szCs w:val="20"/>
              </w:rPr>
            </w:pPr>
            <w:r w:rsidRPr="002A2E6A">
              <w:rPr>
                <w:rFonts w:eastAsia="Times New Roman" w:cs="Times New Roman"/>
                <w:color w:val="0D0D0D" w:themeColor="text1" w:themeTint="F2"/>
                <w:szCs w:val="20"/>
              </w:rPr>
              <w:t xml:space="preserve">EE UU. </w:t>
            </w:r>
            <w:r w:rsidRPr="002A2E6A">
              <w:rPr>
                <w:rFonts w:eastAsia="Times New Roman" w:cs="Times New Roman"/>
                <w:b/>
                <w:color w:val="0D0D0D" w:themeColor="text1" w:themeTint="F2"/>
                <w:szCs w:val="20"/>
              </w:rPr>
              <w:t xml:space="preserve">Los estándares vigentes sobre la evidencia que se requiere para aprobar nuevos fármacos oncológicos </w:t>
            </w:r>
          </w:p>
          <w:p w14:paraId="6C21089E" w14:textId="77777777" w:rsidR="00E83F5E" w:rsidRPr="002A2E6A" w:rsidRDefault="00E83F5E" w:rsidP="00E83F5E">
            <w:pPr>
              <w:rPr>
                <w:rFonts w:eastAsia="Times New Roman" w:cs="Times New Roman"/>
                <w:b/>
                <w:color w:val="0D0D0D" w:themeColor="text1" w:themeTint="F2"/>
                <w:szCs w:val="20"/>
              </w:rPr>
            </w:pPr>
            <w:r w:rsidRPr="002A2E6A">
              <w:rPr>
                <w:rFonts w:eastAsia="Times New Roman" w:cs="Times New Roman"/>
                <w:b/>
                <w:color w:val="0D0D0D" w:themeColor="text1" w:themeTint="F2"/>
                <w:szCs w:val="20"/>
              </w:rPr>
              <w:t xml:space="preserve">¿Son adecuados y suficientes? </w:t>
            </w:r>
          </w:p>
          <w:p w14:paraId="751C091A" w14:textId="4A54959A" w:rsidR="005C63A0" w:rsidRPr="002A2E6A" w:rsidRDefault="00E83F5E" w:rsidP="00E83F5E">
            <w:pPr>
              <w:contextualSpacing/>
              <w:rPr>
                <w:rFonts w:eastAsia="Times New Roman" w:cs="Times New Roman"/>
                <w:color w:val="0D0D0D" w:themeColor="text1" w:themeTint="F2"/>
                <w:szCs w:val="20"/>
              </w:rPr>
            </w:pPr>
            <w:r w:rsidRPr="002A2E6A">
              <w:rPr>
                <w:rFonts w:eastAsia="Times New Roman" w:cs="Times New Roman"/>
                <w:color w:val="0D0D0D" w:themeColor="text1" w:themeTint="F2"/>
                <w:szCs w:val="20"/>
              </w:rPr>
              <w:t>Salud y Fármacos</w:t>
            </w:r>
          </w:p>
        </w:tc>
        <w:tc>
          <w:tcPr>
            <w:tcW w:w="447" w:type="dxa"/>
            <w:tcMar>
              <w:top w:w="86" w:type="dxa"/>
              <w:left w:w="115" w:type="dxa"/>
              <w:right w:w="115" w:type="dxa"/>
            </w:tcMar>
          </w:tcPr>
          <w:p w14:paraId="79E7802C" w14:textId="77777777" w:rsidR="005C63A0" w:rsidRPr="00E56EAE" w:rsidRDefault="005C63A0" w:rsidP="005C63A0">
            <w:pPr>
              <w:jc w:val="center"/>
            </w:pPr>
          </w:p>
          <w:p w14:paraId="7933E4B2" w14:textId="77777777" w:rsidR="00E56EAE" w:rsidRPr="00E56EAE" w:rsidRDefault="00E56EAE" w:rsidP="005C63A0">
            <w:pPr>
              <w:jc w:val="center"/>
            </w:pPr>
          </w:p>
          <w:p w14:paraId="4F9622EE" w14:textId="724E29AA" w:rsidR="00E56EAE" w:rsidRPr="00E56EAE" w:rsidRDefault="00E56EAE" w:rsidP="005C63A0">
            <w:pPr>
              <w:jc w:val="center"/>
            </w:pPr>
            <w:r w:rsidRPr="00E56EAE">
              <w:t>47</w:t>
            </w:r>
          </w:p>
        </w:tc>
      </w:tr>
      <w:tr w:rsidR="005C63A0" w:rsidRPr="00F25512" w14:paraId="5F08C28C" w14:textId="77777777" w:rsidTr="002A3C7E">
        <w:tc>
          <w:tcPr>
            <w:tcW w:w="9900" w:type="dxa"/>
            <w:tcMar>
              <w:top w:w="86" w:type="dxa"/>
              <w:left w:w="115" w:type="dxa"/>
              <w:right w:w="115" w:type="dxa"/>
            </w:tcMar>
          </w:tcPr>
          <w:p w14:paraId="1AD463F2" w14:textId="0114A1E0" w:rsidR="00E83F5E" w:rsidRPr="002A2E6A" w:rsidRDefault="00E83F5E" w:rsidP="00E83F5E">
            <w:pPr>
              <w:spacing w:after="225"/>
              <w:contextualSpacing/>
              <w:outlineLvl w:val="0"/>
              <w:rPr>
                <w:rFonts w:eastAsia="Times New Roman" w:cs="Times New Roman"/>
                <w:b/>
                <w:bCs/>
                <w:kern w:val="36"/>
                <w:szCs w:val="20"/>
                <w:lang w:val="es-ES"/>
              </w:rPr>
            </w:pPr>
            <w:r w:rsidRPr="002A2E6A">
              <w:rPr>
                <w:rFonts w:eastAsia="Times New Roman" w:cs="Times New Roman"/>
                <w:color w:val="0D0D0D" w:themeColor="text1" w:themeTint="F2"/>
                <w:szCs w:val="20"/>
              </w:rPr>
              <w:t xml:space="preserve">EE UU. </w:t>
            </w:r>
            <w:r w:rsidRPr="002A2E6A">
              <w:rPr>
                <w:rFonts w:eastAsia="Times New Roman" w:cs="Times New Roman"/>
                <w:b/>
                <w:bCs/>
                <w:szCs w:val="20"/>
                <w:lang w:val="es-ES"/>
              </w:rPr>
              <w:t>La FDA, los péptidos y Robert F. Kennedy Jr.</w:t>
            </w:r>
          </w:p>
          <w:p w14:paraId="121F4338" w14:textId="610B0730" w:rsidR="005C63A0" w:rsidRPr="00F25512" w:rsidRDefault="00E83F5E" w:rsidP="00E83F5E">
            <w:pPr>
              <w:contextualSpacing/>
              <w:rPr>
                <w:rFonts w:eastAsia="Times New Roman" w:cs="Times New Roman"/>
                <w:color w:val="0D0D0D" w:themeColor="text1" w:themeTint="F2"/>
                <w:szCs w:val="20"/>
                <w:lang w:val="en-US"/>
              </w:rPr>
            </w:pPr>
            <w:r w:rsidRPr="002A2E6A">
              <w:rPr>
                <w:rFonts w:eastAsia="Times New Roman" w:cs="Times New Roman"/>
                <w:i/>
                <w:iCs/>
                <w:szCs w:val="20"/>
                <w:lang w:val="en-US"/>
              </w:rPr>
              <w:t>Worst Pills, Best Pills</w:t>
            </w:r>
            <w:r w:rsidRPr="002A2E6A">
              <w:rPr>
                <w:rFonts w:eastAsia="Times New Roman" w:cs="Times New Roman"/>
                <w:szCs w:val="20"/>
                <w:lang w:val="en-US"/>
              </w:rPr>
              <w:t xml:space="preserve">, </w:t>
            </w:r>
            <w:proofErr w:type="spellStart"/>
            <w:r w:rsidRPr="002A2E6A">
              <w:rPr>
                <w:rFonts w:eastAsia="Times New Roman" w:cs="Times New Roman"/>
                <w:szCs w:val="20"/>
                <w:lang w:val="en-US"/>
              </w:rPr>
              <w:t>julio</w:t>
            </w:r>
            <w:proofErr w:type="spellEnd"/>
            <w:r w:rsidRPr="002A2E6A">
              <w:rPr>
                <w:rFonts w:eastAsia="Times New Roman" w:cs="Times New Roman"/>
                <w:szCs w:val="20"/>
                <w:lang w:val="en-US"/>
              </w:rPr>
              <w:t xml:space="preserve"> de 2026</w:t>
            </w:r>
          </w:p>
        </w:tc>
        <w:tc>
          <w:tcPr>
            <w:tcW w:w="447" w:type="dxa"/>
            <w:tcMar>
              <w:top w:w="86" w:type="dxa"/>
              <w:left w:w="115" w:type="dxa"/>
              <w:right w:w="115" w:type="dxa"/>
            </w:tcMar>
          </w:tcPr>
          <w:p w14:paraId="372407F1" w14:textId="77777777" w:rsidR="005C63A0" w:rsidRDefault="005C63A0" w:rsidP="005C63A0">
            <w:pPr>
              <w:jc w:val="center"/>
              <w:rPr>
                <w:lang w:val="en-US"/>
              </w:rPr>
            </w:pPr>
          </w:p>
          <w:p w14:paraId="54626D52" w14:textId="5D99ACC9" w:rsidR="00E56EAE" w:rsidRPr="00E56EAE" w:rsidRDefault="00E56EAE" w:rsidP="005C63A0">
            <w:pPr>
              <w:jc w:val="center"/>
              <w:rPr>
                <w:lang w:val="en-US"/>
              </w:rPr>
            </w:pPr>
            <w:r>
              <w:rPr>
                <w:lang w:val="en-US"/>
              </w:rPr>
              <w:t>48</w:t>
            </w:r>
          </w:p>
        </w:tc>
      </w:tr>
      <w:tr w:rsidR="005C63A0" w:rsidRPr="002F5652" w14:paraId="0DF672C4" w14:textId="77777777" w:rsidTr="002A3C7E">
        <w:tc>
          <w:tcPr>
            <w:tcW w:w="9900" w:type="dxa"/>
            <w:tcMar>
              <w:top w:w="86" w:type="dxa"/>
              <w:left w:w="115" w:type="dxa"/>
              <w:right w:w="115" w:type="dxa"/>
            </w:tcMar>
          </w:tcPr>
          <w:p w14:paraId="43BF797C" w14:textId="20705517" w:rsidR="00E83F5E" w:rsidRPr="002A2E6A" w:rsidRDefault="00E83F5E" w:rsidP="00E83F5E">
            <w:pPr>
              <w:contextualSpacing/>
              <w:rPr>
                <w:rFonts w:cs="Times New Roman"/>
                <w:b/>
                <w:bCs/>
                <w:szCs w:val="20"/>
                <w:lang w:val="es-ES"/>
              </w:rPr>
            </w:pPr>
            <w:r w:rsidRPr="002A2E6A">
              <w:rPr>
                <w:rFonts w:cs="Times New Roman"/>
                <w:szCs w:val="20"/>
                <w:lang w:val="es-ES"/>
              </w:rPr>
              <w:t>EE UU.</w:t>
            </w:r>
            <w:r w:rsidRPr="002A2E6A">
              <w:rPr>
                <w:rFonts w:cs="Times New Roman"/>
                <w:b/>
                <w:bCs/>
                <w:szCs w:val="20"/>
                <w:lang w:val="es-ES"/>
              </w:rPr>
              <w:t xml:space="preserve"> El escándalo del mes: la censura de los estudios sobre vacunas de los CDC y la FDA </w:t>
            </w:r>
          </w:p>
          <w:p w14:paraId="6E1C53F1" w14:textId="303A0CF7" w:rsidR="005C63A0" w:rsidRPr="002A2E6A" w:rsidRDefault="00E83F5E" w:rsidP="00E83F5E">
            <w:pPr>
              <w:contextualSpacing/>
              <w:rPr>
                <w:rFonts w:eastAsia="Times New Roman" w:cs="Times New Roman"/>
                <w:color w:val="0D0D0D" w:themeColor="text1" w:themeTint="F2"/>
                <w:szCs w:val="20"/>
              </w:rPr>
            </w:pPr>
            <w:r w:rsidRPr="002A2E6A">
              <w:rPr>
                <w:rFonts w:cs="Times New Roman"/>
                <w:szCs w:val="20"/>
              </w:rPr>
              <w:t xml:space="preserve">R </w:t>
            </w:r>
            <w:proofErr w:type="spellStart"/>
            <w:r w:rsidRPr="002A2E6A">
              <w:rPr>
                <w:rFonts w:cs="Times New Roman"/>
                <w:szCs w:val="20"/>
              </w:rPr>
              <w:t>Steinbrook</w:t>
            </w:r>
            <w:proofErr w:type="spellEnd"/>
          </w:p>
        </w:tc>
        <w:tc>
          <w:tcPr>
            <w:tcW w:w="447" w:type="dxa"/>
            <w:tcMar>
              <w:top w:w="86" w:type="dxa"/>
              <w:left w:w="115" w:type="dxa"/>
              <w:right w:w="115" w:type="dxa"/>
            </w:tcMar>
          </w:tcPr>
          <w:p w14:paraId="200A2FED" w14:textId="77777777" w:rsidR="005C63A0" w:rsidRDefault="005C63A0" w:rsidP="005C63A0">
            <w:pPr>
              <w:jc w:val="center"/>
            </w:pPr>
          </w:p>
          <w:p w14:paraId="4FCD31A5" w14:textId="610FC03F" w:rsidR="00E56EAE" w:rsidRPr="00E56EAE" w:rsidRDefault="00E56EAE" w:rsidP="005C63A0">
            <w:pPr>
              <w:jc w:val="center"/>
            </w:pPr>
            <w:r>
              <w:t>49</w:t>
            </w:r>
          </w:p>
        </w:tc>
      </w:tr>
      <w:tr w:rsidR="005C63A0" w:rsidRPr="002F5652" w14:paraId="53FC902B" w14:textId="77777777" w:rsidTr="002A3C7E">
        <w:tc>
          <w:tcPr>
            <w:tcW w:w="9900" w:type="dxa"/>
            <w:tcMar>
              <w:top w:w="86" w:type="dxa"/>
              <w:left w:w="115" w:type="dxa"/>
              <w:right w:w="115" w:type="dxa"/>
            </w:tcMar>
          </w:tcPr>
          <w:p w14:paraId="0C336EA3" w14:textId="67AF0742" w:rsidR="00E83F5E" w:rsidRPr="002A2E6A" w:rsidRDefault="00E83F5E" w:rsidP="00E83F5E">
            <w:pPr>
              <w:contextualSpacing/>
              <w:rPr>
                <w:rFonts w:eastAsia="Times New Roman" w:cs="Times New Roman"/>
                <w:color w:val="0D0D0D" w:themeColor="text1" w:themeTint="F2"/>
                <w:szCs w:val="20"/>
              </w:rPr>
            </w:pPr>
            <w:r w:rsidRPr="002A2E6A">
              <w:rPr>
                <w:rFonts w:eastAsia="Times New Roman" w:cs="Times New Roman"/>
                <w:color w:val="0D0D0D" w:themeColor="text1" w:themeTint="F2"/>
                <w:szCs w:val="20"/>
              </w:rPr>
              <w:t xml:space="preserve">EE UU. </w:t>
            </w:r>
            <w:r w:rsidRPr="002A2E6A">
              <w:rPr>
                <w:rFonts w:eastAsia="Times New Roman" w:cs="Times New Roman"/>
                <w:b/>
                <w:bCs/>
                <w:color w:val="0D0D0D" w:themeColor="text1" w:themeTint="F2"/>
                <w:szCs w:val="20"/>
              </w:rPr>
              <w:t>Denuncias sobre el uso inadecuado de antibióticos en animales</w:t>
            </w:r>
          </w:p>
          <w:p w14:paraId="429D8B4A" w14:textId="2C2827ED" w:rsidR="005C63A0" w:rsidRPr="002A2E6A" w:rsidRDefault="00E83F5E" w:rsidP="00E83F5E">
            <w:pPr>
              <w:contextualSpacing/>
              <w:rPr>
                <w:rFonts w:eastAsia="Times New Roman" w:cs="Times New Roman"/>
                <w:color w:val="0D0D0D" w:themeColor="text1" w:themeTint="F2"/>
                <w:szCs w:val="20"/>
              </w:rPr>
            </w:pPr>
            <w:r w:rsidRPr="002A2E6A">
              <w:rPr>
                <w:rFonts w:eastAsia="Times New Roman" w:cs="Times New Roman"/>
                <w:color w:val="0D0D0D" w:themeColor="text1" w:themeTint="F2"/>
                <w:szCs w:val="20"/>
              </w:rPr>
              <w:t>Salud y Fármacos</w:t>
            </w:r>
          </w:p>
        </w:tc>
        <w:tc>
          <w:tcPr>
            <w:tcW w:w="447" w:type="dxa"/>
            <w:tcMar>
              <w:top w:w="86" w:type="dxa"/>
              <w:left w:w="115" w:type="dxa"/>
              <w:right w:w="115" w:type="dxa"/>
            </w:tcMar>
          </w:tcPr>
          <w:p w14:paraId="58FF005C" w14:textId="77777777" w:rsidR="005C63A0" w:rsidRDefault="005C63A0" w:rsidP="005C63A0">
            <w:pPr>
              <w:jc w:val="center"/>
            </w:pPr>
          </w:p>
          <w:p w14:paraId="30F577AA" w14:textId="0CED7ED7" w:rsidR="00E56EAE" w:rsidRPr="00E56EAE" w:rsidRDefault="00E56EAE" w:rsidP="005C63A0">
            <w:pPr>
              <w:jc w:val="center"/>
            </w:pPr>
            <w:r>
              <w:t>50</w:t>
            </w:r>
          </w:p>
        </w:tc>
      </w:tr>
      <w:tr w:rsidR="005C63A0" w:rsidRPr="00F25512" w14:paraId="42E120D9" w14:textId="77777777" w:rsidTr="002A3C7E">
        <w:tc>
          <w:tcPr>
            <w:tcW w:w="9900" w:type="dxa"/>
            <w:tcMar>
              <w:top w:w="86" w:type="dxa"/>
              <w:left w:w="115" w:type="dxa"/>
              <w:right w:w="115" w:type="dxa"/>
            </w:tcMar>
          </w:tcPr>
          <w:p w14:paraId="18510F6D" w14:textId="246677E3" w:rsidR="00E83F5E" w:rsidRPr="002A2E6A" w:rsidRDefault="00E83F5E" w:rsidP="00E83F5E">
            <w:pPr>
              <w:rPr>
                <w:rFonts w:eastAsia="Times New Roman" w:cs="Times New Roman"/>
                <w:color w:val="0D0D0D" w:themeColor="text1" w:themeTint="F2"/>
                <w:szCs w:val="20"/>
              </w:rPr>
            </w:pPr>
            <w:r w:rsidRPr="002A2E6A">
              <w:rPr>
                <w:rFonts w:eastAsia="Times New Roman" w:cs="Times New Roman"/>
                <w:color w:val="0D0D0D" w:themeColor="text1" w:themeTint="F2"/>
                <w:szCs w:val="20"/>
              </w:rPr>
              <w:t xml:space="preserve">EE UU. </w:t>
            </w:r>
            <w:r w:rsidRPr="002A2E6A">
              <w:rPr>
                <w:rFonts w:eastAsia="Times New Roman" w:cs="Times New Roman"/>
                <w:b/>
                <w:bCs/>
                <w:color w:val="0D0D0D" w:themeColor="text1" w:themeTint="F2"/>
                <w:szCs w:val="20"/>
              </w:rPr>
              <w:t>Características de los oradores en las reuniones del Comité Asesor de la FDA sobre la aprobación de medicamentos</w:t>
            </w:r>
            <w:r w:rsidRPr="002A2E6A">
              <w:rPr>
                <w:rFonts w:eastAsia="Times New Roman" w:cs="Times New Roman"/>
                <w:color w:val="0D0D0D" w:themeColor="text1" w:themeTint="F2"/>
                <w:szCs w:val="20"/>
              </w:rPr>
              <w:t xml:space="preserve"> </w:t>
            </w:r>
          </w:p>
          <w:p w14:paraId="1B33B28A" w14:textId="78C992EC" w:rsidR="005C63A0" w:rsidRPr="00F25512" w:rsidRDefault="00E83F5E" w:rsidP="00E83F5E">
            <w:pPr>
              <w:contextualSpacing/>
              <w:rPr>
                <w:rFonts w:eastAsia="Times New Roman" w:cs="Times New Roman"/>
                <w:color w:val="0D0D0D" w:themeColor="text1" w:themeTint="F2"/>
                <w:szCs w:val="20"/>
                <w:lang w:val="en-US"/>
              </w:rPr>
            </w:pPr>
            <w:r w:rsidRPr="002A2E6A">
              <w:rPr>
                <w:rFonts w:eastAsia="Times New Roman" w:cs="Times New Roman"/>
                <w:color w:val="0D0D0D" w:themeColor="text1" w:themeTint="F2"/>
                <w:szCs w:val="20"/>
                <w:lang w:val="en-US"/>
              </w:rPr>
              <w:t xml:space="preserve">LZ Rand, H Mooney, D Hong, D </w:t>
            </w:r>
            <w:proofErr w:type="spellStart"/>
            <w:r w:rsidRPr="002A2E6A">
              <w:rPr>
                <w:rFonts w:eastAsia="Times New Roman" w:cs="Times New Roman"/>
                <w:color w:val="0D0D0D" w:themeColor="text1" w:themeTint="F2"/>
                <w:szCs w:val="20"/>
                <w:lang w:val="en-US"/>
              </w:rPr>
              <w:t>Eisenkraft</w:t>
            </w:r>
            <w:proofErr w:type="spellEnd"/>
            <w:r w:rsidRPr="002A2E6A">
              <w:rPr>
                <w:rFonts w:eastAsia="Times New Roman" w:cs="Times New Roman"/>
                <w:color w:val="0D0D0D" w:themeColor="text1" w:themeTint="F2"/>
                <w:szCs w:val="20"/>
                <w:lang w:val="en-US"/>
              </w:rPr>
              <w:t xml:space="preserve"> Klein, S </w:t>
            </w:r>
            <w:proofErr w:type="spellStart"/>
            <w:r w:rsidRPr="002A2E6A">
              <w:rPr>
                <w:rFonts w:eastAsia="Times New Roman" w:cs="Times New Roman"/>
                <w:color w:val="0D0D0D" w:themeColor="text1" w:themeTint="F2"/>
                <w:szCs w:val="20"/>
                <w:lang w:val="en-US"/>
              </w:rPr>
              <w:t>Kesselheim</w:t>
            </w:r>
            <w:proofErr w:type="spellEnd"/>
            <w:r w:rsidRPr="002A2E6A">
              <w:rPr>
                <w:rFonts w:eastAsia="Times New Roman" w:cs="Times New Roman"/>
                <w:color w:val="0D0D0D" w:themeColor="text1" w:themeTint="F2"/>
                <w:szCs w:val="20"/>
                <w:lang w:val="en-US"/>
              </w:rPr>
              <w:t xml:space="preserve"> y BN Rome</w:t>
            </w:r>
          </w:p>
        </w:tc>
        <w:tc>
          <w:tcPr>
            <w:tcW w:w="447" w:type="dxa"/>
            <w:tcMar>
              <w:top w:w="86" w:type="dxa"/>
              <w:left w:w="115" w:type="dxa"/>
              <w:right w:w="115" w:type="dxa"/>
            </w:tcMar>
          </w:tcPr>
          <w:p w14:paraId="2527A38B" w14:textId="77777777" w:rsidR="005C63A0" w:rsidRDefault="005C63A0" w:rsidP="005C63A0">
            <w:pPr>
              <w:jc w:val="center"/>
              <w:rPr>
                <w:lang w:val="en-US"/>
              </w:rPr>
            </w:pPr>
          </w:p>
          <w:p w14:paraId="7EAC136F" w14:textId="77777777" w:rsidR="00E56EAE" w:rsidRDefault="00E56EAE" w:rsidP="005C63A0">
            <w:pPr>
              <w:jc w:val="center"/>
              <w:rPr>
                <w:lang w:val="en-US"/>
              </w:rPr>
            </w:pPr>
          </w:p>
          <w:p w14:paraId="295527B5" w14:textId="05F35EBA" w:rsidR="00E56EAE" w:rsidRPr="00E56EAE" w:rsidRDefault="00E56EAE" w:rsidP="005C63A0">
            <w:pPr>
              <w:jc w:val="center"/>
              <w:rPr>
                <w:lang w:val="en-US"/>
              </w:rPr>
            </w:pPr>
            <w:r>
              <w:rPr>
                <w:lang w:val="en-US"/>
              </w:rPr>
              <w:t>51</w:t>
            </w:r>
          </w:p>
        </w:tc>
      </w:tr>
      <w:tr w:rsidR="005C63A0" w:rsidRPr="002F5652" w14:paraId="068C2CEA" w14:textId="77777777" w:rsidTr="002A3C7E">
        <w:tc>
          <w:tcPr>
            <w:tcW w:w="9900" w:type="dxa"/>
            <w:tcMar>
              <w:top w:w="86" w:type="dxa"/>
              <w:left w:w="115" w:type="dxa"/>
              <w:right w:w="115" w:type="dxa"/>
            </w:tcMar>
          </w:tcPr>
          <w:p w14:paraId="59CBBAB9" w14:textId="6EE6187A" w:rsidR="005C63A0" w:rsidRPr="002A2E6A" w:rsidRDefault="005C63A0" w:rsidP="005C63A0">
            <w:pPr>
              <w:rPr>
                <w:rFonts w:eastAsia="Times New Roman" w:cs="Times New Roman"/>
                <w:b/>
                <w:bCs/>
                <w:color w:val="0D0D0D" w:themeColor="text1" w:themeTint="F2"/>
                <w:szCs w:val="20"/>
                <w:lang w:val="es-ES"/>
              </w:rPr>
            </w:pPr>
            <w:r w:rsidRPr="002A2E6A">
              <w:rPr>
                <w:rFonts w:eastAsia="Times New Roman" w:cs="Times New Roman"/>
                <w:color w:val="0D0D0D" w:themeColor="text1" w:themeTint="F2"/>
                <w:szCs w:val="20"/>
              </w:rPr>
              <w:t>EE UU.</w:t>
            </w:r>
            <w:r w:rsidRPr="002A2E6A">
              <w:rPr>
                <w:rFonts w:eastAsia="Times New Roman" w:cs="Times New Roman"/>
                <w:b/>
                <w:bCs/>
                <w:color w:val="0D0D0D" w:themeColor="text1" w:themeTint="F2"/>
                <w:szCs w:val="20"/>
              </w:rPr>
              <w:t xml:space="preserve"> Perspectiva de la FDA sobre las terapias con células T con receptor de antígeno quimérico para enfermedades autoinmunes y reumáticas</w:t>
            </w:r>
          </w:p>
          <w:p w14:paraId="2C841FB5" w14:textId="3B0300DE" w:rsidR="005C63A0" w:rsidRPr="002A2E6A" w:rsidRDefault="005C63A0" w:rsidP="005C63A0">
            <w:pPr>
              <w:rPr>
                <w:b/>
                <w:bCs/>
              </w:rPr>
            </w:pPr>
            <w:r w:rsidRPr="002A2E6A">
              <w:t xml:space="preserve">A Tariq, V Kumar y V </w:t>
            </w:r>
            <w:proofErr w:type="spellStart"/>
            <w:r w:rsidRPr="002A2E6A">
              <w:t>Prasad</w:t>
            </w:r>
            <w:proofErr w:type="spellEnd"/>
          </w:p>
        </w:tc>
        <w:tc>
          <w:tcPr>
            <w:tcW w:w="447" w:type="dxa"/>
            <w:tcMar>
              <w:top w:w="86" w:type="dxa"/>
              <w:left w:w="115" w:type="dxa"/>
              <w:right w:w="115" w:type="dxa"/>
            </w:tcMar>
          </w:tcPr>
          <w:p w14:paraId="789778D9" w14:textId="77777777" w:rsidR="005C63A0" w:rsidRDefault="005C63A0" w:rsidP="005C63A0">
            <w:pPr>
              <w:jc w:val="center"/>
            </w:pPr>
          </w:p>
          <w:p w14:paraId="45D51FB6" w14:textId="77777777" w:rsidR="00E56EAE" w:rsidRDefault="00E56EAE" w:rsidP="005C63A0">
            <w:pPr>
              <w:jc w:val="center"/>
            </w:pPr>
          </w:p>
          <w:p w14:paraId="63C137F2" w14:textId="393B5253" w:rsidR="00E56EAE" w:rsidRPr="00E56EAE" w:rsidRDefault="00E56EAE" w:rsidP="005C63A0">
            <w:pPr>
              <w:jc w:val="center"/>
            </w:pPr>
            <w:r>
              <w:t>52</w:t>
            </w:r>
          </w:p>
        </w:tc>
      </w:tr>
      <w:tr w:rsidR="002A2E6A" w:rsidRPr="002F5652" w14:paraId="3A575334" w14:textId="77777777" w:rsidTr="002A3C7E">
        <w:tc>
          <w:tcPr>
            <w:tcW w:w="9900" w:type="dxa"/>
            <w:tcMar>
              <w:top w:w="86" w:type="dxa"/>
              <w:left w:w="115" w:type="dxa"/>
              <w:right w:w="115" w:type="dxa"/>
            </w:tcMar>
          </w:tcPr>
          <w:p w14:paraId="7BDD0D18" w14:textId="77777777" w:rsidR="002A2E6A" w:rsidRPr="002A2E6A" w:rsidRDefault="002A2E6A" w:rsidP="002A2E6A">
            <w:pPr>
              <w:rPr>
                <w:rFonts w:eastAsia="Times New Roman" w:cs="Times New Roman"/>
                <w:color w:val="0D0D0D" w:themeColor="text1" w:themeTint="F2"/>
                <w:szCs w:val="20"/>
              </w:rPr>
            </w:pPr>
            <w:r w:rsidRPr="002A2E6A">
              <w:rPr>
                <w:rFonts w:eastAsia="Times New Roman" w:cs="Times New Roman"/>
                <w:color w:val="0D0D0D" w:themeColor="text1" w:themeTint="F2"/>
                <w:szCs w:val="20"/>
              </w:rPr>
              <w:t xml:space="preserve">EE UU. </w:t>
            </w:r>
            <w:r w:rsidRPr="002A2E6A">
              <w:rPr>
                <w:rFonts w:eastAsia="Times New Roman" w:cs="Times New Roman"/>
                <w:b/>
                <w:bCs/>
                <w:color w:val="0D0D0D" w:themeColor="text1" w:themeTint="F2"/>
                <w:szCs w:val="20"/>
              </w:rPr>
              <w:t>La FDA autoriza la importación de fármacos más baratos desde Canadá</w:t>
            </w:r>
          </w:p>
          <w:p w14:paraId="623B9373" w14:textId="0AADD68E" w:rsidR="002A2E6A" w:rsidRPr="002A2E6A" w:rsidRDefault="002A2E6A" w:rsidP="005C63A0">
            <w:pPr>
              <w:rPr>
                <w:rFonts w:eastAsia="Times New Roman" w:cs="Times New Roman"/>
                <w:color w:val="0D0D0D" w:themeColor="text1" w:themeTint="F2"/>
                <w:szCs w:val="20"/>
              </w:rPr>
            </w:pPr>
            <w:r w:rsidRPr="002A2E6A">
              <w:rPr>
                <w:rFonts w:eastAsia="Times New Roman" w:cs="Times New Roman"/>
                <w:color w:val="0D0D0D" w:themeColor="text1" w:themeTint="F2"/>
                <w:szCs w:val="20"/>
              </w:rPr>
              <w:t>Salud y Fármacos</w:t>
            </w:r>
          </w:p>
        </w:tc>
        <w:tc>
          <w:tcPr>
            <w:tcW w:w="447" w:type="dxa"/>
            <w:tcMar>
              <w:top w:w="86" w:type="dxa"/>
              <w:left w:w="115" w:type="dxa"/>
              <w:right w:w="115" w:type="dxa"/>
            </w:tcMar>
          </w:tcPr>
          <w:p w14:paraId="1D41A9DA" w14:textId="77777777" w:rsidR="002A2E6A" w:rsidRDefault="002A2E6A" w:rsidP="005C63A0">
            <w:pPr>
              <w:jc w:val="center"/>
            </w:pPr>
          </w:p>
          <w:p w14:paraId="22949CFD" w14:textId="4429DE24" w:rsidR="00E56EAE" w:rsidRPr="00E56EAE" w:rsidRDefault="00E56EAE" w:rsidP="005C63A0">
            <w:pPr>
              <w:jc w:val="center"/>
            </w:pPr>
            <w:r>
              <w:t>53</w:t>
            </w:r>
          </w:p>
        </w:tc>
      </w:tr>
      <w:tr w:rsidR="005C63A0" w:rsidRPr="00F25512" w14:paraId="3524EBA5" w14:textId="77777777" w:rsidTr="002A3C7E">
        <w:tc>
          <w:tcPr>
            <w:tcW w:w="9900" w:type="dxa"/>
            <w:tcMar>
              <w:top w:w="86" w:type="dxa"/>
              <w:left w:w="115" w:type="dxa"/>
              <w:right w:w="115" w:type="dxa"/>
            </w:tcMar>
          </w:tcPr>
          <w:p w14:paraId="1874F7E5" w14:textId="77777777" w:rsidR="003A775F" w:rsidRDefault="003A775F" w:rsidP="002A2E6A">
            <w:pPr>
              <w:rPr>
                <w:b/>
                <w:bCs/>
                <w:szCs w:val="20"/>
              </w:rPr>
            </w:pPr>
            <w:r>
              <w:rPr>
                <w:rFonts w:eastAsia="Times New Roman" w:cs="Times New Roman"/>
                <w:color w:val="0D0D0D" w:themeColor="text1" w:themeTint="F2"/>
                <w:szCs w:val="20"/>
              </w:rPr>
              <w:t xml:space="preserve">EE UU. </w:t>
            </w:r>
            <w:r w:rsidRPr="00FE6871">
              <w:rPr>
                <w:b/>
                <w:bCs/>
                <w:szCs w:val="20"/>
              </w:rPr>
              <w:t xml:space="preserve">Cambios en el uso de </w:t>
            </w:r>
            <w:proofErr w:type="spellStart"/>
            <w:r w:rsidRPr="0021302E">
              <w:rPr>
                <w:b/>
                <w:bCs/>
                <w:i/>
                <w:iCs/>
                <w:szCs w:val="20"/>
              </w:rPr>
              <w:t>montelukast</w:t>
            </w:r>
            <w:proofErr w:type="spellEnd"/>
            <w:r w:rsidRPr="00FE6871">
              <w:rPr>
                <w:b/>
                <w:bCs/>
                <w:szCs w:val="20"/>
              </w:rPr>
              <w:t xml:space="preserve"> para </w:t>
            </w:r>
            <w:r>
              <w:rPr>
                <w:b/>
                <w:bCs/>
                <w:szCs w:val="20"/>
              </w:rPr>
              <w:t xml:space="preserve">tratar </w:t>
            </w:r>
            <w:r w:rsidRPr="00FE6871">
              <w:rPr>
                <w:b/>
                <w:bCs/>
                <w:szCs w:val="20"/>
              </w:rPr>
              <w:t xml:space="preserve">el asma tras una advertencia de la </w:t>
            </w:r>
            <w:r>
              <w:rPr>
                <w:b/>
                <w:bCs/>
                <w:szCs w:val="20"/>
              </w:rPr>
              <w:t>FDA</w:t>
            </w:r>
          </w:p>
          <w:p w14:paraId="36BFE6E4" w14:textId="3EC01889" w:rsidR="005C63A0" w:rsidRPr="002A2E6A" w:rsidRDefault="002A2E6A" w:rsidP="002A2E6A">
            <w:pPr>
              <w:rPr>
                <w:szCs w:val="20"/>
                <w:lang w:val="en-US"/>
              </w:rPr>
            </w:pPr>
            <w:r w:rsidRPr="00FD0655">
              <w:rPr>
                <w:szCs w:val="20"/>
                <w:lang w:val="en-US"/>
              </w:rPr>
              <w:t>H Shanmugam,</w:t>
            </w:r>
            <w:r>
              <w:rPr>
                <w:szCs w:val="20"/>
                <w:lang w:val="en-US"/>
              </w:rPr>
              <w:t xml:space="preserve"> </w:t>
            </w:r>
            <w:r w:rsidRPr="00FD0655">
              <w:rPr>
                <w:szCs w:val="20"/>
                <w:lang w:val="en-US"/>
              </w:rPr>
              <w:t xml:space="preserve">AS </w:t>
            </w:r>
            <w:proofErr w:type="spellStart"/>
            <w:r w:rsidRPr="00FD0655">
              <w:rPr>
                <w:szCs w:val="20"/>
                <w:lang w:val="en-US"/>
              </w:rPr>
              <w:t>Kesselheim</w:t>
            </w:r>
            <w:proofErr w:type="spellEnd"/>
            <w:r w:rsidRPr="00FD0655">
              <w:rPr>
                <w:szCs w:val="20"/>
                <w:lang w:val="en-US"/>
              </w:rPr>
              <w:t>,</w:t>
            </w:r>
            <w:r>
              <w:rPr>
                <w:szCs w:val="20"/>
                <w:lang w:val="en-US"/>
              </w:rPr>
              <w:t xml:space="preserve"> </w:t>
            </w:r>
            <w:r w:rsidRPr="00FD0655">
              <w:rPr>
                <w:szCs w:val="20"/>
                <w:lang w:val="en-US"/>
              </w:rPr>
              <w:t>IT</w:t>
            </w:r>
            <w:r>
              <w:rPr>
                <w:szCs w:val="20"/>
                <w:lang w:val="en-US"/>
              </w:rPr>
              <w:t xml:space="preserve"> </w:t>
            </w:r>
            <w:r w:rsidRPr="00FD0655">
              <w:rPr>
                <w:szCs w:val="20"/>
                <w:lang w:val="en-US"/>
              </w:rPr>
              <w:t>Liu</w:t>
            </w:r>
            <w:r>
              <w:rPr>
                <w:szCs w:val="20"/>
                <w:lang w:val="en-US"/>
              </w:rPr>
              <w:t xml:space="preserve">, </w:t>
            </w:r>
            <w:r w:rsidRPr="00FD0655">
              <w:rPr>
                <w:szCs w:val="20"/>
                <w:lang w:val="en-US"/>
              </w:rPr>
              <w:t>WB Feldman</w:t>
            </w:r>
            <w:r>
              <w:rPr>
                <w:szCs w:val="20"/>
                <w:lang w:val="en-US"/>
              </w:rPr>
              <w:t xml:space="preserve"> y </w:t>
            </w:r>
            <w:r w:rsidRPr="00FD0655">
              <w:rPr>
                <w:szCs w:val="20"/>
                <w:lang w:val="en-US"/>
              </w:rPr>
              <w:t xml:space="preserve">BN Rome </w:t>
            </w:r>
          </w:p>
        </w:tc>
        <w:tc>
          <w:tcPr>
            <w:tcW w:w="447" w:type="dxa"/>
            <w:tcMar>
              <w:top w:w="86" w:type="dxa"/>
              <w:left w:w="115" w:type="dxa"/>
              <w:right w:w="115" w:type="dxa"/>
            </w:tcMar>
          </w:tcPr>
          <w:p w14:paraId="37620AAE" w14:textId="77777777" w:rsidR="005C63A0" w:rsidRDefault="005C63A0" w:rsidP="005C63A0">
            <w:pPr>
              <w:jc w:val="center"/>
              <w:rPr>
                <w:lang w:val="en-US"/>
              </w:rPr>
            </w:pPr>
          </w:p>
          <w:p w14:paraId="7B0976F1" w14:textId="1135C8FC" w:rsidR="00E56EAE" w:rsidRPr="00E56EAE" w:rsidRDefault="00E56EAE" w:rsidP="005C63A0">
            <w:pPr>
              <w:jc w:val="center"/>
              <w:rPr>
                <w:lang w:val="en-US"/>
              </w:rPr>
            </w:pPr>
            <w:r>
              <w:rPr>
                <w:lang w:val="en-US"/>
              </w:rPr>
              <w:t>53</w:t>
            </w:r>
          </w:p>
        </w:tc>
      </w:tr>
      <w:tr w:rsidR="002A2E6A" w:rsidRPr="00F25512" w14:paraId="45101BB6" w14:textId="77777777" w:rsidTr="002A3C7E">
        <w:tc>
          <w:tcPr>
            <w:tcW w:w="9900" w:type="dxa"/>
            <w:tcBorders>
              <w:bottom w:val="single" w:sz="4" w:space="0" w:color="auto"/>
            </w:tcBorders>
            <w:tcMar>
              <w:top w:w="86" w:type="dxa"/>
              <w:left w:w="115" w:type="dxa"/>
              <w:right w:w="115" w:type="dxa"/>
            </w:tcMar>
          </w:tcPr>
          <w:p w14:paraId="2C2C2250" w14:textId="77777777" w:rsidR="002A2E6A" w:rsidRPr="00F25512" w:rsidRDefault="002A2E6A" w:rsidP="002A2E6A">
            <w:pPr>
              <w:rPr>
                <w:rFonts w:eastAsia="Times New Roman" w:cs="Times New Roman"/>
                <w:color w:val="0D0D0D" w:themeColor="text1" w:themeTint="F2"/>
                <w:szCs w:val="20"/>
                <w:lang w:val="en-US"/>
              </w:rPr>
            </w:pPr>
          </w:p>
        </w:tc>
        <w:tc>
          <w:tcPr>
            <w:tcW w:w="447" w:type="dxa"/>
            <w:tcMar>
              <w:top w:w="86" w:type="dxa"/>
              <w:left w:w="115" w:type="dxa"/>
              <w:right w:w="115" w:type="dxa"/>
            </w:tcMar>
          </w:tcPr>
          <w:p w14:paraId="342D3327" w14:textId="77777777" w:rsidR="002A2E6A" w:rsidRPr="00E56EAE" w:rsidRDefault="002A2E6A" w:rsidP="005C63A0">
            <w:pPr>
              <w:jc w:val="center"/>
              <w:rPr>
                <w:lang w:val="en-US"/>
              </w:rPr>
            </w:pPr>
          </w:p>
        </w:tc>
      </w:tr>
      <w:tr w:rsidR="005C63A0" w:rsidRPr="002A3C7E" w14:paraId="68AC0FF6" w14:textId="77777777" w:rsidTr="002A3C7E">
        <w:tc>
          <w:tcPr>
            <w:tcW w:w="9900" w:type="dxa"/>
            <w:tcBorders>
              <w:top w:val="single" w:sz="4" w:space="0" w:color="auto"/>
              <w:bottom w:val="single" w:sz="4" w:space="0" w:color="auto"/>
            </w:tcBorders>
            <w:tcMar>
              <w:top w:w="86" w:type="dxa"/>
              <w:left w:w="115" w:type="dxa"/>
              <w:right w:w="115" w:type="dxa"/>
            </w:tcMar>
          </w:tcPr>
          <w:p w14:paraId="6961F5D1" w14:textId="4AE65B68" w:rsidR="005C63A0" w:rsidRPr="002A3C7E" w:rsidRDefault="005C63A0" w:rsidP="002A3C7E">
            <w:pPr>
              <w:jc w:val="center"/>
              <w:rPr>
                <w:b/>
                <w:bCs/>
                <w:color w:val="000000" w:themeColor="text1"/>
                <w:sz w:val="24"/>
                <w:szCs w:val="32"/>
              </w:rPr>
            </w:pPr>
            <w:r w:rsidRPr="002A3C7E">
              <w:rPr>
                <w:b/>
                <w:bCs/>
                <w:color w:val="000000" w:themeColor="text1"/>
                <w:sz w:val="24"/>
                <w:szCs w:val="32"/>
              </w:rPr>
              <w:t>Asia</w:t>
            </w:r>
          </w:p>
        </w:tc>
        <w:tc>
          <w:tcPr>
            <w:tcW w:w="447" w:type="dxa"/>
            <w:tcMar>
              <w:top w:w="86" w:type="dxa"/>
              <w:left w:w="115" w:type="dxa"/>
              <w:right w:w="115" w:type="dxa"/>
            </w:tcMar>
          </w:tcPr>
          <w:p w14:paraId="6E20500E" w14:textId="77777777" w:rsidR="005C63A0" w:rsidRPr="002A3C7E" w:rsidRDefault="005C63A0" w:rsidP="005C63A0">
            <w:pPr>
              <w:jc w:val="center"/>
              <w:rPr>
                <w:b/>
                <w:bCs/>
                <w:color w:val="000000" w:themeColor="text1"/>
                <w:sz w:val="24"/>
                <w:szCs w:val="32"/>
              </w:rPr>
            </w:pPr>
          </w:p>
        </w:tc>
      </w:tr>
      <w:tr w:rsidR="005C63A0" w:rsidRPr="009121BF" w14:paraId="7CF907A7" w14:textId="77777777" w:rsidTr="002A3C7E">
        <w:tc>
          <w:tcPr>
            <w:tcW w:w="9900" w:type="dxa"/>
            <w:tcBorders>
              <w:top w:val="single" w:sz="4" w:space="0" w:color="auto"/>
            </w:tcBorders>
            <w:tcMar>
              <w:top w:w="86" w:type="dxa"/>
              <w:left w:w="115" w:type="dxa"/>
              <w:right w:w="115" w:type="dxa"/>
            </w:tcMar>
          </w:tcPr>
          <w:p w14:paraId="734CDC6E" w14:textId="3F3EB69B" w:rsidR="005C63A0" w:rsidRPr="00B178C9" w:rsidRDefault="005C63A0" w:rsidP="005C63A0">
            <w:pPr>
              <w:rPr>
                <w:b/>
                <w:bCs/>
                <w:color w:val="000000" w:themeColor="text1"/>
              </w:rPr>
            </w:pPr>
            <w:r w:rsidRPr="00753CDC">
              <w:rPr>
                <w:b/>
                <w:bCs/>
                <w:color w:val="000000" w:themeColor="text1"/>
              </w:rPr>
              <w:t>Muertes por DEG (</w:t>
            </w:r>
            <w:r w:rsidRPr="009F1F5E">
              <w:rPr>
                <w:b/>
                <w:bCs/>
                <w:i/>
                <w:iCs/>
                <w:color w:val="000000" w:themeColor="text1"/>
              </w:rPr>
              <w:t>dietilenglicol</w:t>
            </w:r>
            <w:r w:rsidRPr="00753CDC">
              <w:rPr>
                <w:b/>
                <w:bCs/>
                <w:color w:val="000000" w:themeColor="text1"/>
              </w:rPr>
              <w:t>): ¿Por qué India no puede detenerlas?</w:t>
            </w:r>
          </w:p>
          <w:p w14:paraId="754E5F66" w14:textId="3E10203F" w:rsidR="005C63A0" w:rsidRDefault="005C63A0" w:rsidP="005C63A0">
            <w:pPr>
              <w:spacing w:after="225"/>
              <w:contextualSpacing/>
              <w:outlineLvl w:val="0"/>
              <w:rPr>
                <w:rFonts w:eastAsia="Times New Roman" w:cs="Times New Roman"/>
                <w:color w:val="0D0D0D" w:themeColor="text1" w:themeTint="F2"/>
                <w:szCs w:val="20"/>
              </w:rPr>
            </w:pPr>
            <w:r>
              <w:t xml:space="preserve">R </w:t>
            </w:r>
            <w:proofErr w:type="spellStart"/>
            <w:r>
              <w:t>Nagarajan</w:t>
            </w:r>
            <w:proofErr w:type="spellEnd"/>
          </w:p>
        </w:tc>
        <w:tc>
          <w:tcPr>
            <w:tcW w:w="447" w:type="dxa"/>
            <w:tcMar>
              <w:top w:w="86" w:type="dxa"/>
              <w:left w:w="115" w:type="dxa"/>
              <w:right w:w="115" w:type="dxa"/>
            </w:tcMar>
          </w:tcPr>
          <w:p w14:paraId="6D5E9346" w14:textId="77777777" w:rsidR="005C63A0" w:rsidRDefault="005C63A0" w:rsidP="005C63A0">
            <w:pPr>
              <w:jc w:val="center"/>
              <w:rPr>
                <w:lang w:val="en-US"/>
              </w:rPr>
            </w:pPr>
          </w:p>
          <w:p w14:paraId="5AAEBF98" w14:textId="4EB064D7" w:rsidR="00E56EAE" w:rsidRPr="00E56EAE" w:rsidRDefault="00E56EAE" w:rsidP="005C63A0">
            <w:pPr>
              <w:jc w:val="center"/>
              <w:rPr>
                <w:lang w:val="en-US"/>
              </w:rPr>
            </w:pPr>
            <w:r>
              <w:rPr>
                <w:lang w:val="en-US"/>
              </w:rPr>
              <w:t>55</w:t>
            </w:r>
          </w:p>
        </w:tc>
      </w:tr>
      <w:tr w:rsidR="005C63A0" w:rsidRPr="009121BF" w14:paraId="3EDC0984" w14:textId="77777777" w:rsidTr="002A3C7E">
        <w:tc>
          <w:tcPr>
            <w:tcW w:w="9900" w:type="dxa"/>
            <w:tcBorders>
              <w:bottom w:val="single" w:sz="4" w:space="0" w:color="auto"/>
            </w:tcBorders>
            <w:tcMar>
              <w:top w:w="86" w:type="dxa"/>
              <w:left w:w="115" w:type="dxa"/>
              <w:right w:w="115" w:type="dxa"/>
            </w:tcMar>
          </w:tcPr>
          <w:p w14:paraId="3242F49B" w14:textId="77777777" w:rsidR="005C63A0" w:rsidRPr="00753CDC" w:rsidRDefault="005C63A0" w:rsidP="005C63A0">
            <w:pPr>
              <w:jc w:val="center"/>
              <w:rPr>
                <w:b/>
                <w:bCs/>
                <w:color w:val="000000" w:themeColor="text1"/>
              </w:rPr>
            </w:pPr>
          </w:p>
        </w:tc>
        <w:tc>
          <w:tcPr>
            <w:tcW w:w="447" w:type="dxa"/>
            <w:tcMar>
              <w:top w:w="86" w:type="dxa"/>
              <w:left w:w="115" w:type="dxa"/>
              <w:right w:w="115" w:type="dxa"/>
            </w:tcMar>
          </w:tcPr>
          <w:p w14:paraId="4DAE9D79" w14:textId="77777777" w:rsidR="005C63A0" w:rsidRPr="00E56EAE" w:rsidRDefault="005C63A0" w:rsidP="005C63A0">
            <w:pPr>
              <w:jc w:val="center"/>
              <w:rPr>
                <w:lang w:val="es-ES"/>
              </w:rPr>
            </w:pPr>
          </w:p>
        </w:tc>
      </w:tr>
      <w:tr w:rsidR="005C63A0" w:rsidRPr="009121BF" w14:paraId="0264ACF9" w14:textId="77777777" w:rsidTr="002A3C7E">
        <w:tc>
          <w:tcPr>
            <w:tcW w:w="9900" w:type="dxa"/>
            <w:tcBorders>
              <w:top w:val="single" w:sz="4" w:space="0" w:color="auto"/>
              <w:bottom w:val="single" w:sz="4" w:space="0" w:color="auto"/>
            </w:tcBorders>
            <w:tcMar>
              <w:top w:w="86" w:type="dxa"/>
              <w:left w:w="115" w:type="dxa"/>
              <w:right w:w="115" w:type="dxa"/>
            </w:tcMar>
          </w:tcPr>
          <w:p w14:paraId="4824705C" w14:textId="32127F0D" w:rsidR="005C63A0" w:rsidRPr="00D23460" w:rsidRDefault="005C63A0" w:rsidP="005C63A0">
            <w:pPr>
              <w:jc w:val="center"/>
              <w:rPr>
                <w:b/>
                <w:bCs/>
                <w:color w:val="000000" w:themeColor="text1"/>
                <w:sz w:val="24"/>
                <w:szCs w:val="32"/>
              </w:rPr>
            </w:pPr>
            <w:r w:rsidRPr="00D23460">
              <w:rPr>
                <w:b/>
                <w:bCs/>
                <w:color w:val="000000" w:themeColor="text1"/>
                <w:sz w:val="24"/>
                <w:szCs w:val="32"/>
              </w:rPr>
              <w:t>Oceanía</w:t>
            </w:r>
          </w:p>
        </w:tc>
        <w:tc>
          <w:tcPr>
            <w:tcW w:w="447" w:type="dxa"/>
            <w:tcMar>
              <w:top w:w="86" w:type="dxa"/>
              <w:left w:w="115" w:type="dxa"/>
              <w:right w:w="115" w:type="dxa"/>
            </w:tcMar>
          </w:tcPr>
          <w:p w14:paraId="38F74D7E" w14:textId="77777777" w:rsidR="005C63A0" w:rsidRPr="00E56EAE" w:rsidRDefault="005C63A0" w:rsidP="005C63A0">
            <w:pPr>
              <w:jc w:val="center"/>
              <w:rPr>
                <w:lang w:val="en-US"/>
              </w:rPr>
            </w:pPr>
          </w:p>
        </w:tc>
      </w:tr>
      <w:tr w:rsidR="005C63A0" w:rsidRPr="00D23460" w14:paraId="783E8CFC" w14:textId="77777777" w:rsidTr="002A3C7E">
        <w:tc>
          <w:tcPr>
            <w:tcW w:w="9900" w:type="dxa"/>
            <w:tcBorders>
              <w:top w:val="single" w:sz="4" w:space="0" w:color="auto"/>
            </w:tcBorders>
            <w:tcMar>
              <w:top w:w="86" w:type="dxa"/>
              <w:left w:w="115" w:type="dxa"/>
              <w:right w:w="115" w:type="dxa"/>
            </w:tcMar>
          </w:tcPr>
          <w:p w14:paraId="0BB70041" w14:textId="77777777" w:rsidR="008117C7" w:rsidRDefault="005C63A0" w:rsidP="008117C7">
            <w:pPr>
              <w:rPr>
                <w:rFonts w:eastAsia="Times New Roman" w:cs="Times New Roman"/>
                <w:b/>
                <w:szCs w:val="20"/>
              </w:rPr>
            </w:pPr>
            <w:r w:rsidRPr="009D3ABC">
              <w:rPr>
                <w:rFonts w:eastAsia="Times New Roman" w:cs="Times New Roman"/>
                <w:b/>
                <w:szCs w:val="20"/>
              </w:rPr>
              <w:t>Preocupación por los riesgos para la salud pública asociados con los productos peptídicos no aprobados</w:t>
            </w:r>
            <w:r>
              <w:rPr>
                <w:rFonts w:eastAsia="Times New Roman" w:cs="Times New Roman"/>
                <w:b/>
                <w:szCs w:val="20"/>
              </w:rPr>
              <w:t xml:space="preserve"> </w:t>
            </w:r>
          </w:p>
          <w:p w14:paraId="6B4C89E5" w14:textId="579F0CB2" w:rsidR="005C63A0" w:rsidRPr="00753CDC" w:rsidRDefault="005C63A0" w:rsidP="008117C7">
            <w:pPr>
              <w:rPr>
                <w:b/>
                <w:bCs/>
                <w:color w:val="000000" w:themeColor="text1"/>
              </w:rPr>
            </w:pPr>
            <w:r w:rsidRPr="004A6F54">
              <w:rPr>
                <w:rFonts w:eastAsia="Times New Roman" w:cs="Times New Roman"/>
                <w:i/>
                <w:iCs/>
                <w:szCs w:val="20"/>
              </w:rPr>
              <w:t>Administración de Productos Terapéuticos (TGA)</w:t>
            </w:r>
            <w:r>
              <w:rPr>
                <w:rFonts w:eastAsia="Times New Roman" w:cs="Times New Roman"/>
                <w:i/>
                <w:iCs/>
                <w:szCs w:val="20"/>
              </w:rPr>
              <w:t xml:space="preserve">, </w:t>
            </w:r>
            <w:r w:rsidRPr="009D3ABC">
              <w:rPr>
                <w:rFonts w:eastAsia="Times New Roman" w:cs="Times New Roman"/>
                <w:szCs w:val="20"/>
              </w:rPr>
              <w:t>19 de junio de 2026</w:t>
            </w:r>
          </w:p>
        </w:tc>
        <w:tc>
          <w:tcPr>
            <w:tcW w:w="447" w:type="dxa"/>
            <w:tcMar>
              <w:top w:w="86" w:type="dxa"/>
              <w:left w:w="115" w:type="dxa"/>
              <w:right w:w="115" w:type="dxa"/>
            </w:tcMar>
          </w:tcPr>
          <w:p w14:paraId="47D378D2" w14:textId="77777777" w:rsidR="005C63A0" w:rsidRDefault="005C63A0" w:rsidP="005C63A0">
            <w:pPr>
              <w:jc w:val="center"/>
            </w:pPr>
          </w:p>
          <w:p w14:paraId="7253144C" w14:textId="1BBF1CBD" w:rsidR="00E56EAE" w:rsidRPr="00E56EAE" w:rsidRDefault="00E56EAE" w:rsidP="005C63A0">
            <w:pPr>
              <w:jc w:val="center"/>
            </w:pPr>
            <w:r>
              <w:t>56</w:t>
            </w:r>
          </w:p>
        </w:tc>
      </w:tr>
    </w:tbl>
    <w:p w14:paraId="301E8E43" w14:textId="5AE19CDE" w:rsidR="005A3F3F" w:rsidRPr="00D23460" w:rsidRDefault="005A3F3F" w:rsidP="00B916D2">
      <w:pPr>
        <w:jc w:val="center"/>
        <w:rPr>
          <w:b/>
          <w:bCs/>
        </w:rPr>
      </w:pPr>
    </w:p>
    <w:p w14:paraId="36C7DB69" w14:textId="77777777" w:rsidR="00B916D2" w:rsidRPr="00D23460" w:rsidRDefault="00B916D2" w:rsidP="00B916D2">
      <w:pPr>
        <w:jc w:val="center"/>
        <w:rPr>
          <w:b/>
          <w:bCs/>
        </w:rPr>
      </w:pPr>
    </w:p>
    <w:p w14:paraId="5E6FB789" w14:textId="77777777" w:rsidR="00F25512" w:rsidRDefault="00F25512">
      <w:pPr>
        <w:spacing w:after="160" w:line="278" w:lineRule="auto"/>
        <w:rPr>
          <w:b/>
          <w:bCs/>
          <w:sz w:val="24"/>
          <w:szCs w:val="32"/>
        </w:rPr>
        <w:sectPr w:rsidR="00F25512" w:rsidSect="006B5B9D">
          <w:headerReference w:type="default" r:id="rId15"/>
          <w:type w:val="continuous"/>
          <w:pgSz w:w="12240" w:h="15840" w:code="1"/>
          <w:pgMar w:top="720" w:right="720" w:bottom="720" w:left="720" w:header="288" w:footer="288" w:gutter="0"/>
          <w:cols w:space="288"/>
          <w:docGrid w:linePitch="360"/>
        </w:sectPr>
      </w:pPr>
    </w:p>
    <w:p w14:paraId="0FCD0C5D" w14:textId="0F959B72" w:rsidR="00C07879" w:rsidRDefault="006D53B5" w:rsidP="00C07879">
      <w:pPr>
        <w:jc w:val="center"/>
        <w:rPr>
          <w:b/>
          <w:bCs/>
          <w:sz w:val="24"/>
          <w:szCs w:val="32"/>
        </w:rPr>
      </w:pPr>
      <w:r w:rsidRPr="001505F7">
        <w:rPr>
          <w:b/>
          <w:bCs/>
          <w:sz w:val="24"/>
          <w:szCs w:val="32"/>
        </w:rPr>
        <w:lastRenderedPageBreak/>
        <w:t>Regulación</w:t>
      </w:r>
      <w:r w:rsidR="001206EF" w:rsidRPr="001505F7">
        <w:rPr>
          <w:b/>
          <w:bCs/>
          <w:sz w:val="24"/>
          <w:szCs w:val="32"/>
        </w:rPr>
        <w:t xml:space="preserve"> Internacional</w:t>
      </w:r>
    </w:p>
    <w:p w14:paraId="6A7ECBA1" w14:textId="77777777" w:rsidR="00C07879" w:rsidRDefault="00C07879" w:rsidP="00C07879">
      <w:pPr>
        <w:jc w:val="center"/>
        <w:rPr>
          <w:b/>
          <w:bCs/>
        </w:rPr>
      </w:pPr>
    </w:p>
    <w:p w14:paraId="49731E0E" w14:textId="40F8471D" w:rsidR="00B140EF" w:rsidRDefault="001B12CC" w:rsidP="00B140EF">
      <w:pPr>
        <w:pStyle w:val="Sinespaciado"/>
        <w:jc w:val="center"/>
        <w:rPr>
          <w:b/>
          <w:bCs/>
        </w:rPr>
      </w:pPr>
      <w:r>
        <w:rPr>
          <w:b/>
          <w:bCs/>
        </w:rPr>
        <w:t>Report</w:t>
      </w:r>
      <w:r w:rsidR="00B140EF" w:rsidRPr="00B140EF">
        <w:rPr>
          <w:b/>
          <w:bCs/>
        </w:rPr>
        <w:t>e</w:t>
      </w:r>
      <w:r w:rsidR="00B140EF">
        <w:rPr>
          <w:b/>
          <w:bCs/>
        </w:rPr>
        <w:t xml:space="preserve"> </w:t>
      </w:r>
      <w:proofErr w:type="spellStart"/>
      <w:r w:rsidR="00B140EF">
        <w:rPr>
          <w:b/>
          <w:bCs/>
        </w:rPr>
        <w:t>N</w:t>
      </w:r>
      <w:r w:rsidR="00B140EF" w:rsidRPr="00B140EF">
        <w:rPr>
          <w:b/>
          <w:bCs/>
        </w:rPr>
        <w:t>º</w:t>
      </w:r>
      <w:proofErr w:type="spellEnd"/>
      <w:r w:rsidR="00B140EF">
        <w:rPr>
          <w:b/>
          <w:bCs/>
        </w:rPr>
        <w:t xml:space="preserve"> 59:</w:t>
      </w:r>
      <w:r w:rsidR="00B140EF" w:rsidRPr="00B140EF">
        <w:rPr>
          <w:b/>
          <w:bCs/>
        </w:rPr>
        <w:t xml:space="preserve"> Comité de Expertos de la OMS sobre Especificaciones para Preparaciones Farmacéuticas</w:t>
      </w:r>
    </w:p>
    <w:p w14:paraId="418ED18F" w14:textId="79A6B801" w:rsidR="001B12CC" w:rsidRPr="001B12CC" w:rsidRDefault="001B12CC" w:rsidP="00B140EF">
      <w:pPr>
        <w:pStyle w:val="Sinespaciado"/>
        <w:jc w:val="center"/>
        <w:rPr>
          <w:i/>
          <w:iCs/>
          <w:lang w:val="en-US"/>
        </w:rPr>
      </w:pPr>
      <w:r w:rsidRPr="001B12CC">
        <w:rPr>
          <w:i/>
          <w:iCs/>
          <w:lang w:val="en-US"/>
        </w:rPr>
        <w:t>(WHO Expert Committee on Specifications for Pharmaceutical Preparations: fifty-ninth report)</w:t>
      </w:r>
    </w:p>
    <w:p w14:paraId="6054E91C" w14:textId="65B99571" w:rsidR="00B140EF" w:rsidRDefault="00B140EF" w:rsidP="00B140EF">
      <w:pPr>
        <w:pStyle w:val="Sinespaciado"/>
        <w:jc w:val="center"/>
      </w:pPr>
      <w:r w:rsidRPr="001B12CC">
        <w:rPr>
          <w:i/>
          <w:iCs/>
        </w:rPr>
        <w:t>Organización Mundial de la Salud (OMS)</w:t>
      </w:r>
      <w:r>
        <w:t xml:space="preserve">, </w:t>
      </w:r>
      <w:proofErr w:type="spellStart"/>
      <w:r w:rsidR="00527901" w:rsidRPr="00527901">
        <w:t>xxviii</w:t>
      </w:r>
      <w:proofErr w:type="spellEnd"/>
      <w:r w:rsidR="00527901" w:rsidRPr="00527901">
        <w:t xml:space="preserve">, </w:t>
      </w:r>
      <w:r w:rsidR="00527901">
        <w:t xml:space="preserve">p. </w:t>
      </w:r>
      <w:r w:rsidR="00527901" w:rsidRPr="00527901">
        <w:t>518</w:t>
      </w:r>
      <w:r w:rsidR="00527901">
        <w:t xml:space="preserve">. ISBN Versión electrónica </w:t>
      </w:r>
      <w:r w:rsidR="00527901" w:rsidRPr="00527901">
        <w:t>9789240121621</w:t>
      </w:r>
    </w:p>
    <w:p w14:paraId="17A10C93" w14:textId="43E391D0" w:rsidR="001B12CC" w:rsidRDefault="00B00DA4" w:rsidP="00B140EF">
      <w:pPr>
        <w:pStyle w:val="Sinespaciado"/>
        <w:jc w:val="center"/>
      </w:pPr>
      <w:hyperlink r:id="rId16" w:history="1">
        <w:r w:rsidR="001B12CC" w:rsidRPr="00D9077B">
          <w:rPr>
            <w:rStyle w:val="Hipervnculo"/>
          </w:rPr>
          <w:t>https://iris.who.int/items/89887f30-f537-44e8-bbd2-9ec886282bed</w:t>
        </w:r>
      </w:hyperlink>
    </w:p>
    <w:p w14:paraId="5B96CC1F" w14:textId="77777777" w:rsidR="00B140EF" w:rsidRDefault="00B140EF" w:rsidP="001B12CC">
      <w:pPr>
        <w:jc w:val="center"/>
      </w:pPr>
      <w:r>
        <w:rPr>
          <w:rFonts w:eastAsia="Times New Roman" w:cs="Times New Roman"/>
          <w:szCs w:val="20"/>
        </w:rPr>
        <w:t xml:space="preserve">Traducido por Salud y Fármacos, publicado en </w:t>
      </w:r>
      <w:r w:rsidRPr="00CA5ACC">
        <w:rPr>
          <w:rFonts w:cs="Times New Roman"/>
          <w:i/>
          <w:iCs/>
          <w:szCs w:val="20"/>
        </w:rPr>
        <w:t>Boletín Fármacos</w:t>
      </w:r>
      <w:r w:rsidRPr="00734AA9">
        <w:rPr>
          <w:rFonts w:cs="Times New Roman"/>
          <w:i/>
          <w:szCs w:val="20"/>
          <w:lang w:val="es-ES"/>
        </w:rPr>
        <w:t xml:space="preserve">: </w:t>
      </w:r>
      <w:r>
        <w:rPr>
          <w:rFonts w:cs="Times New Roman"/>
          <w:i/>
          <w:szCs w:val="20"/>
          <w:lang w:val="es-ES"/>
        </w:rPr>
        <w:t>Agencias Reguladoras</w:t>
      </w:r>
      <w:r w:rsidRPr="00A82C9C">
        <w:rPr>
          <w:rFonts w:eastAsia="Times New Roman" w:cs="Times New Roman"/>
          <w:bCs/>
          <w:i/>
          <w:iCs/>
          <w:color w:val="000000" w:themeColor="text1"/>
          <w:szCs w:val="16"/>
          <w:lang w:val="es-ES"/>
        </w:rPr>
        <w:t xml:space="preserve"> 202</w:t>
      </w:r>
      <w:r>
        <w:rPr>
          <w:rFonts w:eastAsia="Times New Roman" w:cs="Times New Roman"/>
          <w:bCs/>
          <w:i/>
          <w:iCs/>
          <w:color w:val="000000" w:themeColor="text1"/>
          <w:szCs w:val="16"/>
          <w:lang w:val="es-ES"/>
        </w:rPr>
        <w:t>6</w:t>
      </w:r>
      <w:r w:rsidRPr="00A82C9C">
        <w:rPr>
          <w:rFonts w:eastAsia="Times New Roman" w:cs="Times New Roman"/>
          <w:bCs/>
          <w:i/>
          <w:iCs/>
          <w:color w:val="000000" w:themeColor="text1"/>
          <w:szCs w:val="16"/>
          <w:lang w:val="es-ES"/>
        </w:rPr>
        <w:t>; 2</w:t>
      </w:r>
      <w:r>
        <w:rPr>
          <w:rFonts w:eastAsia="Times New Roman" w:cs="Times New Roman"/>
          <w:bCs/>
          <w:i/>
          <w:iCs/>
          <w:color w:val="000000" w:themeColor="text1"/>
          <w:szCs w:val="16"/>
          <w:lang w:val="es-ES"/>
        </w:rPr>
        <w:t>9</w:t>
      </w:r>
      <w:r w:rsidRPr="00A82C9C">
        <w:rPr>
          <w:rFonts w:eastAsia="Times New Roman" w:cs="Times New Roman"/>
          <w:bCs/>
          <w:i/>
          <w:iCs/>
          <w:color w:val="000000" w:themeColor="text1"/>
          <w:szCs w:val="16"/>
          <w:lang w:val="es-ES"/>
        </w:rPr>
        <w:t>(</w:t>
      </w:r>
      <w:r>
        <w:rPr>
          <w:rFonts w:eastAsia="Times New Roman" w:cs="Times New Roman"/>
          <w:bCs/>
          <w:i/>
          <w:iCs/>
          <w:color w:val="000000" w:themeColor="text1"/>
          <w:szCs w:val="16"/>
          <w:lang w:val="es-ES"/>
        </w:rPr>
        <w:t>3</w:t>
      </w:r>
      <w:r w:rsidRPr="00A82C9C">
        <w:rPr>
          <w:rFonts w:eastAsia="Times New Roman" w:cs="Times New Roman"/>
          <w:bCs/>
          <w:i/>
          <w:iCs/>
          <w:color w:val="000000" w:themeColor="text1"/>
          <w:szCs w:val="16"/>
          <w:lang w:val="es-ES"/>
        </w:rPr>
        <w:t>)</w:t>
      </w:r>
    </w:p>
    <w:p w14:paraId="4321993A" w14:textId="77777777" w:rsidR="00B140EF" w:rsidRDefault="00B140EF" w:rsidP="00B140EF">
      <w:pPr>
        <w:rPr>
          <w:color w:val="000000" w:themeColor="text1"/>
        </w:rPr>
      </w:pPr>
    </w:p>
    <w:p w14:paraId="47798F17" w14:textId="77777777" w:rsidR="00F25512" w:rsidRDefault="00F25512" w:rsidP="00B140EF">
      <w:pPr>
        <w:pStyle w:val="Sinespaciado"/>
        <w:rPr>
          <w:b/>
          <w:bCs/>
          <w:color w:val="000000" w:themeColor="text1"/>
          <w:sz w:val="18"/>
          <w:szCs w:val="22"/>
        </w:rPr>
        <w:sectPr w:rsidR="00F25512" w:rsidSect="00754C32">
          <w:headerReference w:type="default" r:id="rId17"/>
          <w:footerReference w:type="default" r:id="rId18"/>
          <w:pgSz w:w="12240" w:h="15840" w:code="1"/>
          <w:pgMar w:top="720" w:right="720" w:bottom="720" w:left="720" w:header="288" w:footer="288" w:gutter="0"/>
          <w:pgNumType w:start="1"/>
          <w:cols w:space="288"/>
          <w:docGrid w:linePitch="360"/>
        </w:sectPr>
      </w:pPr>
    </w:p>
    <w:p w14:paraId="141CC696" w14:textId="7ED188C9" w:rsidR="00B140EF" w:rsidRPr="00D20158" w:rsidRDefault="00B140EF" w:rsidP="00B140EF">
      <w:pPr>
        <w:pStyle w:val="Sinespaciado"/>
        <w:rPr>
          <w:b/>
          <w:bCs/>
          <w:color w:val="000000" w:themeColor="text1"/>
          <w:sz w:val="16"/>
          <w:szCs w:val="20"/>
        </w:rPr>
      </w:pPr>
      <w:r w:rsidRPr="00753CDC">
        <w:rPr>
          <w:b/>
          <w:bCs/>
          <w:color w:val="000000" w:themeColor="text1"/>
          <w:sz w:val="18"/>
          <w:szCs w:val="22"/>
        </w:rPr>
        <w:t>Tags:</w:t>
      </w:r>
      <w:r w:rsidR="001B12CC">
        <w:rPr>
          <w:b/>
          <w:bCs/>
          <w:color w:val="000000" w:themeColor="text1"/>
          <w:sz w:val="18"/>
          <w:szCs w:val="22"/>
        </w:rPr>
        <w:t xml:space="preserve"> </w:t>
      </w:r>
      <w:r w:rsidR="00527901" w:rsidRPr="00527901">
        <w:rPr>
          <w:b/>
          <w:bCs/>
          <w:sz w:val="18"/>
          <w:szCs w:val="22"/>
        </w:rPr>
        <w:t>Comité de Expertos OMS</w:t>
      </w:r>
      <w:r w:rsidR="00527901">
        <w:rPr>
          <w:b/>
          <w:bCs/>
          <w:sz w:val="18"/>
          <w:szCs w:val="22"/>
        </w:rPr>
        <w:t>,</w:t>
      </w:r>
      <w:r w:rsidR="00527901" w:rsidRPr="00527901">
        <w:rPr>
          <w:b/>
          <w:bCs/>
          <w:sz w:val="18"/>
          <w:szCs w:val="22"/>
        </w:rPr>
        <w:t xml:space="preserve"> Especificaciones para Preparaciones Farmacéuticas</w:t>
      </w:r>
      <w:r w:rsidR="001502A6">
        <w:rPr>
          <w:b/>
          <w:bCs/>
          <w:sz w:val="18"/>
          <w:szCs w:val="22"/>
        </w:rPr>
        <w:t xml:space="preserve">, </w:t>
      </w:r>
      <w:r w:rsidR="00D20158" w:rsidRPr="00D20158">
        <w:rPr>
          <w:b/>
          <w:bCs/>
          <w:sz w:val="18"/>
          <w:szCs w:val="22"/>
        </w:rPr>
        <w:t>sustancias de referencia internacionales, Farmacopea Internacional</w:t>
      </w:r>
      <w:r w:rsidR="007F580C">
        <w:rPr>
          <w:b/>
          <w:bCs/>
          <w:sz w:val="18"/>
          <w:szCs w:val="22"/>
        </w:rPr>
        <w:t xml:space="preserve">, </w:t>
      </w:r>
      <w:r w:rsidR="007F580C" w:rsidRPr="007F580C">
        <w:rPr>
          <w:b/>
          <w:bCs/>
          <w:sz w:val="18"/>
          <w:szCs w:val="22"/>
        </w:rPr>
        <w:t>buenas prácticas de fabricación, buenas prácticas de inspección</w:t>
      </w:r>
      <w:r w:rsidR="007F580C" w:rsidRPr="007F580C">
        <w:rPr>
          <w:b/>
          <w:bCs/>
          <w:sz w:val="18"/>
          <w:szCs w:val="18"/>
        </w:rPr>
        <w:t>, procedimientos de precalificación</w:t>
      </w:r>
    </w:p>
    <w:p w14:paraId="2EB65CB3" w14:textId="77777777" w:rsidR="00B140EF" w:rsidRDefault="00B140EF" w:rsidP="001502A6">
      <w:pPr>
        <w:pStyle w:val="Sinespaciado"/>
      </w:pPr>
    </w:p>
    <w:p w14:paraId="279E4F44" w14:textId="051EB334" w:rsidR="001502A6" w:rsidRPr="001502A6" w:rsidRDefault="001502A6" w:rsidP="001502A6">
      <w:pPr>
        <w:pStyle w:val="Sinespaciado"/>
        <w:rPr>
          <w:b/>
          <w:bCs/>
        </w:rPr>
      </w:pPr>
      <w:r w:rsidRPr="001502A6">
        <w:rPr>
          <w:b/>
          <w:bCs/>
        </w:rPr>
        <w:t>Resumen</w:t>
      </w:r>
    </w:p>
    <w:p w14:paraId="347FB1D6" w14:textId="40460B3A" w:rsidR="00B140EF" w:rsidRDefault="00B140EF" w:rsidP="00B140EF">
      <w:pPr>
        <w:pStyle w:val="Sinespaciado"/>
      </w:pPr>
      <w:r>
        <w:t xml:space="preserve">Este informe presenta las conclusiones, los debates y las recomendaciones de la 59.ª reunión del Comité de Expertos de la OMS sobre Especificaciones para Preparaciones Farmacéuticas, celebrada en octubre de 2025. </w:t>
      </w:r>
      <w:r w:rsidR="001502A6">
        <w:t xml:space="preserve">Este reporte </w:t>
      </w:r>
      <w:r w:rsidR="00C07879">
        <w:t>forma</w:t>
      </w:r>
      <w:r>
        <w:t xml:space="preserve"> parte de la Serie de Informes Técnicos de la OMS y contribuye a la labor normativa de la Organización</w:t>
      </w:r>
      <w:r w:rsidR="00320DD4">
        <w:t>:</w:t>
      </w:r>
      <w:r>
        <w:t xml:space="preserve"> el establecimiento de normas internacionales para garantizar la calidad, la seguridad y la eficacia de los medicamentos. El informe refleja el mandato de la OMS de apoyar a los Estados Miembros </w:t>
      </w:r>
      <w:r w:rsidR="00320DD4">
        <w:t>ofreciéndoles</w:t>
      </w:r>
      <w:r>
        <w:t xml:space="preserve"> orientaci</w:t>
      </w:r>
      <w:r w:rsidR="00320DD4">
        <w:t>ones</w:t>
      </w:r>
      <w:r>
        <w:t xml:space="preserve"> basada</w:t>
      </w:r>
      <w:r w:rsidR="00320DD4">
        <w:t>s</w:t>
      </w:r>
      <w:r>
        <w:t xml:space="preserve"> en la evidencia sobre </w:t>
      </w:r>
      <w:r w:rsidR="00320DD4">
        <w:t>cómo garantizar</w:t>
      </w:r>
      <w:r>
        <w:t xml:space="preserve"> la calidad farmacéutica, los marcos regulatorios y el acceso a productos médicos esenciales.</w:t>
      </w:r>
    </w:p>
    <w:p w14:paraId="7619104F" w14:textId="77777777" w:rsidR="001502A6" w:rsidRDefault="001502A6" w:rsidP="00B140EF">
      <w:pPr>
        <w:pStyle w:val="Sinespaciado"/>
      </w:pPr>
    </w:p>
    <w:p w14:paraId="26536AC1" w14:textId="6990DF11" w:rsidR="00890EEA" w:rsidRDefault="00B140EF" w:rsidP="00B140EF">
      <w:pPr>
        <w:pStyle w:val="Sinespaciado"/>
      </w:pPr>
      <w:r>
        <w:t xml:space="preserve">El documento resume las actualizaciones técnicas y las deliberaciones </w:t>
      </w:r>
      <w:r w:rsidR="00320DD4">
        <w:t>alrededor de</w:t>
      </w:r>
      <w:r>
        <w:t xml:space="preserve"> una amplia gama de </w:t>
      </w:r>
      <w:r w:rsidR="00320DD4">
        <w:t>temas</w:t>
      </w:r>
      <w:r>
        <w:t xml:space="preserve">, incluyendo la Farmacopea Internacional, las especificaciones </w:t>
      </w:r>
      <w:r w:rsidR="00320DD4">
        <w:t>sobre el</w:t>
      </w:r>
      <w:r>
        <w:t xml:space="preserve"> control de calidad, las sustancias de referencia internacionales y las buenas prácticas de fabricación e inspección. También aborda la orientación regulatoria, los procedimientos de precalificación y las medidas relacionadas con la distribución, las cadenas de suministro y</w:t>
      </w:r>
      <w:r w:rsidR="00E83F5E">
        <w:t xml:space="preserve"> el monitoreo del mercado</w:t>
      </w:r>
      <w:r>
        <w:t xml:space="preserve">. El informe recopila las directrices adoptadas, los textos revisados y las recomendaciones </w:t>
      </w:r>
      <w:r w:rsidR="00320DD4">
        <w:t>para</w:t>
      </w:r>
      <w:r>
        <w:t xml:space="preserve"> fortalecer los sistemas regulatorios, promover la armonización y apoyar la disponibilidad mundial de medicamentos seguros, eficaces y con garantía de calidad.</w:t>
      </w:r>
    </w:p>
    <w:p w14:paraId="5B31221C" w14:textId="77777777" w:rsidR="007F580C" w:rsidRDefault="007F580C" w:rsidP="00B140EF">
      <w:pPr>
        <w:pStyle w:val="Sinespaciado"/>
      </w:pPr>
    </w:p>
    <w:p w14:paraId="35F66FCA" w14:textId="7529C414" w:rsidR="007F580C" w:rsidRDefault="00B54B6F" w:rsidP="00B140EF">
      <w:pPr>
        <w:pStyle w:val="Sinespaciado"/>
      </w:pPr>
      <w:r w:rsidRPr="00B54B6F">
        <w:rPr>
          <w:b/>
          <w:bCs/>
        </w:rPr>
        <w:t>Nota de Salud y Fármacos:</w:t>
      </w:r>
      <w:r>
        <w:t xml:space="preserve"> Descargue aquí el documento completo en inglés del Reporte N. 59 de la OMS: </w:t>
      </w:r>
      <w:hyperlink r:id="rId19" w:history="1">
        <w:r w:rsidRPr="00D9077B">
          <w:rPr>
            <w:rStyle w:val="Hipervnculo"/>
          </w:rPr>
          <w:t>https://iris.who.int/server/api/core/bitstreams/d0681347-cb2b-4291-8f92-917f28be0893/content</w:t>
        </w:r>
      </w:hyperlink>
    </w:p>
    <w:p w14:paraId="687D3C25" w14:textId="77777777" w:rsidR="00F25512" w:rsidRDefault="00F25512" w:rsidP="00B54B6F">
      <w:pPr>
        <w:rPr>
          <w:b/>
          <w:bCs/>
          <w:color w:val="000000" w:themeColor="text1"/>
        </w:rPr>
        <w:sectPr w:rsidR="00F25512" w:rsidSect="00F25512">
          <w:type w:val="continuous"/>
          <w:pgSz w:w="12240" w:h="15840" w:code="1"/>
          <w:pgMar w:top="720" w:right="720" w:bottom="720" w:left="720" w:header="288" w:footer="288" w:gutter="0"/>
          <w:cols w:num="2" w:space="288"/>
          <w:docGrid w:linePitch="360"/>
        </w:sectPr>
      </w:pPr>
    </w:p>
    <w:p w14:paraId="69DF20DF" w14:textId="1D7339CD" w:rsidR="00B140EF" w:rsidRDefault="00B140EF" w:rsidP="00B54B6F">
      <w:pPr>
        <w:rPr>
          <w:b/>
          <w:bCs/>
          <w:color w:val="000000" w:themeColor="text1"/>
        </w:rPr>
      </w:pPr>
    </w:p>
    <w:p w14:paraId="17316AD9" w14:textId="77777777" w:rsidR="00B140EF" w:rsidRDefault="00B140EF" w:rsidP="00787737">
      <w:pPr>
        <w:ind w:left="180" w:hanging="180"/>
        <w:jc w:val="center"/>
        <w:rPr>
          <w:b/>
          <w:bCs/>
          <w:color w:val="000000" w:themeColor="text1"/>
        </w:rPr>
      </w:pPr>
    </w:p>
    <w:p w14:paraId="1B658C47" w14:textId="77777777" w:rsidR="005B5476" w:rsidRDefault="005B5476" w:rsidP="005B5476">
      <w:pPr>
        <w:jc w:val="center"/>
        <w:rPr>
          <w:b/>
          <w:bCs/>
        </w:rPr>
      </w:pPr>
      <w:r w:rsidRPr="00AD58FE">
        <w:rPr>
          <w:b/>
          <w:bCs/>
        </w:rPr>
        <w:t xml:space="preserve">Lista de </w:t>
      </w:r>
      <w:r>
        <w:rPr>
          <w:b/>
          <w:bCs/>
        </w:rPr>
        <w:t>m</w:t>
      </w:r>
      <w:r w:rsidRPr="00AD58FE">
        <w:rPr>
          <w:b/>
          <w:bCs/>
        </w:rPr>
        <w:t xml:space="preserve">edicamentos </w:t>
      </w:r>
      <w:r>
        <w:rPr>
          <w:b/>
          <w:bCs/>
        </w:rPr>
        <w:t>e</w:t>
      </w:r>
      <w:r w:rsidRPr="00AD58FE">
        <w:rPr>
          <w:b/>
          <w:bCs/>
        </w:rPr>
        <w:t xml:space="preserve">senciales y </w:t>
      </w:r>
      <w:r>
        <w:rPr>
          <w:b/>
          <w:bCs/>
        </w:rPr>
        <w:t>e</w:t>
      </w:r>
      <w:r w:rsidRPr="00AD58FE">
        <w:rPr>
          <w:b/>
          <w:bCs/>
        </w:rPr>
        <w:t xml:space="preserve">valuación de </w:t>
      </w:r>
      <w:r>
        <w:rPr>
          <w:b/>
          <w:bCs/>
        </w:rPr>
        <w:t>t</w:t>
      </w:r>
      <w:r w:rsidRPr="00AD58FE">
        <w:rPr>
          <w:b/>
          <w:bCs/>
        </w:rPr>
        <w:t xml:space="preserve">ecnologías </w:t>
      </w:r>
      <w:r>
        <w:rPr>
          <w:b/>
          <w:bCs/>
        </w:rPr>
        <w:t>s</w:t>
      </w:r>
      <w:r w:rsidRPr="00AD58FE">
        <w:rPr>
          <w:b/>
          <w:bCs/>
        </w:rPr>
        <w:t>anitarias</w:t>
      </w:r>
      <w:r>
        <w:rPr>
          <w:b/>
          <w:bCs/>
        </w:rPr>
        <w:t>:</w:t>
      </w:r>
      <w:r w:rsidRPr="00AD58FE">
        <w:rPr>
          <w:b/>
          <w:bCs/>
        </w:rPr>
        <w:t xml:space="preserve"> </w:t>
      </w:r>
    </w:p>
    <w:p w14:paraId="21C33418" w14:textId="77777777" w:rsidR="005B5476" w:rsidRDefault="005B5476" w:rsidP="005B5476">
      <w:pPr>
        <w:jc w:val="center"/>
        <w:rPr>
          <w:b/>
          <w:bCs/>
        </w:rPr>
      </w:pPr>
      <w:r w:rsidRPr="00AD58FE">
        <w:rPr>
          <w:b/>
          <w:bCs/>
        </w:rPr>
        <w:t>Dos estrategias complementarias para priorizar medicamentos en los sistemas de salud</w:t>
      </w:r>
      <w:r>
        <w:rPr>
          <w:b/>
          <w:bCs/>
        </w:rPr>
        <w:t xml:space="preserve"> </w:t>
      </w:r>
    </w:p>
    <w:p w14:paraId="58B24E51" w14:textId="77777777" w:rsidR="005B5476" w:rsidRPr="00C07879" w:rsidRDefault="005B5476" w:rsidP="005B5476">
      <w:pPr>
        <w:jc w:val="center"/>
        <w:rPr>
          <w:b/>
          <w:bCs/>
          <w:color w:val="FF0000"/>
        </w:rPr>
      </w:pPr>
      <w:r w:rsidRPr="00C07879">
        <w:rPr>
          <w:i/>
          <w:iCs/>
        </w:rPr>
        <w:t>(</w:t>
      </w:r>
      <w:proofErr w:type="spellStart"/>
      <w:r w:rsidRPr="00C07879">
        <w:rPr>
          <w:i/>
          <w:iCs/>
        </w:rPr>
        <w:t>Essential</w:t>
      </w:r>
      <w:proofErr w:type="spellEnd"/>
      <w:r w:rsidRPr="00C07879">
        <w:rPr>
          <w:i/>
          <w:iCs/>
        </w:rPr>
        <w:t xml:space="preserve"> Medicines </w:t>
      </w:r>
      <w:proofErr w:type="spellStart"/>
      <w:r w:rsidRPr="00C07879">
        <w:rPr>
          <w:i/>
          <w:iCs/>
        </w:rPr>
        <w:t>List</w:t>
      </w:r>
      <w:proofErr w:type="spellEnd"/>
      <w:r w:rsidRPr="00C07879">
        <w:rPr>
          <w:i/>
          <w:iCs/>
        </w:rPr>
        <w:t xml:space="preserve"> and </w:t>
      </w:r>
      <w:proofErr w:type="spellStart"/>
      <w:r w:rsidRPr="00C07879">
        <w:rPr>
          <w:i/>
          <w:iCs/>
        </w:rPr>
        <w:t>Health</w:t>
      </w:r>
      <w:proofErr w:type="spellEnd"/>
      <w:r w:rsidRPr="00C07879">
        <w:rPr>
          <w:i/>
          <w:iCs/>
        </w:rPr>
        <w:t xml:space="preserve"> </w:t>
      </w:r>
      <w:proofErr w:type="spellStart"/>
      <w:r w:rsidRPr="00C07879">
        <w:rPr>
          <w:i/>
          <w:iCs/>
        </w:rPr>
        <w:t>Technology</w:t>
      </w:r>
      <w:proofErr w:type="spellEnd"/>
      <w:r w:rsidRPr="00C07879">
        <w:rPr>
          <w:i/>
          <w:iCs/>
        </w:rPr>
        <w:t xml:space="preserve"> </w:t>
      </w:r>
      <w:proofErr w:type="spellStart"/>
      <w:r w:rsidRPr="00C07879">
        <w:rPr>
          <w:i/>
          <w:iCs/>
        </w:rPr>
        <w:t>Assessment</w:t>
      </w:r>
      <w:proofErr w:type="spellEnd"/>
      <w:r w:rsidRPr="00C07879">
        <w:rPr>
          <w:i/>
          <w:iCs/>
        </w:rPr>
        <w:t xml:space="preserve">: </w:t>
      </w:r>
      <w:proofErr w:type="spellStart"/>
      <w:r w:rsidRPr="00C07879">
        <w:rPr>
          <w:i/>
          <w:iCs/>
        </w:rPr>
        <w:t>Two</w:t>
      </w:r>
      <w:proofErr w:type="spellEnd"/>
      <w:r w:rsidRPr="00C07879">
        <w:rPr>
          <w:i/>
          <w:iCs/>
        </w:rPr>
        <w:t xml:space="preserve"> </w:t>
      </w:r>
      <w:proofErr w:type="spellStart"/>
      <w:r w:rsidRPr="00C07879">
        <w:rPr>
          <w:i/>
          <w:iCs/>
        </w:rPr>
        <w:t>complementary</w:t>
      </w:r>
      <w:proofErr w:type="spellEnd"/>
      <w:r w:rsidRPr="00C07879">
        <w:rPr>
          <w:i/>
          <w:iCs/>
        </w:rPr>
        <w:t xml:space="preserve"> </w:t>
      </w:r>
      <w:proofErr w:type="spellStart"/>
      <w:r w:rsidRPr="00C07879">
        <w:rPr>
          <w:i/>
          <w:iCs/>
        </w:rPr>
        <w:t>strategies</w:t>
      </w:r>
      <w:proofErr w:type="spellEnd"/>
      <w:r w:rsidRPr="00C07879">
        <w:rPr>
          <w:i/>
          <w:iCs/>
        </w:rPr>
        <w:t xml:space="preserve"> </w:t>
      </w:r>
      <w:proofErr w:type="spellStart"/>
      <w:r w:rsidRPr="00C07879">
        <w:rPr>
          <w:i/>
          <w:iCs/>
        </w:rPr>
        <w:t>to</w:t>
      </w:r>
      <w:proofErr w:type="spellEnd"/>
      <w:r w:rsidRPr="00C07879">
        <w:rPr>
          <w:i/>
          <w:iCs/>
        </w:rPr>
        <w:t xml:space="preserve"> </w:t>
      </w:r>
      <w:proofErr w:type="spellStart"/>
      <w:r w:rsidRPr="00C07879">
        <w:rPr>
          <w:i/>
          <w:iCs/>
        </w:rPr>
        <w:t>prioritize</w:t>
      </w:r>
      <w:proofErr w:type="spellEnd"/>
      <w:r w:rsidRPr="00C07879">
        <w:rPr>
          <w:i/>
          <w:iCs/>
        </w:rPr>
        <w:t xml:space="preserve"> medicines in </w:t>
      </w:r>
      <w:proofErr w:type="spellStart"/>
      <w:r w:rsidRPr="00C07879">
        <w:rPr>
          <w:i/>
          <w:iCs/>
        </w:rPr>
        <w:t>health</w:t>
      </w:r>
      <w:proofErr w:type="spellEnd"/>
      <w:r w:rsidRPr="00C07879">
        <w:rPr>
          <w:i/>
          <w:iCs/>
        </w:rPr>
        <w:t xml:space="preserve"> </w:t>
      </w:r>
      <w:proofErr w:type="spellStart"/>
      <w:r w:rsidRPr="00C07879">
        <w:rPr>
          <w:i/>
          <w:iCs/>
        </w:rPr>
        <w:t>systems</w:t>
      </w:r>
      <w:proofErr w:type="spellEnd"/>
      <w:r w:rsidRPr="00C07879">
        <w:rPr>
          <w:i/>
          <w:iCs/>
        </w:rPr>
        <w:t>)</w:t>
      </w:r>
    </w:p>
    <w:p w14:paraId="4B734BD9" w14:textId="2FC2C277" w:rsidR="005B5476" w:rsidRDefault="005B5476" w:rsidP="005B5476">
      <w:pPr>
        <w:jc w:val="center"/>
      </w:pPr>
      <w:r w:rsidRPr="00AD58FE">
        <w:t xml:space="preserve">P </w:t>
      </w:r>
      <w:proofErr w:type="spellStart"/>
      <w:r w:rsidRPr="00AD58FE">
        <w:t>Mordujovich-Buschiazzo</w:t>
      </w:r>
      <w:proofErr w:type="spellEnd"/>
      <w:r w:rsidRPr="00AD58FE">
        <w:t xml:space="preserve">, C </w:t>
      </w:r>
      <w:proofErr w:type="spellStart"/>
      <w:r w:rsidRPr="00AD58FE">
        <w:t>Dorati</w:t>
      </w:r>
      <w:proofErr w:type="spellEnd"/>
      <w:r w:rsidRPr="00AD58FE">
        <w:t xml:space="preserve">, M Urtasun, GH </w:t>
      </w:r>
      <w:proofErr w:type="spellStart"/>
      <w:r w:rsidRPr="00AD58FE">
        <w:t>Marin</w:t>
      </w:r>
      <w:proofErr w:type="spellEnd"/>
      <w:r>
        <w:t xml:space="preserve"> y</w:t>
      </w:r>
      <w:r w:rsidRPr="00AD58FE">
        <w:t xml:space="preserve"> M</w:t>
      </w:r>
      <w:r>
        <w:t xml:space="preserve"> </w:t>
      </w:r>
      <w:r w:rsidRPr="00AD58FE">
        <w:t xml:space="preserve">Cañas </w:t>
      </w:r>
    </w:p>
    <w:p w14:paraId="2131962E" w14:textId="77777777" w:rsidR="005B5476" w:rsidRPr="005B5476" w:rsidRDefault="005B5476" w:rsidP="005B5476">
      <w:pPr>
        <w:jc w:val="center"/>
        <w:rPr>
          <w:lang w:val="en-US"/>
        </w:rPr>
      </w:pPr>
      <w:r w:rsidRPr="005B5476">
        <w:rPr>
          <w:i/>
          <w:iCs/>
          <w:lang w:val="en-US"/>
        </w:rPr>
        <w:t>Pharmacy Practice</w:t>
      </w:r>
      <w:r w:rsidRPr="005B5476">
        <w:rPr>
          <w:lang w:val="en-US"/>
        </w:rPr>
        <w:t xml:space="preserve"> 2026; 24(1):3420 </w:t>
      </w:r>
    </w:p>
    <w:p w14:paraId="065B2E18" w14:textId="77777777" w:rsidR="005B5476" w:rsidRPr="005B5476" w:rsidRDefault="00B00DA4" w:rsidP="005B5476">
      <w:pPr>
        <w:jc w:val="center"/>
        <w:rPr>
          <w:lang w:val="en-US"/>
        </w:rPr>
      </w:pPr>
      <w:hyperlink r:id="rId20" w:history="1">
        <w:r w:rsidR="005B5476" w:rsidRPr="005B5476">
          <w:rPr>
            <w:rStyle w:val="Hipervnculo"/>
            <w:lang w:val="en-US"/>
          </w:rPr>
          <w:t>https://doi.org/10.18549/PharmPract.2026.1.3420</w:t>
        </w:r>
      </w:hyperlink>
    </w:p>
    <w:p w14:paraId="7303F7DA" w14:textId="54F72F76" w:rsidR="005B5476" w:rsidRPr="002B59A8" w:rsidRDefault="005B5476" w:rsidP="005B5476">
      <w:pPr>
        <w:jc w:val="center"/>
      </w:pPr>
      <w:r>
        <w:rPr>
          <w:rFonts w:eastAsia="Times New Roman" w:cs="Times New Roman"/>
          <w:szCs w:val="20"/>
        </w:rPr>
        <w:t xml:space="preserve">Traducido por Salud y Fármacos, publicado en </w:t>
      </w:r>
      <w:r w:rsidRPr="00CA5ACC">
        <w:rPr>
          <w:rFonts w:cs="Times New Roman"/>
          <w:i/>
          <w:iCs/>
          <w:szCs w:val="20"/>
        </w:rPr>
        <w:t>Boletín Fármacos:</w:t>
      </w:r>
      <w:r>
        <w:rPr>
          <w:rFonts w:cs="Times New Roman"/>
          <w:i/>
          <w:iCs/>
          <w:szCs w:val="20"/>
        </w:rPr>
        <w:t xml:space="preserve"> Agencias Reguladoras</w:t>
      </w:r>
      <w:r w:rsidRPr="00A82C9C">
        <w:rPr>
          <w:rFonts w:eastAsia="Times New Roman" w:cs="Times New Roman"/>
          <w:bCs/>
          <w:i/>
          <w:iCs/>
          <w:color w:val="000000" w:themeColor="text1"/>
          <w:szCs w:val="16"/>
          <w:lang w:val="es-ES"/>
        </w:rPr>
        <w:t xml:space="preserve"> 202</w:t>
      </w:r>
      <w:r>
        <w:rPr>
          <w:rFonts w:eastAsia="Times New Roman" w:cs="Times New Roman"/>
          <w:bCs/>
          <w:i/>
          <w:iCs/>
          <w:color w:val="000000" w:themeColor="text1"/>
          <w:szCs w:val="16"/>
          <w:lang w:val="es-ES"/>
        </w:rPr>
        <w:t>6</w:t>
      </w:r>
      <w:r w:rsidRPr="00A82C9C">
        <w:rPr>
          <w:rFonts w:eastAsia="Times New Roman" w:cs="Times New Roman"/>
          <w:bCs/>
          <w:i/>
          <w:iCs/>
          <w:color w:val="000000" w:themeColor="text1"/>
          <w:szCs w:val="16"/>
          <w:lang w:val="es-ES"/>
        </w:rPr>
        <w:t>; 2(</w:t>
      </w:r>
      <w:r>
        <w:rPr>
          <w:rFonts w:eastAsia="Times New Roman" w:cs="Times New Roman"/>
          <w:bCs/>
          <w:i/>
          <w:iCs/>
          <w:color w:val="000000" w:themeColor="text1"/>
          <w:szCs w:val="16"/>
          <w:lang w:val="es-ES"/>
        </w:rPr>
        <w:t>3</w:t>
      </w:r>
      <w:r w:rsidRPr="00A82C9C">
        <w:rPr>
          <w:rFonts w:eastAsia="Times New Roman" w:cs="Times New Roman"/>
          <w:bCs/>
          <w:i/>
          <w:iCs/>
          <w:color w:val="000000" w:themeColor="text1"/>
          <w:szCs w:val="16"/>
          <w:lang w:val="es-ES"/>
        </w:rPr>
        <w:t>)</w:t>
      </w:r>
    </w:p>
    <w:p w14:paraId="23404C44" w14:textId="77777777" w:rsidR="005B5476" w:rsidRDefault="005B5476" w:rsidP="00787737">
      <w:pPr>
        <w:ind w:left="180" w:hanging="180"/>
        <w:jc w:val="center"/>
        <w:rPr>
          <w:b/>
          <w:bCs/>
          <w:color w:val="000000" w:themeColor="text1"/>
        </w:rPr>
      </w:pPr>
    </w:p>
    <w:p w14:paraId="5517E397" w14:textId="77777777" w:rsidR="004E2C2A" w:rsidRDefault="004E2C2A" w:rsidP="00425A64">
      <w:pPr>
        <w:rPr>
          <w:b/>
          <w:bCs/>
          <w:sz w:val="18"/>
          <w:szCs w:val="18"/>
        </w:rPr>
        <w:sectPr w:rsidR="004E2C2A" w:rsidSect="00F25512">
          <w:type w:val="continuous"/>
          <w:pgSz w:w="12240" w:h="15840" w:code="1"/>
          <w:pgMar w:top="720" w:right="720" w:bottom="720" w:left="720" w:header="288" w:footer="288" w:gutter="0"/>
          <w:cols w:space="288"/>
          <w:docGrid w:linePitch="360"/>
        </w:sectPr>
      </w:pPr>
    </w:p>
    <w:p w14:paraId="12CD5861" w14:textId="58E49AEA" w:rsidR="00425A64" w:rsidRPr="00AD58FE" w:rsidRDefault="00425A64" w:rsidP="00425A64">
      <w:pPr>
        <w:rPr>
          <w:b/>
          <w:bCs/>
        </w:rPr>
      </w:pPr>
      <w:r w:rsidRPr="00CC7892">
        <w:rPr>
          <w:b/>
          <w:bCs/>
          <w:sz w:val="18"/>
          <w:szCs w:val="18"/>
        </w:rPr>
        <w:t>Tags:</w:t>
      </w:r>
      <w:r>
        <w:rPr>
          <w:b/>
          <w:bCs/>
          <w:sz w:val="18"/>
          <w:szCs w:val="18"/>
        </w:rPr>
        <w:t xml:space="preserve"> </w:t>
      </w:r>
      <w:r w:rsidRPr="00AD58FE">
        <w:rPr>
          <w:b/>
          <w:bCs/>
          <w:sz w:val="18"/>
          <w:szCs w:val="18"/>
        </w:rPr>
        <w:t>medicamentos esenciales; evaluación de tecnologías sanitarias, tecnologías en salud, decisiones en salud</w:t>
      </w:r>
    </w:p>
    <w:p w14:paraId="6AC449EB" w14:textId="77777777" w:rsidR="00425A64" w:rsidRDefault="00425A64" w:rsidP="00425A64">
      <w:pPr>
        <w:jc w:val="center"/>
        <w:rPr>
          <w:b/>
          <w:bCs/>
        </w:rPr>
      </w:pPr>
    </w:p>
    <w:p w14:paraId="07549D8F" w14:textId="77777777" w:rsidR="00425A64" w:rsidRPr="00FA781D" w:rsidRDefault="00425A64" w:rsidP="00425A64">
      <w:pPr>
        <w:rPr>
          <w:b/>
          <w:bCs/>
        </w:rPr>
      </w:pPr>
      <w:r w:rsidRPr="00FA781D">
        <w:rPr>
          <w:b/>
          <w:bCs/>
        </w:rPr>
        <w:t>Resumen</w:t>
      </w:r>
    </w:p>
    <w:p w14:paraId="542D1AB0" w14:textId="77777777" w:rsidR="00425A64" w:rsidRDefault="00425A64" w:rsidP="00425A64">
      <w:r w:rsidRPr="00FA781D">
        <w:t xml:space="preserve">Este artículo describe dos estrategias para incorporar medicamentos en los programas nacionales de cobertura sanitaria: </w:t>
      </w:r>
    </w:p>
    <w:p w14:paraId="6165C46D" w14:textId="77777777" w:rsidR="00425A64" w:rsidRDefault="00425A64" w:rsidP="00425A64"/>
    <w:p w14:paraId="182D786B" w14:textId="77777777" w:rsidR="00425A64" w:rsidRDefault="00425A64" w:rsidP="002478D5">
      <w:pPr>
        <w:pStyle w:val="Prrafodelista"/>
        <w:numPr>
          <w:ilvl w:val="0"/>
          <w:numId w:val="22"/>
        </w:numPr>
        <w:ind w:left="180" w:hanging="180"/>
      </w:pPr>
      <w:r>
        <w:t>E</w:t>
      </w:r>
      <w:r w:rsidRPr="00FA781D">
        <w:t xml:space="preserve">l uso de la Lista de Medicamentos Esenciales </w:t>
      </w:r>
      <w:r>
        <w:t xml:space="preserve">(LME) </w:t>
      </w:r>
      <w:r w:rsidRPr="00FA781D">
        <w:t>de la OMS</w:t>
      </w:r>
      <w:r>
        <w:t xml:space="preserve"> </w:t>
      </w:r>
      <w:r w:rsidRPr="00FA781D">
        <w:t xml:space="preserve">como modelo para las Listas Nacionales de Medicamentos y </w:t>
      </w:r>
    </w:p>
    <w:p w14:paraId="23716D26" w14:textId="77777777" w:rsidR="00425A64" w:rsidRDefault="00425A64" w:rsidP="00425A64">
      <w:pPr>
        <w:pStyle w:val="Prrafodelista"/>
        <w:ind w:left="180" w:hanging="180"/>
      </w:pPr>
    </w:p>
    <w:p w14:paraId="51752132" w14:textId="77777777" w:rsidR="00425A64" w:rsidRDefault="00425A64" w:rsidP="002478D5">
      <w:pPr>
        <w:pStyle w:val="Prrafodelista"/>
        <w:numPr>
          <w:ilvl w:val="0"/>
          <w:numId w:val="22"/>
        </w:numPr>
        <w:ind w:left="180" w:hanging="180"/>
      </w:pPr>
      <w:r>
        <w:t xml:space="preserve">Los resultados de </w:t>
      </w:r>
      <w:r w:rsidRPr="00FA781D">
        <w:t>la</w:t>
      </w:r>
      <w:r>
        <w:t>s</w:t>
      </w:r>
      <w:r w:rsidRPr="00FA781D">
        <w:t xml:space="preserve"> Evaluación de Tecnologías Sanitarias (ETS). </w:t>
      </w:r>
    </w:p>
    <w:p w14:paraId="15876591" w14:textId="77777777" w:rsidR="00425A64" w:rsidRDefault="00425A64" w:rsidP="00425A64"/>
    <w:p w14:paraId="06501C75" w14:textId="77777777" w:rsidR="00425A64" w:rsidRDefault="00425A64" w:rsidP="00866CE7">
      <w:r w:rsidRPr="00FA781D">
        <w:t>También se exponen los principales desafíos que enfrentan los países,</w:t>
      </w:r>
      <w:r>
        <w:t xml:space="preserve"> </w:t>
      </w:r>
      <w:r w:rsidRPr="00FA781D">
        <w:t>tanto en situaciones normales como en condiciones de restricciones financieras o durante emergencias sanitarias o ambientales. Históricamente, los países de altos ingresos han utilizado la E</w:t>
      </w:r>
      <w:r>
        <w:t xml:space="preserve">valuación de Tecnologías de Salud (HTA o </w:t>
      </w:r>
      <w:proofErr w:type="spellStart"/>
      <w:r w:rsidRPr="005234A4">
        <w:rPr>
          <w:i/>
        </w:rPr>
        <w:t>Health</w:t>
      </w:r>
      <w:proofErr w:type="spellEnd"/>
      <w:r w:rsidRPr="005234A4">
        <w:rPr>
          <w:i/>
        </w:rPr>
        <w:t xml:space="preserve"> </w:t>
      </w:r>
      <w:proofErr w:type="spellStart"/>
      <w:r w:rsidRPr="005234A4">
        <w:rPr>
          <w:i/>
        </w:rPr>
        <w:t>Technology</w:t>
      </w:r>
      <w:proofErr w:type="spellEnd"/>
      <w:r w:rsidRPr="005234A4">
        <w:rPr>
          <w:i/>
        </w:rPr>
        <w:t xml:space="preserve"> </w:t>
      </w:r>
      <w:proofErr w:type="spellStart"/>
      <w:r w:rsidRPr="005234A4">
        <w:rPr>
          <w:i/>
        </w:rPr>
        <w:t>Assessment</w:t>
      </w:r>
      <w:proofErr w:type="spellEnd"/>
      <w:r>
        <w:t>),</w:t>
      </w:r>
      <w:r w:rsidRPr="00FA781D">
        <w:t xml:space="preserve"> como herramienta para incorporar medicamentos a sus sistemas de salud, mientras que los países de bajos y medi</w:t>
      </w:r>
      <w:r>
        <w:t>an</w:t>
      </w:r>
      <w:r w:rsidRPr="00FA781D">
        <w:t>os</w:t>
      </w:r>
      <w:r>
        <w:t xml:space="preserve"> </w:t>
      </w:r>
      <w:r w:rsidRPr="00FA781D">
        <w:t xml:space="preserve">ingresos han seguido la LME de la OMS. </w:t>
      </w:r>
    </w:p>
    <w:p w14:paraId="4A60717F" w14:textId="77777777" w:rsidR="00425A64" w:rsidRPr="00FA781D" w:rsidRDefault="00425A64" w:rsidP="00866CE7"/>
    <w:p w14:paraId="70EEE96E" w14:textId="77777777" w:rsidR="00425A64" w:rsidRDefault="00425A64" w:rsidP="00866CE7">
      <w:r w:rsidRPr="00FA781D">
        <w:t xml:space="preserve">Sin embargo, en los últimos años se ha observado un aumento en el uso de las ETS en los </w:t>
      </w:r>
      <w:r>
        <w:t>países de bajos y medianos ingresos</w:t>
      </w:r>
      <w:r w:rsidRPr="00FA781D">
        <w:t xml:space="preserve">, así como el uso de la Lista de Medicamentos Esenciales en circunstancias especiales en los países de altos ingresos. </w:t>
      </w:r>
    </w:p>
    <w:p w14:paraId="187E0811" w14:textId="77777777" w:rsidR="00425A64" w:rsidRDefault="00425A64" w:rsidP="00866CE7"/>
    <w:p w14:paraId="36082541" w14:textId="77777777" w:rsidR="00425A64" w:rsidRDefault="00425A64" w:rsidP="00866CE7">
      <w:r w:rsidRPr="00FA781D">
        <w:t>Si bien ambas estrategias comparten parcialmente su base metodológica, difieren en el procedimiento de selección del problema de salud, en el uso de modelos para la evaluación económica y en sus resultados finales.</w:t>
      </w:r>
    </w:p>
    <w:p w14:paraId="718A077A" w14:textId="77777777" w:rsidR="00425A64" w:rsidRPr="00FA781D" w:rsidRDefault="00425A64" w:rsidP="00866CE7"/>
    <w:p w14:paraId="33248741" w14:textId="2FD774BC" w:rsidR="005B5476" w:rsidRPr="00866CE7" w:rsidRDefault="00425A64" w:rsidP="00866CE7">
      <w:r w:rsidRPr="00FA781D">
        <w:t>El objetivo de este artículo es evaluar la validez del concepto de medicamentos esenciales en un contexto de creciente uso de la evaluación de tecnologías sanitarias</w:t>
      </w:r>
      <w:r>
        <w:t>,</w:t>
      </w:r>
      <w:r w:rsidRPr="00FA781D">
        <w:t xml:space="preserve"> y la necesidad de recurrir a ambas estrategias al tomar decisiones sanitarias basadas en la evidencia.</w:t>
      </w:r>
    </w:p>
    <w:p w14:paraId="0B45626A" w14:textId="77777777" w:rsidR="004E2C2A" w:rsidRDefault="004E2C2A" w:rsidP="002A2E6A">
      <w:pPr>
        <w:rPr>
          <w:b/>
          <w:bCs/>
          <w:color w:val="000000" w:themeColor="text1"/>
        </w:rPr>
        <w:sectPr w:rsidR="004E2C2A" w:rsidSect="004E2C2A">
          <w:type w:val="continuous"/>
          <w:pgSz w:w="12240" w:h="15840" w:code="1"/>
          <w:pgMar w:top="720" w:right="720" w:bottom="720" w:left="720" w:header="288" w:footer="288" w:gutter="0"/>
          <w:cols w:num="2" w:space="288"/>
          <w:docGrid w:linePitch="360"/>
        </w:sectPr>
      </w:pPr>
    </w:p>
    <w:p w14:paraId="50CC7D3B" w14:textId="1082F6DE" w:rsidR="00232F8A" w:rsidRDefault="00232F8A" w:rsidP="002A2E6A">
      <w:pPr>
        <w:rPr>
          <w:b/>
          <w:bCs/>
          <w:color w:val="000000" w:themeColor="text1"/>
        </w:rPr>
      </w:pPr>
    </w:p>
    <w:p w14:paraId="66D6A211" w14:textId="77777777" w:rsidR="004E2C2A" w:rsidRDefault="004E2C2A" w:rsidP="00232F8A">
      <w:pPr>
        <w:jc w:val="center"/>
        <w:rPr>
          <w:b/>
          <w:bCs/>
          <w:lang w:val="es-ES"/>
        </w:rPr>
      </w:pPr>
    </w:p>
    <w:p w14:paraId="4CA35735" w14:textId="77777777" w:rsidR="004E2C2A" w:rsidRDefault="004E2C2A" w:rsidP="00232F8A">
      <w:pPr>
        <w:jc w:val="center"/>
        <w:rPr>
          <w:b/>
          <w:bCs/>
          <w:lang w:val="es-ES"/>
        </w:rPr>
      </w:pPr>
    </w:p>
    <w:p w14:paraId="36C9DAE8" w14:textId="77777777" w:rsidR="004E2C2A" w:rsidRDefault="004E2C2A" w:rsidP="00232F8A">
      <w:pPr>
        <w:jc w:val="center"/>
        <w:rPr>
          <w:b/>
          <w:bCs/>
          <w:lang w:val="es-ES"/>
        </w:rPr>
      </w:pPr>
    </w:p>
    <w:p w14:paraId="3A5A684D" w14:textId="77777777" w:rsidR="004E2C2A" w:rsidRDefault="004E2C2A" w:rsidP="00232F8A">
      <w:pPr>
        <w:jc w:val="center"/>
        <w:rPr>
          <w:b/>
          <w:bCs/>
          <w:lang w:val="es-ES"/>
        </w:rPr>
      </w:pPr>
    </w:p>
    <w:p w14:paraId="584F6AF6" w14:textId="78DFBCC9" w:rsidR="00232F8A" w:rsidRDefault="00232F8A" w:rsidP="00232F8A">
      <w:pPr>
        <w:jc w:val="center"/>
        <w:rPr>
          <w:b/>
          <w:bCs/>
          <w:lang w:val="es-ES"/>
        </w:rPr>
      </w:pPr>
      <w:r w:rsidRPr="006B28E8">
        <w:rPr>
          <w:b/>
          <w:bCs/>
          <w:lang w:val="es-ES"/>
        </w:rPr>
        <w:lastRenderedPageBreak/>
        <w:t xml:space="preserve">La Asamblea Mundial de la Salud aprueba el Plan de Acción Mundial </w:t>
      </w:r>
    </w:p>
    <w:p w14:paraId="79C74365" w14:textId="77777777" w:rsidR="00232F8A" w:rsidRPr="006B28E8" w:rsidRDefault="00232F8A" w:rsidP="00232F8A">
      <w:pPr>
        <w:jc w:val="center"/>
        <w:rPr>
          <w:b/>
          <w:bCs/>
          <w:lang w:val="es-ES"/>
        </w:rPr>
      </w:pPr>
      <w:r w:rsidRPr="006B28E8">
        <w:rPr>
          <w:b/>
          <w:bCs/>
          <w:lang w:val="es-ES"/>
        </w:rPr>
        <w:t>actualizado sobre la Resistencia a los Antimicrobianos (2026-2036)</w:t>
      </w:r>
    </w:p>
    <w:p w14:paraId="6C716656" w14:textId="77777777" w:rsidR="00232F8A" w:rsidRPr="006B28E8" w:rsidRDefault="00232F8A" w:rsidP="00232F8A">
      <w:pPr>
        <w:jc w:val="center"/>
        <w:rPr>
          <w:lang w:val="es-ES"/>
        </w:rPr>
      </w:pPr>
      <w:r w:rsidRPr="006B28E8">
        <w:rPr>
          <w:i/>
          <w:iCs/>
          <w:lang w:val="es-ES"/>
        </w:rPr>
        <w:t>Organización Mundial de la Salud</w:t>
      </w:r>
      <w:r w:rsidRPr="006B28E8">
        <w:rPr>
          <w:lang w:val="es-ES"/>
        </w:rPr>
        <w:t>, 25 de mayo de 2026</w:t>
      </w:r>
    </w:p>
    <w:p w14:paraId="556FD9C4" w14:textId="77777777" w:rsidR="00232F8A" w:rsidRPr="006B28E8" w:rsidRDefault="00B00DA4" w:rsidP="00232F8A">
      <w:pPr>
        <w:jc w:val="center"/>
        <w:rPr>
          <w:lang w:val="es-ES"/>
        </w:rPr>
      </w:pPr>
      <w:hyperlink r:id="rId21" w:history="1">
        <w:r w:rsidR="00232F8A" w:rsidRPr="006B28E8">
          <w:rPr>
            <w:color w:val="467886" w:themeColor="hyperlink"/>
            <w:u w:val="single"/>
            <w:lang w:val="es-ES"/>
          </w:rPr>
          <w:t>https://www.who.int/news/item/25-05-2026-the-world-health-assembly-adopts-updated-global-action-plan-on-antimicrobial-resistance-(2026-2036)</w:t>
        </w:r>
      </w:hyperlink>
    </w:p>
    <w:p w14:paraId="595FFB35" w14:textId="77777777" w:rsidR="00232F8A" w:rsidRDefault="00232F8A" w:rsidP="00866CE7">
      <w:pPr>
        <w:ind w:left="180" w:hanging="180"/>
        <w:rPr>
          <w:b/>
          <w:bCs/>
          <w:color w:val="000000" w:themeColor="text1"/>
          <w:lang w:val="es-ES"/>
        </w:rPr>
      </w:pPr>
    </w:p>
    <w:p w14:paraId="353287AE" w14:textId="77777777" w:rsidR="004E2C2A" w:rsidRDefault="004E2C2A" w:rsidP="00232F8A">
      <w:pPr>
        <w:rPr>
          <w:lang w:val="es-ES"/>
        </w:rPr>
        <w:sectPr w:rsidR="004E2C2A" w:rsidSect="00F25512">
          <w:type w:val="continuous"/>
          <w:pgSz w:w="12240" w:h="15840" w:code="1"/>
          <w:pgMar w:top="720" w:right="720" w:bottom="720" w:left="720" w:header="288" w:footer="288" w:gutter="0"/>
          <w:cols w:space="288"/>
          <w:docGrid w:linePitch="360"/>
        </w:sectPr>
      </w:pPr>
    </w:p>
    <w:p w14:paraId="191254F9" w14:textId="7F889113" w:rsidR="00232F8A" w:rsidRPr="006B28E8" w:rsidRDefault="00232F8A" w:rsidP="00232F8A">
      <w:pPr>
        <w:rPr>
          <w:lang w:val="es-ES"/>
        </w:rPr>
      </w:pPr>
      <w:r w:rsidRPr="006B28E8">
        <w:rPr>
          <w:lang w:val="es-ES"/>
        </w:rPr>
        <w:t xml:space="preserve">Los Estados Miembros de la Septuagésima Novena Asamblea Mundial de la Salud (AMS79) adoptaron el </w:t>
      </w:r>
      <w:hyperlink r:id="rId22" w:tgtFrame="_blank" w:history="1">
        <w:r w:rsidRPr="006B28E8">
          <w:rPr>
            <w:color w:val="467886" w:themeColor="hyperlink"/>
            <w:u w:val="single"/>
            <w:lang w:val="es-ES"/>
          </w:rPr>
          <w:t>Plan de Acción Mundial actualizado sobre la resistencia a los antimicrobianos (PAM-RAM) 2026-2036</w:t>
        </w:r>
      </w:hyperlink>
      <w:r w:rsidRPr="006B28E8">
        <w:rPr>
          <w:lang w:val="es-ES"/>
        </w:rPr>
        <w:t xml:space="preserve"> [1], lo que representa un hito importante en la respuesta mundial a la resistencia a los antimicrobianos (RAMI) y cumple con un compromiso clave de la </w:t>
      </w:r>
      <w:hyperlink r:id="rId23" w:tgtFrame="_blank" w:history="1">
        <w:r w:rsidRPr="006B28E8">
          <w:rPr>
            <w:color w:val="467886" w:themeColor="hyperlink"/>
            <w:u w:val="single"/>
            <w:lang w:val="es-ES"/>
          </w:rPr>
          <w:t>Declaración Política de la Asamblea General de las Naciones Unidas sobre la RAM de</w:t>
        </w:r>
      </w:hyperlink>
      <w:r w:rsidRPr="006B28E8">
        <w:rPr>
          <w:lang w:val="es-ES"/>
        </w:rPr>
        <w:t xml:space="preserve"> 2024 [2]. </w:t>
      </w:r>
    </w:p>
    <w:p w14:paraId="6F52A334" w14:textId="77777777" w:rsidR="00232F8A" w:rsidRPr="006B28E8" w:rsidRDefault="00232F8A" w:rsidP="00232F8A">
      <w:pPr>
        <w:rPr>
          <w:lang w:val="es-ES"/>
        </w:rPr>
      </w:pPr>
    </w:p>
    <w:p w14:paraId="504BFE6C" w14:textId="77777777" w:rsidR="00232F8A" w:rsidRPr="006B28E8" w:rsidRDefault="00232F8A" w:rsidP="00232F8A">
      <w:pPr>
        <w:rPr>
          <w:lang w:val="es-ES"/>
        </w:rPr>
      </w:pPr>
      <w:r w:rsidRPr="006B28E8">
        <w:rPr>
          <w:lang w:val="es-ES"/>
        </w:rPr>
        <w:t>El plan actualizado se elaboró mediante un proceso consultivo liderado por las organizaciones cuatripartitas (FAO, PNUMA, OMS y WOAH) con una amplia participación de los Estados Miembros y las partes interesadas de todos los sectores.</w:t>
      </w:r>
    </w:p>
    <w:p w14:paraId="0E6C4AE1" w14:textId="77777777" w:rsidR="00232F8A" w:rsidRPr="006B28E8" w:rsidRDefault="00232F8A" w:rsidP="00232F8A">
      <w:pPr>
        <w:rPr>
          <w:lang w:val="es-ES"/>
        </w:rPr>
      </w:pPr>
    </w:p>
    <w:p w14:paraId="6B8164D0" w14:textId="77777777" w:rsidR="00232F8A" w:rsidRPr="006B28E8" w:rsidRDefault="00232F8A" w:rsidP="00232F8A">
      <w:pPr>
        <w:rPr>
          <w:lang w:val="es-ES"/>
        </w:rPr>
      </w:pPr>
      <w:r w:rsidRPr="006B28E8">
        <w:rPr>
          <w:lang w:val="es-ES"/>
        </w:rPr>
        <w:t xml:space="preserve">La resistencia a los antimicrobianos (RAMI) sigue siendo uno de los desafíos más importantes para la salud y el desarrollo a nivel mundial, afectando a seres humanos, animales, plantas, sistemas alimentarios y el medio ambiente. El Plan de Acción Global sobre la RAMI (GAP-AMR) actualizado proporciona un marco integral de Una Salud para orientar la acción coordinada a nivel mundial, regional y nacional durante la próxima década. Se basa en los fundamentos establecidos por el GAP-AMR original, adoptado por la Asamblea Mundial de la Salud en 2015, y refleja la evidencia en constante evolución, las lecciones aprendidas y los compromisos adquiridos en la </w:t>
      </w:r>
      <w:hyperlink r:id="rId24" w:tgtFrame="_blank" w:history="1">
        <w:r w:rsidRPr="006B28E8">
          <w:rPr>
            <w:color w:val="467886" w:themeColor="hyperlink"/>
            <w:u w:val="single"/>
            <w:lang w:val="es-ES"/>
          </w:rPr>
          <w:t>Reunión de Alto Nivel de las Naciones Unidas sobre la RAM de 2024</w:t>
        </w:r>
      </w:hyperlink>
      <w:r w:rsidRPr="006B28E8">
        <w:rPr>
          <w:lang w:val="es-ES"/>
        </w:rPr>
        <w:t xml:space="preserve"> [3].</w:t>
      </w:r>
    </w:p>
    <w:p w14:paraId="5E057FEA" w14:textId="77777777" w:rsidR="00232F8A" w:rsidRPr="006B28E8" w:rsidRDefault="00232F8A" w:rsidP="00232F8A">
      <w:pPr>
        <w:rPr>
          <w:lang w:val="es-ES"/>
        </w:rPr>
      </w:pPr>
    </w:p>
    <w:p w14:paraId="140913B2" w14:textId="77777777" w:rsidR="00232F8A" w:rsidRPr="006B28E8" w:rsidRDefault="00232F8A" w:rsidP="00232F8A">
      <w:pPr>
        <w:rPr>
          <w:lang w:val="es-ES"/>
        </w:rPr>
      </w:pPr>
      <w:r w:rsidRPr="006B28E8">
        <w:rPr>
          <w:lang w:val="es-ES"/>
        </w:rPr>
        <w:t>Durante la Asamblea, los Estados Miembros expresaron un amplio apoyo al plan actualizado y a su enfoque multisectorial y de Una Salud reforzado. Los delegados destacaron la importancia de las intervenciones que priorizan la prevención, incluyendo la prevención y el control de infecciones, el agua, el saneamiento y la higiene (ASH), la vacunación, la bioseguridad y las medidas ambientales. Asimismo, subrayaron la necesidad de un uso responsable, equitativo y sostenible de los antimicrobianos, una vigilancia reforzada, la innovación y sistemas agroalimentarios sostenibles.</w:t>
      </w:r>
    </w:p>
    <w:p w14:paraId="3B45456B" w14:textId="77777777" w:rsidR="00232F8A" w:rsidRPr="006B28E8" w:rsidRDefault="00232F8A" w:rsidP="00232F8A">
      <w:pPr>
        <w:rPr>
          <w:lang w:val="es-ES"/>
        </w:rPr>
      </w:pPr>
    </w:p>
    <w:p w14:paraId="6B84E4B9" w14:textId="77777777" w:rsidR="00232F8A" w:rsidRPr="006B28E8" w:rsidRDefault="00232F8A" w:rsidP="00232F8A">
      <w:pPr>
        <w:rPr>
          <w:lang w:val="es-ES"/>
        </w:rPr>
      </w:pPr>
      <w:r w:rsidRPr="006B28E8">
        <w:rPr>
          <w:lang w:val="es-ES"/>
        </w:rPr>
        <w:t>El Plan de Acción Global sobre la Resistencia a los Antimicrobianos (GAP-AMR) actualizado pretende servir como marco global para la acción coordinada contra la resistencia a los antimicrobianos hasta 2036. Su objetivo es acelerar el progreso mundial hacia los compromisos y metas acordados por los Estados Miembros y apoyar a los países en el desarrollo, la implementación y la financiación de ambiciosos planes de acción nacionales multisectoriales. El plan también refuerza la importancia de la rendición de cuentas, el seguimiento y la presentación de informes, la financiación sostenible y la cooperación internacional para abordar la resistencia a los antimicrobianos mediante un enfoque de Una Salud.</w:t>
      </w:r>
    </w:p>
    <w:p w14:paraId="644778A7" w14:textId="77777777" w:rsidR="00232F8A" w:rsidRPr="006B28E8" w:rsidRDefault="00232F8A" w:rsidP="00232F8A">
      <w:pPr>
        <w:rPr>
          <w:lang w:val="es-ES"/>
        </w:rPr>
      </w:pPr>
    </w:p>
    <w:p w14:paraId="24EC8ACB" w14:textId="77777777" w:rsidR="00232F8A" w:rsidRPr="006B28E8" w:rsidRDefault="00232F8A" w:rsidP="00232F8A">
      <w:pPr>
        <w:rPr>
          <w:lang w:val="es-ES"/>
        </w:rPr>
      </w:pPr>
      <w:r w:rsidRPr="006B28E8">
        <w:rPr>
          <w:lang w:val="es-ES"/>
        </w:rPr>
        <w:t xml:space="preserve">La adopción de la versión actualizada de GAP-AMR refleja un renovado compromiso mundial para preservar la eficacia de los antimicrobianos y salvaguardar los avances en la salud humana, animal y vegetal, la seguridad alimentaria, el desarrollo económico y la sostenibilidad ambiental. A medida que comience </w:t>
      </w:r>
      <w:r w:rsidRPr="006B28E8">
        <w:rPr>
          <w:lang w:val="es-ES"/>
        </w:rPr>
        <w:t>la implementación, la colaboración continua entre gobiernos, organizaciones internacionales, la sociedad civil, el mundo académico y el sector privado será fundamental para traducir los compromisos en un impacto tangible.</w:t>
      </w:r>
    </w:p>
    <w:p w14:paraId="21954558" w14:textId="77777777" w:rsidR="00232F8A" w:rsidRPr="006B28E8" w:rsidRDefault="00232F8A" w:rsidP="00232F8A">
      <w:pPr>
        <w:rPr>
          <w:lang w:val="es-ES"/>
        </w:rPr>
      </w:pPr>
    </w:p>
    <w:p w14:paraId="76921243" w14:textId="77777777" w:rsidR="00232F8A" w:rsidRPr="006B28E8" w:rsidRDefault="00232F8A" w:rsidP="00232F8A">
      <w:pPr>
        <w:rPr>
          <w:lang w:val="es-ES"/>
        </w:rPr>
      </w:pPr>
      <w:r w:rsidRPr="006B28E8">
        <w:rPr>
          <w:lang w:val="es-ES"/>
        </w:rPr>
        <w:t xml:space="preserve">Las organizaciones cuatripartitas seguirán apoyando a los Estados miembros y a los socios en la puesta en práctica del Plan de Acción Global contra la Resistencia a los Antimicrobianos (GAP-AMR) actualizado y en el fomento de una acción coordinada de Una Salud contra la Resistencia a los Antimicrobianos a nivel nacional, regional y mundial. </w:t>
      </w:r>
    </w:p>
    <w:p w14:paraId="5CD3979D" w14:textId="77777777" w:rsidR="00232F8A" w:rsidRPr="006B28E8" w:rsidRDefault="00232F8A" w:rsidP="00232F8A">
      <w:pPr>
        <w:rPr>
          <w:lang w:val="es-ES"/>
        </w:rPr>
      </w:pPr>
    </w:p>
    <w:p w14:paraId="3C6C44DE" w14:textId="77777777" w:rsidR="00232F8A" w:rsidRPr="006B28E8" w:rsidRDefault="00232F8A" w:rsidP="00232F8A">
      <w:pPr>
        <w:rPr>
          <w:b/>
          <w:bCs/>
          <w:sz w:val="18"/>
          <w:lang w:val="en-US"/>
        </w:rPr>
      </w:pPr>
      <w:proofErr w:type="spellStart"/>
      <w:r w:rsidRPr="006B28E8">
        <w:rPr>
          <w:b/>
          <w:bCs/>
          <w:sz w:val="18"/>
          <w:lang w:val="en-US"/>
        </w:rPr>
        <w:t>Referencias</w:t>
      </w:r>
      <w:proofErr w:type="spellEnd"/>
      <w:r w:rsidRPr="006B28E8">
        <w:rPr>
          <w:b/>
          <w:bCs/>
          <w:sz w:val="18"/>
          <w:lang w:val="en-US"/>
        </w:rPr>
        <w:t>:</w:t>
      </w:r>
    </w:p>
    <w:p w14:paraId="209AC288" w14:textId="77777777" w:rsidR="00232F8A" w:rsidRPr="006B28E8" w:rsidRDefault="00232F8A" w:rsidP="00232F8A">
      <w:pPr>
        <w:ind w:left="180" w:hanging="180"/>
        <w:rPr>
          <w:sz w:val="18"/>
          <w:lang w:val="en-US"/>
        </w:rPr>
      </w:pPr>
      <w:r w:rsidRPr="006B28E8">
        <w:rPr>
          <w:sz w:val="18"/>
          <w:lang w:val="en-US"/>
        </w:rPr>
        <w:t>1.</w:t>
      </w:r>
      <w:r>
        <w:rPr>
          <w:sz w:val="18"/>
          <w:lang w:val="en-US"/>
        </w:rPr>
        <w:t xml:space="preserve"> </w:t>
      </w:r>
      <w:r w:rsidRPr="006B28E8">
        <w:rPr>
          <w:sz w:val="18"/>
          <w:lang w:val="en-US"/>
        </w:rPr>
        <w:t xml:space="preserve">WHO. Global action plan on antimicrobial resistance 2026-2036. WHO Seventh plenary meeting, 23 de mayo de 2026 (A79/VR/7) </w:t>
      </w:r>
      <w:hyperlink r:id="rId25" w:history="1">
        <w:r w:rsidRPr="006B28E8">
          <w:rPr>
            <w:color w:val="467886" w:themeColor="hyperlink"/>
            <w:u w:val="single"/>
            <w:lang w:val="en-US"/>
          </w:rPr>
          <w:t>https://apps.who.int/gb/ebwha/pdf_files/WHA79/A79_(19)-en.pdf</w:t>
        </w:r>
      </w:hyperlink>
    </w:p>
    <w:p w14:paraId="6C2592A0" w14:textId="77777777" w:rsidR="00232F8A" w:rsidRPr="006B28E8" w:rsidRDefault="00232F8A" w:rsidP="00232F8A">
      <w:pPr>
        <w:ind w:left="180" w:hanging="180"/>
        <w:rPr>
          <w:sz w:val="18"/>
          <w:lang w:val="en-US"/>
        </w:rPr>
      </w:pPr>
      <w:r w:rsidRPr="006B28E8">
        <w:rPr>
          <w:sz w:val="18"/>
          <w:lang w:val="en-US"/>
        </w:rPr>
        <w:t>2.</w:t>
      </w:r>
      <w:r>
        <w:rPr>
          <w:sz w:val="18"/>
          <w:lang w:val="en-US"/>
        </w:rPr>
        <w:t xml:space="preserve"> </w:t>
      </w:r>
      <w:r w:rsidRPr="006B28E8">
        <w:rPr>
          <w:sz w:val="18"/>
          <w:lang w:val="en-US"/>
        </w:rPr>
        <w:t xml:space="preserve">United Nations. Political Declaration of the High-Level Meeting on Antimicrobial Resistance: resolution adopted by the General Assembly </w:t>
      </w:r>
      <w:hyperlink r:id="rId26" w:history="1">
        <w:r w:rsidRPr="006B28E8">
          <w:rPr>
            <w:color w:val="467886" w:themeColor="hyperlink"/>
            <w:u w:val="single"/>
            <w:lang w:val="en-US"/>
          </w:rPr>
          <w:t>https://digitallibrary.un.org/record/4064023?v=pdf</w:t>
        </w:r>
      </w:hyperlink>
    </w:p>
    <w:p w14:paraId="7876FF4E" w14:textId="77777777" w:rsidR="00232F8A" w:rsidRPr="006B28E8" w:rsidRDefault="00232F8A" w:rsidP="00232F8A">
      <w:pPr>
        <w:ind w:left="180" w:hanging="180"/>
        <w:rPr>
          <w:sz w:val="18"/>
          <w:lang w:val="es-ES"/>
        </w:rPr>
      </w:pPr>
      <w:r w:rsidRPr="006B28E8">
        <w:rPr>
          <w:sz w:val="18"/>
          <w:lang w:val="en-US"/>
        </w:rPr>
        <w:t>3.</w:t>
      </w:r>
      <w:r>
        <w:rPr>
          <w:sz w:val="18"/>
          <w:lang w:val="en-US"/>
        </w:rPr>
        <w:t xml:space="preserve"> </w:t>
      </w:r>
      <w:r w:rsidRPr="006B28E8">
        <w:rPr>
          <w:sz w:val="18"/>
          <w:lang w:val="en-US"/>
        </w:rPr>
        <w:t xml:space="preserve">WHO. UN General Assembly High-Level Meeting on antimicrobial resistance 2024. </w:t>
      </w:r>
      <w:r w:rsidRPr="006B28E8">
        <w:rPr>
          <w:i/>
          <w:iCs/>
          <w:sz w:val="18"/>
          <w:lang w:val="es-ES"/>
        </w:rPr>
        <w:t>WHO</w:t>
      </w:r>
      <w:r w:rsidRPr="006B28E8">
        <w:rPr>
          <w:sz w:val="18"/>
          <w:lang w:val="es-ES"/>
        </w:rPr>
        <w:t xml:space="preserve">, 26 de septiembre de 2024  </w:t>
      </w:r>
      <w:hyperlink r:id="rId27" w:history="1">
        <w:r w:rsidRPr="006B28E8">
          <w:rPr>
            <w:color w:val="467886" w:themeColor="hyperlink"/>
            <w:u w:val="single"/>
            <w:lang w:val="es-ES"/>
          </w:rPr>
          <w:t>https://www.who.int/news-room/events/detail/2024/09/26/default-calendar/un-general-assembly-high-level-meeting-on-antimicrobial-resistance-2024</w:t>
        </w:r>
      </w:hyperlink>
      <w:r w:rsidRPr="006B28E8">
        <w:rPr>
          <w:color w:val="467886" w:themeColor="hyperlink"/>
          <w:sz w:val="18"/>
          <w:u w:val="single"/>
          <w:lang w:val="es-ES"/>
        </w:rPr>
        <w:t xml:space="preserve"> </w:t>
      </w:r>
    </w:p>
    <w:p w14:paraId="082D44DB" w14:textId="77777777" w:rsidR="00232F8A" w:rsidRPr="006B28E8" w:rsidRDefault="00232F8A" w:rsidP="00232F8A">
      <w:pPr>
        <w:shd w:val="clear" w:color="auto" w:fill="FFFFFF"/>
        <w:textAlignment w:val="baseline"/>
        <w:outlineLvl w:val="0"/>
        <w:rPr>
          <w:rFonts w:eastAsia="Times New Roman" w:cs="Times New Roman"/>
          <w:b/>
          <w:bCs/>
          <w:kern w:val="36"/>
          <w:szCs w:val="20"/>
          <w:lang w:val="es-ES" w:eastAsia="es-CO"/>
        </w:rPr>
      </w:pPr>
    </w:p>
    <w:p w14:paraId="0029EF88" w14:textId="113E5CAA" w:rsidR="00827A2D" w:rsidRDefault="00FD38B8" w:rsidP="00232F8A">
      <w:pPr>
        <w:shd w:val="clear" w:color="auto" w:fill="FFFFFF"/>
        <w:textAlignment w:val="baseline"/>
        <w:outlineLvl w:val="0"/>
        <w:rPr>
          <w:rFonts w:eastAsia="Times New Roman" w:cs="Times New Roman"/>
          <w:bCs/>
          <w:kern w:val="36"/>
          <w:szCs w:val="20"/>
          <w:lang w:val="es-ES" w:eastAsia="es-CO"/>
        </w:rPr>
      </w:pPr>
      <w:r>
        <w:rPr>
          <w:rFonts w:eastAsia="Times New Roman" w:cs="Times New Roman"/>
          <w:b/>
          <w:bCs/>
          <w:kern w:val="36"/>
          <w:szCs w:val="20"/>
          <w:lang w:val="es-ES" w:eastAsia="es-CO"/>
        </w:rPr>
        <w:t>C</w:t>
      </w:r>
      <w:r w:rsidR="00827A2D">
        <w:rPr>
          <w:rFonts w:eastAsia="Times New Roman" w:cs="Times New Roman"/>
          <w:b/>
          <w:bCs/>
          <w:kern w:val="36"/>
          <w:szCs w:val="20"/>
          <w:lang w:val="es-ES" w:eastAsia="es-CO"/>
        </w:rPr>
        <w:t>o</w:t>
      </w:r>
      <w:r>
        <w:rPr>
          <w:rFonts w:eastAsia="Times New Roman" w:cs="Times New Roman"/>
          <w:b/>
          <w:bCs/>
          <w:kern w:val="36"/>
          <w:szCs w:val="20"/>
          <w:lang w:val="es-ES" w:eastAsia="es-CO"/>
        </w:rPr>
        <w:t>men</w:t>
      </w:r>
      <w:r w:rsidR="00F2018B">
        <w:rPr>
          <w:rFonts w:eastAsia="Times New Roman" w:cs="Times New Roman"/>
          <w:b/>
          <w:bCs/>
          <w:kern w:val="36"/>
          <w:szCs w:val="20"/>
          <w:lang w:val="es-ES" w:eastAsia="es-CO"/>
        </w:rPr>
        <w:t>ta</w:t>
      </w:r>
      <w:r>
        <w:rPr>
          <w:rFonts w:eastAsia="Times New Roman" w:cs="Times New Roman"/>
          <w:b/>
          <w:bCs/>
          <w:kern w:val="36"/>
          <w:szCs w:val="20"/>
          <w:lang w:val="es-ES" w:eastAsia="es-CO"/>
        </w:rPr>
        <w:t>rio</w:t>
      </w:r>
      <w:r w:rsidR="00232F8A" w:rsidRPr="006B28E8">
        <w:rPr>
          <w:rFonts w:eastAsia="Times New Roman" w:cs="Times New Roman"/>
          <w:b/>
          <w:bCs/>
          <w:kern w:val="36"/>
          <w:szCs w:val="20"/>
          <w:lang w:val="es-ES" w:eastAsia="es-CO"/>
        </w:rPr>
        <w:t xml:space="preserve"> de Salud y Fármacos</w:t>
      </w:r>
      <w:r w:rsidR="00F2018B">
        <w:rPr>
          <w:rFonts w:eastAsia="Times New Roman" w:cs="Times New Roman"/>
          <w:b/>
          <w:bCs/>
          <w:kern w:val="36"/>
          <w:szCs w:val="20"/>
          <w:lang w:val="es-ES" w:eastAsia="es-CO"/>
        </w:rPr>
        <w:t>:</w:t>
      </w:r>
      <w:r w:rsidR="00232F8A" w:rsidRPr="006B28E8">
        <w:rPr>
          <w:rFonts w:eastAsia="Times New Roman" w:cs="Times New Roman"/>
          <w:b/>
          <w:bCs/>
          <w:kern w:val="36"/>
          <w:szCs w:val="20"/>
          <w:lang w:val="es-ES" w:eastAsia="es-CO"/>
        </w:rPr>
        <w:t xml:space="preserve"> </w:t>
      </w:r>
      <w:proofErr w:type="spellStart"/>
      <w:r w:rsidR="00232F8A" w:rsidRPr="006B28E8">
        <w:rPr>
          <w:rFonts w:eastAsia="Times New Roman" w:cs="Times New Roman"/>
          <w:bCs/>
          <w:kern w:val="36"/>
          <w:szCs w:val="20"/>
          <w:lang w:val="es-ES" w:eastAsia="es-CO"/>
        </w:rPr>
        <w:t>Health</w:t>
      </w:r>
      <w:proofErr w:type="spellEnd"/>
      <w:r w:rsidR="00232F8A" w:rsidRPr="006B28E8">
        <w:rPr>
          <w:rFonts w:eastAsia="Times New Roman" w:cs="Times New Roman"/>
          <w:bCs/>
          <w:kern w:val="36"/>
          <w:szCs w:val="20"/>
          <w:lang w:val="es-ES" w:eastAsia="es-CO"/>
        </w:rPr>
        <w:t xml:space="preserve"> </w:t>
      </w:r>
      <w:proofErr w:type="spellStart"/>
      <w:r w:rsidR="00232F8A" w:rsidRPr="006B28E8">
        <w:rPr>
          <w:rFonts w:eastAsia="Times New Roman" w:cs="Times New Roman"/>
          <w:bCs/>
          <w:kern w:val="36"/>
          <w:szCs w:val="20"/>
          <w:lang w:val="es-ES" w:eastAsia="es-CO"/>
        </w:rPr>
        <w:t>Policy</w:t>
      </w:r>
      <w:proofErr w:type="spellEnd"/>
      <w:r w:rsidR="00232F8A" w:rsidRPr="006B28E8">
        <w:rPr>
          <w:rFonts w:eastAsia="Times New Roman" w:cs="Times New Roman"/>
          <w:bCs/>
          <w:kern w:val="36"/>
          <w:szCs w:val="20"/>
          <w:lang w:val="es-ES" w:eastAsia="es-CO"/>
        </w:rPr>
        <w:t xml:space="preserve"> </w:t>
      </w:r>
      <w:proofErr w:type="spellStart"/>
      <w:r w:rsidR="00232F8A" w:rsidRPr="006B28E8">
        <w:rPr>
          <w:rFonts w:eastAsia="Times New Roman" w:cs="Times New Roman"/>
          <w:bCs/>
          <w:kern w:val="36"/>
          <w:szCs w:val="20"/>
          <w:lang w:val="es-ES" w:eastAsia="es-CO"/>
        </w:rPr>
        <w:t>Watch</w:t>
      </w:r>
      <w:proofErr w:type="spellEnd"/>
      <w:r w:rsidR="00232F8A" w:rsidRPr="006B28E8">
        <w:rPr>
          <w:rFonts w:eastAsia="Times New Roman" w:cs="Times New Roman"/>
          <w:bCs/>
          <w:kern w:val="36"/>
          <w:szCs w:val="20"/>
          <w:lang w:val="es-ES" w:eastAsia="es-CO"/>
        </w:rPr>
        <w:t xml:space="preserve"> ha publicado un resumen de lo ocurrido durante la reunión sobre la RAMI en Ginebra [1] que añade algunos detalles que no se mencionan en el comunicado de la OMS y que reproducimos a continuación. </w:t>
      </w:r>
    </w:p>
    <w:p w14:paraId="44F82CE1" w14:textId="77777777" w:rsidR="00827A2D" w:rsidRDefault="00827A2D" w:rsidP="00232F8A">
      <w:pPr>
        <w:shd w:val="clear" w:color="auto" w:fill="FFFFFF"/>
        <w:textAlignment w:val="baseline"/>
        <w:outlineLvl w:val="0"/>
        <w:rPr>
          <w:rFonts w:eastAsia="Times New Roman" w:cs="Times New Roman"/>
          <w:bCs/>
          <w:kern w:val="36"/>
          <w:szCs w:val="20"/>
          <w:lang w:val="es-ES" w:eastAsia="es-CO"/>
        </w:rPr>
      </w:pPr>
    </w:p>
    <w:p w14:paraId="4BB7403A" w14:textId="5169235E"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r w:rsidRPr="006B28E8">
        <w:rPr>
          <w:rFonts w:eastAsia="Times New Roman" w:cs="Times New Roman"/>
          <w:bCs/>
          <w:kern w:val="36"/>
          <w:szCs w:val="20"/>
          <w:lang w:val="es-ES" w:eastAsia="es-CO"/>
        </w:rPr>
        <w:t xml:space="preserve">Según </w:t>
      </w:r>
      <w:proofErr w:type="spellStart"/>
      <w:r w:rsidRPr="006B28E8">
        <w:rPr>
          <w:rFonts w:eastAsia="Times New Roman" w:cs="Times New Roman"/>
          <w:bCs/>
          <w:kern w:val="36"/>
          <w:szCs w:val="20"/>
          <w:lang w:val="es-ES" w:eastAsia="es-CO"/>
        </w:rPr>
        <w:t>Health</w:t>
      </w:r>
      <w:proofErr w:type="spellEnd"/>
      <w:r w:rsidRPr="006B28E8">
        <w:rPr>
          <w:rFonts w:eastAsia="Times New Roman" w:cs="Times New Roman"/>
          <w:bCs/>
          <w:kern w:val="36"/>
          <w:szCs w:val="20"/>
          <w:lang w:val="es-ES" w:eastAsia="es-CO"/>
        </w:rPr>
        <w:t xml:space="preserve"> </w:t>
      </w:r>
      <w:proofErr w:type="spellStart"/>
      <w:r w:rsidRPr="006B28E8">
        <w:rPr>
          <w:rFonts w:eastAsia="Times New Roman" w:cs="Times New Roman"/>
          <w:bCs/>
          <w:kern w:val="36"/>
          <w:szCs w:val="20"/>
          <w:lang w:val="es-ES" w:eastAsia="es-CO"/>
        </w:rPr>
        <w:t>Policy</w:t>
      </w:r>
      <w:proofErr w:type="spellEnd"/>
      <w:r w:rsidRPr="006B28E8">
        <w:rPr>
          <w:rFonts w:eastAsia="Times New Roman" w:cs="Times New Roman"/>
          <w:bCs/>
          <w:kern w:val="36"/>
          <w:szCs w:val="20"/>
          <w:lang w:val="es-ES" w:eastAsia="es-CO"/>
        </w:rPr>
        <w:t xml:space="preserve"> </w:t>
      </w:r>
      <w:proofErr w:type="spellStart"/>
      <w:r w:rsidRPr="006B28E8">
        <w:rPr>
          <w:rFonts w:eastAsia="Times New Roman" w:cs="Times New Roman"/>
          <w:bCs/>
          <w:kern w:val="36"/>
          <w:szCs w:val="20"/>
          <w:lang w:val="es-ES" w:eastAsia="es-CO"/>
        </w:rPr>
        <w:t>Watch</w:t>
      </w:r>
      <w:proofErr w:type="spellEnd"/>
      <w:r w:rsidRPr="006B28E8">
        <w:rPr>
          <w:rFonts w:eastAsia="Times New Roman" w:cs="Times New Roman"/>
          <w:bCs/>
          <w:kern w:val="36"/>
          <w:szCs w:val="20"/>
          <w:lang w:val="es-ES" w:eastAsia="es-CO"/>
        </w:rPr>
        <w:t>, la crisis de la resistencia a los antimicrobianos (RAMI) se asocia con casi cinco millones de muertes anuales</w:t>
      </w:r>
      <w:r>
        <w:rPr>
          <w:rFonts w:eastAsia="Times New Roman" w:cs="Times New Roman"/>
          <w:bCs/>
          <w:kern w:val="36"/>
          <w:szCs w:val="20"/>
          <w:lang w:val="es-ES" w:eastAsia="es-CO"/>
        </w:rPr>
        <w:t xml:space="preserve">, </w:t>
      </w:r>
      <w:r w:rsidRPr="006B28E8">
        <w:rPr>
          <w:rFonts w:eastAsia="Times New Roman" w:cs="Times New Roman"/>
          <w:bCs/>
          <w:kern w:val="36"/>
          <w:szCs w:val="20"/>
          <w:lang w:val="es-ES" w:eastAsia="es-CO"/>
        </w:rPr>
        <w:t>de las cuales 1,14 millones son atribuibles directamente a infecciones bacterianas resistentes a los medicamentos, lo que significa que se sextuplic</w:t>
      </w:r>
      <w:r w:rsidR="00827A2D">
        <w:rPr>
          <w:rFonts w:eastAsia="Times New Roman" w:cs="Times New Roman"/>
          <w:bCs/>
          <w:kern w:val="36"/>
          <w:szCs w:val="20"/>
          <w:lang w:val="es-ES" w:eastAsia="es-CO"/>
        </w:rPr>
        <w:t>ó</w:t>
      </w:r>
      <w:r w:rsidRPr="006B28E8">
        <w:rPr>
          <w:rFonts w:eastAsia="Times New Roman" w:cs="Times New Roman"/>
          <w:bCs/>
          <w:kern w:val="36"/>
          <w:szCs w:val="20"/>
          <w:lang w:val="es-ES" w:eastAsia="es-CO"/>
        </w:rPr>
        <w:t xml:space="preserve"> en la última década. Además, la resistencia de los patógenos a muchos medicamentos vitales</w:t>
      </w:r>
      <w:r>
        <w:rPr>
          <w:rFonts w:eastAsia="Times New Roman" w:cs="Times New Roman"/>
          <w:bCs/>
          <w:kern w:val="36"/>
          <w:szCs w:val="20"/>
          <w:lang w:val="es-ES" w:eastAsia="es-CO"/>
        </w:rPr>
        <w:t xml:space="preserve">, </w:t>
      </w:r>
      <w:r w:rsidRPr="006B28E8">
        <w:rPr>
          <w:rFonts w:eastAsia="Times New Roman" w:cs="Times New Roman"/>
          <w:bCs/>
          <w:kern w:val="36"/>
          <w:szCs w:val="20"/>
          <w:lang w:val="es-ES" w:eastAsia="es-CO"/>
        </w:rPr>
        <w:t xml:space="preserve">en particular </w:t>
      </w:r>
      <w:r w:rsidR="00AA0661">
        <w:rPr>
          <w:rFonts w:eastAsia="Times New Roman" w:cs="Times New Roman"/>
          <w:bCs/>
          <w:kern w:val="36"/>
          <w:szCs w:val="20"/>
          <w:lang w:val="es-ES" w:eastAsia="es-CO"/>
        </w:rPr>
        <w:t xml:space="preserve">a </w:t>
      </w:r>
      <w:r w:rsidRPr="006B28E8">
        <w:rPr>
          <w:rFonts w:eastAsia="Times New Roman" w:cs="Times New Roman"/>
          <w:bCs/>
          <w:kern w:val="36"/>
          <w:szCs w:val="20"/>
          <w:lang w:val="es-ES" w:eastAsia="es-CO"/>
        </w:rPr>
        <w:t>los antibióticos, pero también</w:t>
      </w:r>
      <w:r w:rsidR="00AA0661">
        <w:rPr>
          <w:rFonts w:eastAsia="Times New Roman" w:cs="Times New Roman"/>
          <w:bCs/>
          <w:kern w:val="36"/>
          <w:szCs w:val="20"/>
          <w:lang w:val="es-ES" w:eastAsia="es-CO"/>
        </w:rPr>
        <w:t xml:space="preserve"> a</w:t>
      </w:r>
      <w:r w:rsidRPr="006B28E8">
        <w:rPr>
          <w:rFonts w:eastAsia="Times New Roman" w:cs="Times New Roman"/>
          <w:bCs/>
          <w:kern w:val="36"/>
          <w:szCs w:val="20"/>
          <w:lang w:val="es-ES" w:eastAsia="es-CO"/>
        </w:rPr>
        <w:t xml:space="preserve"> los tratamientos antivirales y</w:t>
      </w:r>
      <w:r w:rsidR="00AA0661">
        <w:rPr>
          <w:rFonts w:eastAsia="Times New Roman" w:cs="Times New Roman"/>
          <w:bCs/>
          <w:kern w:val="36"/>
          <w:szCs w:val="20"/>
          <w:lang w:val="es-ES" w:eastAsia="es-CO"/>
        </w:rPr>
        <w:t xml:space="preserve"> a los</w:t>
      </w:r>
      <w:r w:rsidRPr="006B28E8">
        <w:rPr>
          <w:rFonts w:eastAsia="Times New Roman" w:cs="Times New Roman"/>
          <w:bCs/>
          <w:kern w:val="36"/>
          <w:szCs w:val="20"/>
          <w:lang w:val="es-ES" w:eastAsia="es-CO"/>
        </w:rPr>
        <w:t xml:space="preserve"> antiparasitarios está</w:t>
      </w:r>
      <w:r>
        <w:rPr>
          <w:rFonts w:eastAsia="Times New Roman" w:cs="Times New Roman"/>
          <w:bCs/>
          <w:kern w:val="36"/>
          <w:szCs w:val="20"/>
          <w:lang w:val="es-ES" w:eastAsia="es-CO"/>
        </w:rPr>
        <w:t>n</w:t>
      </w:r>
      <w:r w:rsidRPr="006B28E8">
        <w:rPr>
          <w:rFonts w:eastAsia="Times New Roman" w:cs="Times New Roman"/>
          <w:bCs/>
          <w:kern w:val="36"/>
          <w:szCs w:val="20"/>
          <w:lang w:val="es-ES" w:eastAsia="es-CO"/>
        </w:rPr>
        <w:t xml:space="preserve"> creciendo rápidamente.</w:t>
      </w:r>
    </w:p>
    <w:p w14:paraId="5027D387"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p>
    <w:p w14:paraId="22EAAF72" w14:textId="5DE7C031"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r w:rsidRPr="006B28E8">
        <w:rPr>
          <w:rFonts w:eastAsia="Times New Roman" w:cs="Times New Roman"/>
          <w:bCs/>
          <w:kern w:val="36"/>
          <w:szCs w:val="20"/>
          <w:lang w:val="es-ES" w:eastAsia="es-CO"/>
        </w:rPr>
        <w:t xml:space="preserve">De no controlarse, la RAMI podría reducir en 1,8 años la esperanza de vida mundial en el plazo de una década, </w:t>
      </w:r>
      <w:r w:rsidR="00AA0661">
        <w:rPr>
          <w:rFonts w:eastAsia="Times New Roman" w:cs="Times New Roman"/>
          <w:bCs/>
          <w:kern w:val="36"/>
          <w:szCs w:val="20"/>
          <w:lang w:val="es-ES" w:eastAsia="es-CO"/>
        </w:rPr>
        <w:t xml:space="preserve">podría </w:t>
      </w:r>
      <w:r w:rsidRPr="006B28E8">
        <w:rPr>
          <w:rFonts w:eastAsia="Times New Roman" w:cs="Times New Roman"/>
          <w:bCs/>
          <w:kern w:val="36"/>
          <w:szCs w:val="20"/>
          <w:lang w:val="es-ES" w:eastAsia="es-CO"/>
        </w:rPr>
        <w:t>causar hasta 39 millones de muertes para</w:t>
      </w:r>
      <w:r w:rsidR="00AA0661">
        <w:rPr>
          <w:rFonts w:eastAsia="Times New Roman" w:cs="Times New Roman"/>
          <w:bCs/>
          <w:kern w:val="36"/>
          <w:szCs w:val="20"/>
          <w:lang w:val="es-ES" w:eastAsia="es-CO"/>
        </w:rPr>
        <w:t xml:space="preserve"> el</w:t>
      </w:r>
      <w:r w:rsidRPr="006B28E8">
        <w:rPr>
          <w:rFonts w:eastAsia="Times New Roman" w:cs="Times New Roman"/>
          <w:bCs/>
          <w:kern w:val="36"/>
          <w:szCs w:val="20"/>
          <w:lang w:val="es-ES" w:eastAsia="es-CO"/>
        </w:rPr>
        <w:t xml:space="preserve"> 2050 y generar pérdidas totales en el PIB de US$575.000 millones.</w:t>
      </w:r>
    </w:p>
    <w:p w14:paraId="2059743E"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p>
    <w:p w14:paraId="22CD4179" w14:textId="334B831E"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r w:rsidRPr="006B28E8">
        <w:rPr>
          <w:rFonts w:eastAsia="Times New Roman" w:cs="Times New Roman"/>
          <w:bCs/>
          <w:kern w:val="36"/>
          <w:szCs w:val="20"/>
          <w:lang w:val="es-ES" w:eastAsia="es-CO"/>
        </w:rPr>
        <w:t xml:space="preserve">Las medidas de prevención de infecciones, agua y saneamiento, vacunación y prescripción responsable de medicamentos podrían evitar 110 millones de muertes asociadas a la RAMI y generar casi </w:t>
      </w:r>
      <w:r w:rsidR="00AA0661">
        <w:rPr>
          <w:rFonts w:eastAsia="Times New Roman" w:cs="Times New Roman"/>
          <w:bCs/>
          <w:kern w:val="36"/>
          <w:szCs w:val="20"/>
          <w:lang w:val="es-ES" w:eastAsia="es-CO"/>
        </w:rPr>
        <w:t>un</w:t>
      </w:r>
      <w:r w:rsidRPr="006B28E8">
        <w:rPr>
          <w:rFonts w:eastAsia="Times New Roman" w:cs="Times New Roman"/>
          <w:bCs/>
          <w:kern w:val="36"/>
          <w:szCs w:val="20"/>
          <w:lang w:val="es-ES" w:eastAsia="es-CO"/>
        </w:rPr>
        <w:t xml:space="preserve"> billón</w:t>
      </w:r>
      <w:r w:rsidR="00AA0661">
        <w:rPr>
          <w:rFonts w:eastAsia="Times New Roman" w:cs="Times New Roman"/>
          <w:bCs/>
          <w:kern w:val="36"/>
          <w:szCs w:val="20"/>
          <w:lang w:val="es-ES" w:eastAsia="es-CO"/>
        </w:rPr>
        <w:t xml:space="preserve"> de dólares</w:t>
      </w:r>
      <w:r w:rsidRPr="006B28E8">
        <w:rPr>
          <w:rFonts w:eastAsia="Times New Roman" w:cs="Times New Roman"/>
          <w:bCs/>
          <w:kern w:val="36"/>
          <w:szCs w:val="20"/>
          <w:lang w:val="es-ES" w:eastAsia="es-CO"/>
        </w:rPr>
        <w:t xml:space="preserve"> en beneficios económicos para 2050. </w:t>
      </w:r>
    </w:p>
    <w:p w14:paraId="3755755B"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p>
    <w:p w14:paraId="6483F8F3" w14:textId="72F1EC83"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r w:rsidRPr="006B28E8">
        <w:rPr>
          <w:rFonts w:eastAsia="Times New Roman" w:cs="Times New Roman"/>
          <w:bCs/>
          <w:kern w:val="36"/>
          <w:szCs w:val="20"/>
          <w:lang w:val="es-ES" w:eastAsia="es-CO"/>
        </w:rPr>
        <w:t xml:space="preserve">Los países de bajos y medianos ingresos soportan la mayor carga. Las personas de estos países tienen 1,5 veces más probabilidades de morir a causa de la RAMI que las de los países de ingresos altos, y el 99,65% de los niños menores de cinco </w:t>
      </w:r>
      <w:r w:rsidRPr="006B28E8">
        <w:rPr>
          <w:rFonts w:eastAsia="Times New Roman" w:cs="Times New Roman"/>
          <w:bCs/>
          <w:kern w:val="36"/>
          <w:szCs w:val="20"/>
          <w:lang w:val="es-ES" w:eastAsia="es-CO"/>
        </w:rPr>
        <w:lastRenderedPageBreak/>
        <w:t>años que fallecen por infecciones resistentes a los medicamentos viven en las naciones más pobres.</w:t>
      </w:r>
    </w:p>
    <w:p w14:paraId="35F27AC3"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p>
    <w:p w14:paraId="325C67AD" w14:textId="2BDCF4B0"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r w:rsidRPr="006B28E8">
        <w:rPr>
          <w:rFonts w:eastAsia="Times New Roman" w:cs="Times New Roman"/>
          <w:bCs/>
          <w:kern w:val="36"/>
          <w:szCs w:val="20"/>
          <w:lang w:val="es-ES" w:eastAsia="es-CO"/>
        </w:rPr>
        <w:t xml:space="preserve">A pesar de esta amenaza, solo el 10% de los países notificaron </w:t>
      </w:r>
      <w:r w:rsidR="00320DD4">
        <w:rPr>
          <w:rFonts w:eastAsia="Times New Roman" w:cs="Times New Roman"/>
          <w:bCs/>
          <w:kern w:val="36"/>
          <w:szCs w:val="20"/>
          <w:lang w:val="es-ES" w:eastAsia="es-CO"/>
        </w:rPr>
        <w:t xml:space="preserve">contar con </w:t>
      </w:r>
      <w:r w:rsidRPr="006B28E8">
        <w:rPr>
          <w:rFonts w:eastAsia="Times New Roman" w:cs="Times New Roman"/>
          <w:bCs/>
          <w:kern w:val="36"/>
          <w:szCs w:val="20"/>
          <w:lang w:val="es-ES" w:eastAsia="es-CO"/>
        </w:rPr>
        <w:t>fondos nacionales específicos para sus planes de acción contra la RAMI en 2024, y apenas el 29% cuenta con planes que incluyen estimaciones de costes y presupuestos.</w:t>
      </w:r>
    </w:p>
    <w:p w14:paraId="1E0233B6"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p>
    <w:p w14:paraId="55869B1E"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r w:rsidRPr="006B28E8">
        <w:rPr>
          <w:rFonts w:eastAsia="Times New Roman" w:cs="Times New Roman"/>
          <w:bCs/>
          <w:kern w:val="36"/>
          <w:szCs w:val="20"/>
          <w:lang w:val="es-ES" w:eastAsia="es-CO"/>
        </w:rPr>
        <w:t>El plan a diez años se aleja del desarrollo de nuevos fármacos para centrarse en la prevención.</w:t>
      </w:r>
    </w:p>
    <w:p w14:paraId="27F9AB1C"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p>
    <w:p w14:paraId="30262983"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r w:rsidRPr="006B28E8">
        <w:rPr>
          <w:rFonts w:eastAsia="Times New Roman" w:cs="Times New Roman"/>
          <w:bCs/>
          <w:kern w:val="36"/>
          <w:szCs w:val="20"/>
          <w:lang w:val="es-ES" w:eastAsia="es-CO"/>
        </w:rPr>
        <w:t>El plan se alinea con los objetivos adoptados por los Estados miembros en la declaración política de la ONU de 2024 sobre la resistencia a los antimicrobianos (RAMI). Además de la meta principal de reducir en un 10% las muertes asociadas a la RAMI bacteriana para 2030, la declaración estableció una estrategia de cuatro ejes para combatir este problema. Esta estrategia aboga por un uso más prudente de los agentes antimicrobianos en la atención sanitaria, la agricultura y la ganadería, así como por una mejor gestión de las aguas residuales sin tratar y de las emisiones hospitalarias.</w:t>
      </w:r>
    </w:p>
    <w:p w14:paraId="43136659"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p>
    <w:p w14:paraId="5A4A436A"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r w:rsidRPr="006B28E8">
        <w:rPr>
          <w:rFonts w:eastAsia="Times New Roman" w:cs="Times New Roman"/>
          <w:bCs/>
          <w:kern w:val="36"/>
          <w:szCs w:val="20"/>
          <w:lang w:val="es-ES" w:eastAsia="es-CO"/>
        </w:rPr>
        <w:t>El cambio más significativo respecto a la estrategia de 2015 es el giro hacia la prevención como clave para afrontar la crisis, frente al enfoque anterior que se centraba casi exclusivamente en la innovación de nuevos fármacos. El plan prioriza la prevención y el control de infecciones, el acceso a agua y saneamiento, la vacunación, la bioseguridad, las prácticas de cría de animales y la prevención de la contaminación como herramientas fundamentales, relegando el desarrollo de nuevos medicamentos a un papel complementario.</w:t>
      </w:r>
    </w:p>
    <w:p w14:paraId="6E09269A"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p>
    <w:p w14:paraId="701ACDC4"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r w:rsidRPr="006B28E8">
        <w:rPr>
          <w:rFonts w:eastAsia="Times New Roman" w:cs="Times New Roman"/>
          <w:bCs/>
          <w:kern w:val="36"/>
          <w:szCs w:val="20"/>
          <w:lang w:val="es-ES" w:eastAsia="es-CO"/>
        </w:rPr>
        <w:t>La lógica subyacente es que los antibióticos existentes pueden mantener su eficacia durante mucho más tiempo si se abordan los factores que impulsan la resistencia, como el uso excesivo, las deficiencias en el saneamiento y las bajas tasas de vacunación.</w:t>
      </w:r>
    </w:p>
    <w:p w14:paraId="4F54C0BA"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p>
    <w:p w14:paraId="01728866"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r w:rsidRPr="006B28E8">
        <w:rPr>
          <w:rFonts w:eastAsia="Times New Roman" w:cs="Times New Roman"/>
          <w:bCs/>
          <w:kern w:val="36"/>
          <w:szCs w:val="20"/>
          <w:lang w:val="es-ES" w:eastAsia="es-CO"/>
        </w:rPr>
        <w:t>El desarrollo de nuevos fármacos contra la RAMI sigue siendo lento y poco atractivo desde el punto de vista comercial; las empresas farmacéuticas se muestran reticentes a invertir los años y los miles de millones de dólares necesarios para lanzar un nuevo antibiótico que, de utilizarse responsablemente, se reservaría para casos específicos y se prescribiría con poca frecuencia.</w:t>
      </w:r>
    </w:p>
    <w:p w14:paraId="21E768F4"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p>
    <w:p w14:paraId="45B21F73"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r w:rsidRPr="006B28E8">
        <w:rPr>
          <w:rFonts w:eastAsia="Times New Roman" w:cs="Times New Roman"/>
          <w:bCs/>
          <w:kern w:val="36"/>
          <w:szCs w:val="20"/>
          <w:lang w:val="es-ES" w:eastAsia="es-CO"/>
        </w:rPr>
        <w:t>Ya han comenzado a aplicarse nuevos incentivos para dinamizar la investigación y el desarrollo (I+D), como el «modelo de suscripción» del Reino Unido, diseñado para garantizar que se recompense la innovación farmacéutica incluso cuando los nuevos antibióticos se utilizan de forma restringida.</w:t>
      </w:r>
    </w:p>
    <w:p w14:paraId="5D6D56B4"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p>
    <w:p w14:paraId="46A42A55"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r w:rsidRPr="006B28E8">
        <w:rPr>
          <w:rFonts w:eastAsia="Times New Roman" w:cs="Times New Roman"/>
          <w:bCs/>
          <w:kern w:val="36"/>
          <w:szCs w:val="20"/>
          <w:lang w:val="es-ES" w:eastAsia="es-CO"/>
        </w:rPr>
        <w:t>Sin embargo, los responsables de formular políticas reconocen ahora que la innovación por sí sola no puede resolver el problema si no se adopta un enfoque más integral</w:t>
      </w:r>
      <w:r>
        <w:rPr>
          <w:rFonts w:eastAsia="Times New Roman" w:cs="Times New Roman"/>
          <w:bCs/>
          <w:kern w:val="36"/>
          <w:szCs w:val="20"/>
          <w:lang w:val="es-ES" w:eastAsia="es-CO"/>
        </w:rPr>
        <w:t xml:space="preserve">, </w:t>
      </w:r>
      <w:r w:rsidRPr="006B28E8">
        <w:rPr>
          <w:rFonts w:eastAsia="Times New Roman" w:cs="Times New Roman"/>
          <w:bCs/>
          <w:kern w:val="36"/>
          <w:szCs w:val="20"/>
          <w:lang w:val="es-ES" w:eastAsia="es-CO"/>
        </w:rPr>
        <w:t>como el de «Una sola salud» (</w:t>
      </w:r>
      <w:proofErr w:type="spellStart"/>
      <w:r w:rsidRPr="006B28E8">
        <w:rPr>
          <w:rFonts w:eastAsia="Times New Roman" w:cs="Times New Roman"/>
          <w:bCs/>
          <w:kern w:val="36"/>
          <w:szCs w:val="20"/>
          <w:lang w:val="es-ES" w:eastAsia="es-CO"/>
        </w:rPr>
        <w:t>One</w:t>
      </w:r>
      <w:proofErr w:type="spellEnd"/>
      <w:r w:rsidRPr="006B28E8">
        <w:rPr>
          <w:rFonts w:eastAsia="Times New Roman" w:cs="Times New Roman"/>
          <w:bCs/>
          <w:kern w:val="36"/>
          <w:szCs w:val="20"/>
          <w:lang w:val="es-ES" w:eastAsia="es-CO"/>
        </w:rPr>
        <w:t xml:space="preserve"> </w:t>
      </w:r>
      <w:proofErr w:type="spellStart"/>
      <w:r w:rsidRPr="006B28E8">
        <w:rPr>
          <w:rFonts w:eastAsia="Times New Roman" w:cs="Times New Roman"/>
          <w:bCs/>
          <w:kern w:val="36"/>
          <w:szCs w:val="20"/>
          <w:lang w:val="es-ES" w:eastAsia="es-CO"/>
        </w:rPr>
        <w:t>Health</w:t>
      </w:r>
      <w:proofErr w:type="spellEnd"/>
      <w:r w:rsidRPr="006B28E8">
        <w:rPr>
          <w:rFonts w:eastAsia="Times New Roman" w:cs="Times New Roman"/>
          <w:bCs/>
          <w:kern w:val="36"/>
          <w:szCs w:val="20"/>
          <w:lang w:val="es-ES" w:eastAsia="es-CO"/>
        </w:rPr>
        <w:t>)</w:t>
      </w:r>
      <w:r>
        <w:rPr>
          <w:rFonts w:eastAsia="Times New Roman" w:cs="Times New Roman"/>
          <w:bCs/>
          <w:kern w:val="36"/>
          <w:szCs w:val="20"/>
          <w:lang w:val="es-ES" w:eastAsia="es-CO"/>
        </w:rPr>
        <w:t>,</w:t>
      </w:r>
      <w:r w:rsidRPr="006B28E8">
        <w:rPr>
          <w:rFonts w:eastAsia="Times New Roman" w:cs="Times New Roman"/>
          <w:bCs/>
          <w:kern w:val="36"/>
          <w:szCs w:val="20"/>
          <w:lang w:val="es-ES" w:eastAsia="es-CO"/>
        </w:rPr>
        <w:t xml:space="preserve"> que racionalice el uso de medicamentos y limite las oportunidades de que los patógenos muten y se conviertan en virus y bacterias resistentes en la agricultura y los ecosistemas.</w:t>
      </w:r>
    </w:p>
    <w:p w14:paraId="22F8CAC9"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p>
    <w:p w14:paraId="3D883492"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r w:rsidRPr="006B28E8">
        <w:rPr>
          <w:rFonts w:eastAsia="Times New Roman" w:cs="Times New Roman"/>
          <w:bCs/>
          <w:kern w:val="36"/>
          <w:szCs w:val="20"/>
          <w:lang w:val="es-ES" w:eastAsia="es-CO"/>
        </w:rPr>
        <w:t xml:space="preserve">Por primera vez, la estrategia incorpora como obligaciones los aspectos medioambientales de la RAMI, abarcando los vertidos de la industria farmacéutica, las aguas residuales de los centros </w:t>
      </w:r>
      <w:r w:rsidRPr="006B28E8">
        <w:rPr>
          <w:rFonts w:eastAsia="Times New Roman" w:cs="Times New Roman"/>
          <w:bCs/>
          <w:kern w:val="36"/>
          <w:szCs w:val="20"/>
          <w:lang w:val="es-ES" w:eastAsia="es-CO"/>
        </w:rPr>
        <w:t xml:space="preserve">sanitarios y la escorrentía agrícola. El plan también insta a la Organización Mundial de Sanidad Animal (OMSA) a desarrollar un equivalente veterinario de la clasificación </w:t>
      </w:r>
      <w:proofErr w:type="spellStart"/>
      <w:r w:rsidRPr="006B28E8">
        <w:rPr>
          <w:rFonts w:eastAsia="Times New Roman" w:cs="Times New Roman"/>
          <w:bCs/>
          <w:kern w:val="36"/>
          <w:szCs w:val="20"/>
          <w:lang w:val="es-ES" w:eastAsia="es-CO"/>
        </w:rPr>
        <w:t>AWaRe</w:t>
      </w:r>
      <w:proofErr w:type="spellEnd"/>
      <w:r w:rsidRPr="006B28E8">
        <w:rPr>
          <w:rFonts w:eastAsia="Times New Roman" w:cs="Times New Roman"/>
          <w:bCs/>
          <w:kern w:val="36"/>
          <w:szCs w:val="20"/>
          <w:lang w:val="es-ES" w:eastAsia="es-CO"/>
        </w:rPr>
        <w:t xml:space="preserve"> (Acceso, Vigilancia y Reserva) de la OMS para los antibióticos, con el fin de cubrir el vacío de vigilancia derivado del hecho de que la ganadería y la acuicultura representan la mayor parte del uso mundial de antimicrobianos.</w:t>
      </w:r>
    </w:p>
    <w:p w14:paraId="2D559DAE"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p>
    <w:p w14:paraId="488EF17B" w14:textId="77777777" w:rsidR="00232F8A" w:rsidRPr="006B28E8" w:rsidRDefault="00232F8A" w:rsidP="00232F8A">
      <w:pPr>
        <w:shd w:val="clear" w:color="auto" w:fill="FFFFFF"/>
        <w:textAlignment w:val="baseline"/>
        <w:outlineLvl w:val="0"/>
        <w:rPr>
          <w:rFonts w:eastAsia="Times New Roman" w:cs="Times New Roman"/>
          <w:b/>
          <w:bCs/>
          <w:kern w:val="36"/>
          <w:szCs w:val="20"/>
          <w:lang w:val="es-ES" w:eastAsia="es-CO"/>
        </w:rPr>
      </w:pPr>
      <w:r w:rsidRPr="006B28E8">
        <w:rPr>
          <w:rFonts w:eastAsia="Times New Roman" w:cs="Times New Roman"/>
          <w:b/>
          <w:bCs/>
          <w:kern w:val="36"/>
          <w:szCs w:val="20"/>
          <w:lang w:val="es-ES" w:eastAsia="es-CO"/>
        </w:rPr>
        <w:t>La disputa sobre la transferencia de tecnología</w:t>
      </w:r>
    </w:p>
    <w:p w14:paraId="2ED2CA49"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r w:rsidRPr="006B28E8">
        <w:rPr>
          <w:rFonts w:eastAsia="Times New Roman" w:cs="Times New Roman"/>
          <w:bCs/>
          <w:kern w:val="36"/>
          <w:szCs w:val="20"/>
          <w:lang w:val="es-ES" w:eastAsia="es-CO"/>
        </w:rPr>
        <w:t>La adopción del plan este año se pospuso inicialmente en el Consejo Ejecutivo de la OMS en febrero, después de que Brasil, Colombia e Indonesia objetaran la redacción del plan de acción, la cual establecía que las transferencias de patentes, conocimientos técnicos de fabricación y datos desde empresas farmacéuticas a productores de países en desarrollo para innovaciones relacionadas con la RAMI debían realizarse en términos «voluntarios y de mutuo acuerdo».</w:t>
      </w:r>
    </w:p>
    <w:p w14:paraId="67A71AC0"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p>
    <w:p w14:paraId="10BA157D"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r w:rsidRPr="006B28E8">
        <w:rPr>
          <w:rFonts w:eastAsia="Times New Roman" w:cs="Times New Roman"/>
          <w:bCs/>
          <w:kern w:val="36"/>
          <w:szCs w:val="20"/>
          <w:lang w:val="es-ES" w:eastAsia="es-CO"/>
        </w:rPr>
        <w:t>En el fondo, la disputa gira en torno a si los países en desarrollo pueden eludir las patentes de medicamentos durante emergencias sanitarias nacionales para producir versiones genéricas de un fármaco. Esto se basa en un pilar fundamental del Acuerdo sobre los ADPIC (Aspectos de los Derechos de Propiedad Intelectual relacionados con el Comercio) de la Organización Mundial del Comercio. Dicho acuerdo de 1995 estableció las condiciones bajo las cuales los países pueden ejercer su derecho soberano a anular una patente.</w:t>
      </w:r>
    </w:p>
    <w:p w14:paraId="4DD718CD"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p>
    <w:p w14:paraId="4FDF59BF"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r w:rsidRPr="006B28E8">
        <w:rPr>
          <w:rFonts w:eastAsia="Times New Roman" w:cs="Times New Roman"/>
          <w:bCs/>
          <w:kern w:val="36"/>
          <w:szCs w:val="20"/>
          <w:lang w:val="es-ES" w:eastAsia="es-CO"/>
        </w:rPr>
        <w:t>Los defensores del acceso argumentaron que una redacción basada exclusivamente en la voluntariedad sentaba un precedente indeseable, al ignorar el precedente de los ADPIC que establecía el derecho de los países a emitir «licencias obligatorias» para medicamentos nuevos aún protegidos por patente en situaciones de emergencia.</w:t>
      </w:r>
    </w:p>
    <w:p w14:paraId="4682D618"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p>
    <w:p w14:paraId="245C2B2A"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r w:rsidRPr="006B28E8">
        <w:rPr>
          <w:rFonts w:eastAsia="Times New Roman" w:cs="Times New Roman"/>
          <w:bCs/>
          <w:kern w:val="36"/>
          <w:szCs w:val="20"/>
          <w:lang w:val="es-ES" w:eastAsia="es-CO"/>
        </w:rPr>
        <w:t>El texto de compromiso adoptado suaviza la redacción para referirse a «la promoción del intercambio de conocimientos y la transferencia de tecnologías relacionadas con la RAMI, respetando las normas internacionales y nacionales pertinentes». La referencia a las «normas internacionales y nacionales», señalaron los defensores del acceso, deja margen jurídico para que los países tramiten patentes obligatorias en una situación de crisis.</w:t>
      </w:r>
    </w:p>
    <w:p w14:paraId="7EF0B8EE"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p>
    <w:p w14:paraId="73F37805"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r w:rsidRPr="006B28E8">
        <w:rPr>
          <w:rFonts w:eastAsia="Times New Roman" w:cs="Times New Roman"/>
          <w:bCs/>
          <w:kern w:val="36"/>
          <w:szCs w:val="20"/>
          <w:lang w:val="es-ES" w:eastAsia="es-CO"/>
        </w:rPr>
        <w:t>China fue la única delegación que abogó por un enfoque de mayor alcance. Como uno de los mayores productores mundiales de productos sanitarios genéricos, instó a la OMS a «promover la creación de un mecanismo justo y razonable de transferencia de tecnología», así como un canal de financiación específico para el enfoque «Una sola salud» (</w:t>
      </w:r>
      <w:proofErr w:type="spellStart"/>
      <w:r w:rsidRPr="006B28E8">
        <w:rPr>
          <w:rFonts w:eastAsia="Times New Roman" w:cs="Times New Roman"/>
          <w:bCs/>
          <w:kern w:val="36"/>
          <w:szCs w:val="20"/>
          <w:lang w:val="es-ES" w:eastAsia="es-CO"/>
        </w:rPr>
        <w:t>One</w:t>
      </w:r>
      <w:proofErr w:type="spellEnd"/>
      <w:r w:rsidRPr="006B28E8">
        <w:rPr>
          <w:rFonts w:eastAsia="Times New Roman" w:cs="Times New Roman"/>
          <w:bCs/>
          <w:kern w:val="36"/>
          <w:szCs w:val="20"/>
          <w:lang w:val="es-ES" w:eastAsia="es-CO"/>
        </w:rPr>
        <w:t xml:space="preserve"> </w:t>
      </w:r>
      <w:proofErr w:type="spellStart"/>
      <w:r w:rsidRPr="006B28E8">
        <w:rPr>
          <w:rFonts w:eastAsia="Times New Roman" w:cs="Times New Roman"/>
          <w:bCs/>
          <w:kern w:val="36"/>
          <w:szCs w:val="20"/>
          <w:lang w:val="es-ES" w:eastAsia="es-CO"/>
        </w:rPr>
        <w:t>Health</w:t>
      </w:r>
      <w:proofErr w:type="spellEnd"/>
      <w:r w:rsidRPr="006B28E8">
        <w:rPr>
          <w:rFonts w:eastAsia="Times New Roman" w:cs="Times New Roman"/>
          <w:bCs/>
          <w:kern w:val="36"/>
          <w:szCs w:val="20"/>
          <w:lang w:val="es-ES" w:eastAsia="es-CO"/>
        </w:rPr>
        <w:t>) y normas uniformes para la vigilancia de la resistencia a los antimicrobianos (RAMI) en el medio ambiente.</w:t>
      </w:r>
    </w:p>
    <w:p w14:paraId="5E5057DE"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p>
    <w:p w14:paraId="78C642F8" w14:textId="77777777" w:rsidR="00E83A0B" w:rsidRDefault="00232F8A" w:rsidP="00232F8A">
      <w:pPr>
        <w:shd w:val="clear" w:color="auto" w:fill="FFFFFF"/>
        <w:textAlignment w:val="baseline"/>
        <w:outlineLvl w:val="0"/>
        <w:rPr>
          <w:rFonts w:eastAsia="Times New Roman" w:cs="Times New Roman"/>
          <w:bCs/>
          <w:kern w:val="36"/>
          <w:szCs w:val="20"/>
          <w:lang w:val="es-ES" w:eastAsia="es-CO"/>
        </w:rPr>
      </w:pPr>
      <w:r w:rsidRPr="006B28E8">
        <w:rPr>
          <w:rFonts w:eastAsia="Times New Roman" w:cs="Times New Roman"/>
          <w:bCs/>
          <w:kern w:val="36"/>
          <w:szCs w:val="20"/>
          <w:lang w:val="es-ES" w:eastAsia="es-CO"/>
        </w:rPr>
        <w:t xml:space="preserve">Por otra parte, la estrategia actualizada apenas aborda la resistencia a los antimicrobianos (RAMI) en zonas de guerra. </w:t>
      </w:r>
    </w:p>
    <w:p w14:paraId="5E0593F6" w14:textId="77777777" w:rsidR="00E83A0B" w:rsidRDefault="00E83A0B" w:rsidP="00232F8A">
      <w:pPr>
        <w:shd w:val="clear" w:color="auto" w:fill="FFFFFF"/>
        <w:textAlignment w:val="baseline"/>
        <w:outlineLvl w:val="0"/>
        <w:rPr>
          <w:rFonts w:eastAsia="Times New Roman" w:cs="Times New Roman"/>
          <w:bCs/>
          <w:kern w:val="36"/>
          <w:szCs w:val="20"/>
          <w:lang w:val="es-ES" w:eastAsia="es-CO"/>
        </w:rPr>
      </w:pPr>
    </w:p>
    <w:p w14:paraId="4B47C9D2" w14:textId="69041E26"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r w:rsidRPr="006B28E8">
        <w:rPr>
          <w:rFonts w:eastAsia="Times New Roman" w:cs="Times New Roman"/>
          <w:bCs/>
          <w:kern w:val="36"/>
          <w:szCs w:val="20"/>
          <w:lang w:val="es-ES" w:eastAsia="es-CO"/>
        </w:rPr>
        <w:t>A pesar de que es en las zonas de guerra donde el colapso de los sistemas de salud, la interrupción de las cadenas de suministro, los sistemas de agua y saneamiento dañados y los campamentos de desplazados superpoblados aceleran la resistencia con mayor rapidez.</w:t>
      </w:r>
    </w:p>
    <w:p w14:paraId="1C1665E4"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p>
    <w:p w14:paraId="224FA52F"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r w:rsidRPr="006B28E8">
        <w:rPr>
          <w:rFonts w:eastAsia="Times New Roman" w:cs="Times New Roman"/>
          <w:bCs/>
          <w:kern w:val="36"/>
          <w:szCs w:val="20"/>
          <w:lang w:val="es-ES" w:eastAsia="es-CO"/>
        </w:rPr>
        <w:lastRenderedPageBreak/>
        <w:t>El Reino Unido señaló esta carencia en el apoyo a la adopción de medidas y solicitó “directrices explícitas sobre la RAMI en contextos de conflicto”.</w:t>
      </w:r>
    </w:p>
    <w:p w14:paraId="6480CF3E"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p>
    <w:p w14:paraId="3C9B6F31"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r w:rsidRPr="006B28E8">
        <w:rPr>
          <w:rFonts w:eastAsia="Times New Roman" w:cs="Times New Roman"/>
          <w:bCs/>
          <w:kern w:val="36"/>
          <w:szCs w:val="20"/>
          <w:lang w:val="es-ES" w:eastAsia="es-CO"/>
        </w:rPr>
        <w:t>El debate sobre la resistencia a los antimicrobianos (RAMI) también coincidió con otra cuestión de la agenda de la Asamblea Mundial de la Salud de esta semana: los productos médicos de calidad subestándar y falsificados.</w:t>
      </w:r>
    </w:p>
    <w:p w14:paraId="32057355"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p>
    <w:p w14:paraId="16265721"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r w:rsidRPr="006B28E8">
        <w:rPr>
          <w:rFonts w:eastAsia="Times New Roman" w:cs="Times New Roman"/>
          <w:bCs/>
          <w:kern w:val="36"/>
          <w:szCs w:val="20"/>
          <w:lang w:val="es-ES" w:eastAsia="es-CO"/>
        </w:rPr>
        <w:t xml:space="preserve">Un antibiótico falsificado que contiene una cantidad insuficiente de principio activo elimina las bacterias sensibles, pero permite que proliferen las cepas resistentes, acelerando precisamente la dinámica que el plan de acción mundial pretende frenar. Más de la mitad de los productos de calidad subestándar notificados a la OMS son antimicrobianos. </w:t>
      </w:r>
    </w:p>
    <w:p w14:paraId="57E938E5"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p>
    <w:p w14:paraId="293893F7"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r w:rsidRPr="006B28E8">
        <w:rPr>
          <w:rFonts w:eastAsia="Times New Roman" w:cs="Times New Roman"/>
          <w:bCs/>
          <w:kern w:val="36"/>
          <w:szCs w:val="20"/>
          <w:lang w:val="es-ES" w:eastAsia="es-CO"/>
        </w:rPr>
        <w:t>Al igual que ocurre con la RAMI, los medicamentos falsificados afectan con mayor dureza a los países más pobres. La OMS estima que uno de cada diez productos médicos en países de bajos y medianos ingresos es de calidad subestándar o falsificado; en África, la prevalencia alcanza el 18,7%, casi el doble de la media de este grupo de países. A escala mundial, la OMS calcula que los medicamentos de calidad subestándar y falsificados causan la muerte de más de un millón de personas al año.</w:t>
      </w:r>
    </w:p>
    <w:p w14:paraId="7A913E59"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p>
    <w:p w14:paraId="3111D172"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r w:rsidRPr="006B28E8">
        <w:rPr>
          <w:rFonts w:eastAsia="Times New Roman" w:cs="Times New Roman"/>
          <w:bCs/>
          <w:kern w:val="36"/>
          <w:szCs w:val="20"/>
          <w:lang w:val="es-ES" w:eastAsia="es-CO"/>
        </w:rPr>
        <w:t>Solo en el África subsahariana, 267.000 personas mueren anualmente a causa de medicamentos antipalúdicos falsificados y 169.000 por antibióticos falsos utilizados para tratar la neumonía infantil, según un informe de 2023 de la Oficina de las Naciones Unidas contra la Droga y el Delito.</w:t>
      </w:r>
    </w:p>
    <w:p w14:paraId="139CD8A9"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p>
    <w:p w14:paraId="0330817F"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r w:rsidRPr="006B28E8">
        <w:rPr>
          <w:rFonts w:eastAsia="Times New Roman" w:cs="Times New Roman"/>
          <w:bCs/>
          <w:kern w:val="36"/>
          <w:szCs w:val="20"/>
          <w:lang w:val="es-ES" w:eastAsia="es-CO"/>
        </w:rPr>
        <w:t xml:space="preserve">Los mercados en línea e informales surgieron reiteradamente a lo largo del debate. </w:t>
      </w:r>
    </w:p>
    <w:p w14:paraId="76E49E27"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p>
    <w:p w14:paraId="3B944724"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r w:rsidRPr="006B28E8">
        <w:rPr>
          <w:rFonts w:eastAsia="Times New Roman" w:cs="Times New Roman"/>
          <w:bCs/>
          <w:kern w:val="36"/>
          <w:szCs w:val="20"/>
          <w:lang w:val="es-ES" w:eastAsia="es-CO"/>
        </w:rPr>
        <w:t>Por su parte, Brasil advirtió que la lucha contra los productos falsificados no debe realizarse a costa de los medicamentos genéricos legítimos, los cuales son fundamentales para ampliar el acceso de las poblaciones de ingresos bajos y medios y constituyen la columna vertebral de los programas de tratamiento en todo el mundo en desarrollo.</w:t>
      </w:r>
    </w:p>
    <w:p w14:paraId="4279FC21"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p>
    <w:p w14:paraId="5CCA65D6" w14:textId="77777777" w:rsidR="00232F8A" w:rsidRPr="006B28E8" w:rsidRDefault="00232F8A" w:rsidP="00232F8A">
      <w:pPr>
        <w:shd w:val="clear" w:color="auto" w:fill="FFFFFF"/>
        <w:textAlignment w:val="baseline"/>
        <w:outlineLvl w:val="0"/>
        <w:rPr>
          <w:rFonts w:eastAsia="Times New Roman" w:cs="Times New Roman"/>
          <w:bCs/>
          <w:kern w:val="36"/>
          <w:szCs w:val="20"/>
          <w:lang w:val="es-ES" w:eastAsia="es-CO"/>
        </w:rPr>
      </w:pPr>
      <w:r w:rsidRPr="006B28E8">
        <w:rPr>
          <w:rFonts w:eastAsia="Times New Roman" w:cs="Times New Roman"/>
          <w:bCs/>
          <w:kern w:val="36"/>
          <w:szCs w:val="20"/>
          <w:lang w:val="es-ES" w:eastAsia="es-CO"/>
        </w:rPr>
        <w:t>No se adoptó ninguna nueva estrategia ni resolución sobre la cuestión de los medicamentos falsificados.</w:t>
      </w:r>
    </w:p>
    <w:p w14:paraId="5BB1B981" w14:textId="77777777" w:rsidR="00232F8A" w:rsidRPr="006B28E8" w:rsidRDefault="00232F8A" w:rsidP="00232F8A">
      <w:pPr>
        <w:shd w:val="clear" w:color="auto" w:fill="FFFFFF"/>
        <w:textAlignment w:val="baseline"/>
        <w:outlineLvl w:val="0"/>
        <w:rPr>
          <w:rFonts w:eastAsia="Times New Roman" w:cs="Times New Roman"/>
          <w:b/>
          <w:bCs/>
          <w:kern w:val="36"/>
          <w:szCs w:val="20"/>
          <w:lang w:val="es-ES" w:eastAsia="es-CO"/>
        </w:rPr>
      </w:pPr>
    </w:p>
    <w:p w14:paraId="4C265FE1" w14:textId="77777777" w:rsidR="00232F8A" w:rsidRPr="006B28E8" w:rsidRDefault="00232F8A" w:rsidP="00232F8A">
      <w:pPr>
        <w:shd w:val="clear" w:color="auto" w:fill="FFFFFF"/>
        <w:textAlignment w:val="baseline"/>
        <w:outlineLvl w:val="0"/>
        <w:rPr>
          <w:rFonts w:eastAsia="Times New Roman" w:cs="Times New Roman"/>
          <w:b/>
          <w:bCs/>
          <w:kern w:val="36"/>
          <w:szCs w:val="20"/>
          <w:lang w:val="en-US" w:eastAsia="es-CO"/>
        </w:rPr>
      </w:pPr>
      <w:r w:rsidRPr="006B28E8">
        <w:rPr>
          <w:rFonts w:eastAsia="Times New Roman" w:cs="Times New Roman"/>
          <w:b/>
          <w:bCs/>
          <w:kern w:val="36"/>
          <w:szCs w:val="20"/>
          <w:lang w:val="en-US" w:eastAsia="es-CO"/>
        </w:rPr>
        <w:t>Fuente Original</w:t>
      </w:r>
    </w:p>
    <w:p w14:paraId="773928A8" w14:textId="57DC1F15" w:rsidR="00232F8A" w:rsidRDefault="00232F8A" w:rsidP="00232F8A">
      <w:pPr>
        <w:shd w:val="clear" w:color="auto" w:fill="FFFFFF"/>
        <w:textAlignment w:val="baseline"/>
        <w:outlineLvl w:val="0"/>
        <w:rPr>
          <w:rFonts w:eastAsia="Times New Roman" w:cs="Times New Roman"/>
          <w:bCs/>
          <w:kern w:val="36"/>
          <w:sz w:val="18"/>
          <w:szCs w:val="18"/>
          <w:lang w:val="en-US" w:eastAsia="es-CO"/>
        </w:rPr>
      </w:pPr>
      <w:r w:rsidRPr="006B28E8">
        <w:rPr>
          <w:rFonts w:eastAsia="Times New Roman" w:cs="Times New Roman"/>
          <w:bCs/>
          <w:kern w:val="36"/>
          <w:sz w:val="18"/>
          <w:szCs w:val="18"/>
          <w:lang w:val="en-US" w:eastAsia="es-CO"/>
        </w:rPr>
        <w:t>Anderson, Stefan. WHA Member States Approve Antimicrobial Resistance Strategy After Resolving Tech Transfer Debate</w:t>
      </w:r>
      <w:r>
        <w:rPr>
          <w:rFonts w:eastAsia="Times New Roman" w:cs="Times New Roman"/>
          <w:bCs/>
          <w:kern w:val="36"/>
          <w:sz w:val="18"/>
          <w:szCs w:val="18"/>
          <w:lang w:val="en-US" w:eastAsia="es-CO"/>
        </w:rPr>
        <w:t xml:space="preserve">. </w:t>
      </w:r>
      <w:r w:rsidRPr="006B28E8">
        <w:rPr>
          <w:rFonts w:eastAsia="Times New Roman" w:cs="Times New Roman"/>
          <w:bCs/>
          <w:kern w:val="36"/>
          <w:sz w:val="18"/>
          <w:szCs w:val="18"/>
          <w:lang w:val="en-US" w:eastAsia="es-CO"/>
        </w:rPr>
        <w:t xml:space="preserve">Antimicrobial Resistance. Health Policy Watch 23 de mayo de 2026 </w:t>
      </w:r>
      <w:hyperlink r:id="rId28" w:history="1">
        <w:r w:rsidRPr="001F29B1">
          <w:rPr>
            <w:rStyle w:val="Hipervnculo"/>
            <w:rFonts w:eastAsia="Times New Roman" w:cs="Times New Roman"/>
            <w:bCs/>
            <w:kern w:val="36"/>
            <w:sz w:val="18"/>
            <w:szCs w:val="18"/>
            <w:lang w:val="en-US" w:eastAsia="es-CO"/>
          </w:rPr>
          <w:t>https://healthpolicy-watch.news/wha-member-states-approve-who-antimicrobial-resistance-strategy-after-resolving-tech-transfer-debate/</w:t>
        </w:r>
      </w:hyperlink>
    </w:p>
    <w:p w14:paraId="086D76C8" w14:textId="77777777" w:rsidR="004E2C2A" w:rsidRDefault="004E2C2A" w:rsidP="00232F8A">
      <w:pPr>
        <w:rPr>
          <w:b/>
          <w:bCs/>
          <w:color w:val="000000" w:themeColor="text1"/>
          <w:lang w:val="en-US"/>
        </w:rPr>
        <w:sectPr w:rsidR="004E2C2A" w:rsidSect="004E2C2A">
          <w:type w:val="continuous"/>
          <w:pgSz w:w="12240" w:h="15840" w:code="1"/>
          <w:pgMar w:top="720" w:right="720" w:bottom="720" w:left="720" w:header="288" w:footer="288" w:gutter="0"/>
          <w:cols w:num="2" w:space="288"/>
          <w:docGrid w:linePitch="360"/>
        </w:sectPr>
      </w:pPr>
    </w:p>
    <w:p w14:paraId="585F3A60" w14:textId="77777777" w:rsidR="00232F8A" w:rsidRPr="00232F8A" w:rsidRDefault="00232F8A" w:rsidP="004E2C2A">
      <w:pPr>
        <w:rPr>
          <w:b/>
          <w:bCs/>
          <w:color w:val="000000" w:themeColor="text1"/>
          <w:lang w:val="en-US"/>
        </w:rPr>
      </w:pPr>
    </w:p>
    <w:p w14:paraId="23DB1997" w14:textId="74BA88F1" w:rsidR="00787737" w:rsidRPr="00FA6A1B" w:rsidRDefault="00787737" w:rsidP="00787737">
      <w:pPr>
        <w:ind w:left="180" w:hanging="180"/>
        <w:jc w:val="center"/>
        <w:rPr>
          <w:b/>
          <w:bCs/>
          <w:color w:val="000000" w:themeColor="text1"/>
        </w:rPr>
      </w:pPr>
      <w:r w:rsidRPr="00FA6A1B">
        <w:rPr>
          <w:b/>
          <w:bCs/>
          <w:color w:val="000000" w:themeColor="text1"/>
        </w:rPr>
        <w:t xml:space="preserve">La ofensiva mundial contra los productos farmacéuticos ilícitos registra incautaciones por valor de </w:t>
      </w:r>
      <w:r>
        <w:rPr>
          <w:b/>
          <w:bCs/>
          <w:color w:val="000000" w:themeColor="text1"/>
        </w:rPr>
        <w:t>US$</w:t>
      </w:r>
      <w:r w:rsidRPr="00FA6A1B">
        <w:rPr>
          <w:b/>
          <w:bCs/>
          <w:color w:val="000000" w:themeColor="text1"/>
        </w:rPr>
        <w:t>15</w:t>
      </w:r>
      <w:r>
        <w:rPr>
          <w:b/>
          <w:bCs/>
          <w:color w:val="000000" w:themeColor="text1"/>
        </w:rPr>
        <w:t>,</w:t>
      </w:r>
      <w:r w:rsidRPr="00FA6A1B">
        <w:rPr>
          <w:b/>
          <w:bCs/>
          <w:color w:val="000000" w:themeColor="text1"/>
        </w:rPr>
        <w:t>5 millones</w:t>
      </w:r>
    </w:p>
    <w:p w14:paraId="27717FE3" w14:textId="77777777" w:rsidR="00787737" w:rsidRPr="005A092D" w:rsidRDefault="00787737" w:rsidP="00787737">
      <w:pPr>
        <w:ind w:left="180" w:hanging="180"/>
        <w:jc w:val="center"/>
        <w:rPr>
          <w:b/>
          <w:bCs/>
          <w:i/>
          <w:iCs/>
          <w:color w:val="000000" w:themeColor="text1"/>
          <w:szCs w:val="20"/>
          <w:lang w:val="en-US"/>
        </w:rPr>
      </w:pPr>
      <w:r w:rsidRPr="005A092D">
        <w:rPr>
          <w:i/>
          <w:iCs/>
          <w:szCs w:val="20"/>
          <w:lang w:val="en-US"/>
        </w:rPr>
        <w:t>(Global crackdown on illicit pharmaceuticals sees USD 15.5 million in seizures)</w:t>
      </w:r>
    </w:p>
    <w:p w14:paraId="4843ECA0" w14:textId="77777777" w:rsidR="00787737" w:rsidRPr="005A092D" w:rsidRDefault="00787737" w:rsidP="00787737">
      <w:pPr>
        <w:ind w:left="180" w:hanging="180"/>
        <w:jc w:val="center"/>
        <w:rPr>
          <w:szCs w:val="20"/>
        </w:rPr>
      </w:pPr>
      <w:r w:rsidRPr="00410D02">
        <w:rPr>
          <w:rFonts w:cs="Times New Roman"/>
          <w:i/>
          <w:szCs w:val="20"/>
        </w:rPr>
        <w:t>INTERPOL</w:t>
      </w:r>
      <w:r w:rsidRPr="005A092D">
        <w:rPr>
          <w:szCs w:val="20"/>
        </w:rPr>
        <w:t xml:space="preserve">, 7 de mayo de 2026 </w:t>
      </w:r>
    </w:p>
    <w:p w14:paraId="70D982B3" w14:textId="77777777" w:rsidR="00787737" w:rsidRPr="005A092D" w:rsidRDefault="00B00DA4" w:rsidP="00787737">
      <w:pPr>
        <w:ind w:left="180" w:hanging="180"/>
        <w:jc w:val="center"/>
        <w:rPr>
          <w:szCs w:val="20"/>
        </w:rPr>
      </w:pPr>
      <w:hyperlink r:id="rId29" w:history="1">
        <w:r w:rsidR="00787737" w:rsidRPr="005A092D">
          <w:rPr>
            <w:rStyle w:val="Hipervnculo"/>
            <w:szCs w:val="20"/>
          </w:rPr>
          <w:t>https://www.interpol.int/es/Noticias-y-acontecimientos/Noticias/2026/Global-crackdown-on-illicit-pharmaceuticals-sees-USD-15.5-million-in-seizures</w:t>
        </w:r>
      </w:hyperlink>
    </w:p>
    <w:p w14:paraId="6377FF4B" w14:textId="79991869" w:rsidR="00787737" w:rsidRDefault="00787737" w:rsidP="00787737">
      <w:pPr>
        <w:jc w:val="center"/>
      </w:pPr>
      <w:r>
        <w:rPr>
          <w:rFonts w:eastAsia="Times New Roman" w:cs="Times New Roman"/>
          <w:szCs w:val="20"/>
        </w:rPr>
        <w:t xml:space="preserve">Traducido por Salud y Fármacos, publicado en </w:t>
      </w:r>
      <w:r w:rsidRPr="00CA5ACC">
        <w:rPr>
          <w:rFonts w:cs="Times New Roman"/>
          <w:i/>
          <w:iCs/>
          <w:szCs w:val="20"/>
        </w:rPr>
        <w:t>Boletín Fármacos</w:t>
      </w:r>
      <w:r w:rsidR="005A3F3F" w:rsidRPr="00734AA9">
        <w:rPr>
          <w:rFonts w:cs="Times New Roman"/>
          <w:i/>
          <w:szCs w:val="20"/>
          <w:lang w:val="es-ES"/>
        </w:rPr>
        <w:t xml:space="preserve">: </w:t>
      </w:r>
      <w:r w:rsidR="005A3F3F">
        <w:rPr>
          <w:rFonts w:cs="Times New Roman"/>
          <w:i/>
          <w:szCs w:val="20"/>
          <w:lang w:val="es-ES"/>
        </w:rPr>
        <w:t>Agencias Reguladoras</w:t>
      </w:r>
      <w:r w:rsidRPr="00A82C9C">
        <w:rPr>
          <w:rFonts w:eastAsia="Times New Roman" w:cs="Times New Roman"/>
          <w:bCs/>
          <w:i/>
          <w:iCs/>
          <w:color w:val="000000" w:themeColor="text1"/>
          <w:szCs w:val="16"/>
          <w:lang w:val="es-ES"/>
        </w:rPr>
        <w:t xml:space="preserve"> 202</w:t>
      </w:r>
      <w:r>
        <w:rPr>
          <w:rFonts w:eastAsia="Times New Roman" w:cs="Times New Roman"/>
          <w:bCs/>
          <w:i/>
          <w:iCs/>
          <w:color w:val="000000" w:themeColor="text1"/>
          <w:szCs w:val="16"/>
          <w:lang w:val="es-ES"/>
        </w:rPr>
        <w:t>6</w:t>
      </w:r>
      <w:r w:rsidRPr="00A82C9C">
        <w:rPr>
          <w:rFonts w:eastAsia="Times New Roman" w:cs="Times New Roman"/>
          <w:bCs/>
          <w:i/>
          <w:iCs/>
          <w:color w:val="000000" w:themeColor="text1"/>
          <w:szCs w:val="16"/>
          <w:lang w:val="es-ES"/>
        </w:rPr>
        <w:t>; 2</w:t>
      </w:r>
      <w:r>
        <w:rPr>
          <w:rFonts w:eastAsia="Times New Roman" w:cs="Times New Roman"/>
          <w:bCs/>
          <w:i/>
          <w:iCs/>
          <w:color w:val="000000" w:themeColor="text1"/>
          <w:szCs w:val="16"/>
          <w:lang w:val="es-ES"/>
        </w:rPr>
        <w:t>9</w:t>
      </w:r>
      <w:r w:rsidRPr="00A82C9C">
        <w:rPr>
          <w:rFonts w:eastAsia="Times New Roman" w:cs="Times New Roman"/>
          <w:bCs/>
          <w:i/>
          <w:iCs/>
          <w:color w:val="000000" w:themeColor="text1"/>
          <w:szCs w:val="16"/>
          <w:lang w:val="es-ES"/>
        </w:rPr>
        <w:t>(</w:t>
      </w:r>
      <w:r>
        <w:rPr>
          <w:rFonts w:eastAsia="Times New Roman" w:cs="Times New Roman"/>
          <w:bCs/>
          <w:i/>
          <w:iCs/>
          <w:color w:val="000000" w:themeColor="text1"/>
          <w:szCs w:val="16"/>
          <w:lang w:val="es-ES"/>
        </w:rPr>
        <w:t>3</w:t>
      </w:r>
      <w:r w:rsidRPr="00A82C9C">
        <w:rPr>
          <w:rFonts w:eastAsia="Times New Roman" w:cs="Times New Roman"/>
          <w:bCs/>
          <w:i/>
          <w:iCs/>
          <w:color w:val="000000" w:themeColor="text1"/>
          <w:szCs w:val="16"/>
          <w:lang w:val="es-ES"/>
        </w:rPr>
        <w:t>)</w:t>
      </w:r>
    </w:p>
    <w:p w14:paraId="0D89BA3D" w14:textId="77777777" w:rsidR="00787737" w:rsidRDefault="00787737" w:rsidP="00787737">
      <w:pPr>
        <w:rPr>
          <w:color w:val="000000" w:themeColor="text1"/>
        </w:rPr>
      </w:pPr>
    </w:p>
    <w:p w14:paraId="7A160A58" w14:textId="77777777" w:rsidR="00E83A0B" w:rsidRDefault="00E83A0B" w:rsidP="00787737">
      <w:pPr>
        <w:rPr>
          <w:b/>
          <w:bCs/>
          <w:color w:val="000000" w:themeColor="text1"/>
          <w:sz w:val="18"/>
          <w:szCs w:val="22"/>
        </w:rPr>
        <w:sectPr w:rsidR="00E83A0B" w:rsidSect="00F25512">
          <w:type w:val="continuous"/>
          <w:pgSz w:w="12240" w:h="15840" w:code="1"/>
          <w:pgMar w:top="720" w:right="720" w:bottom="720" w:left="720" w:header="288" w:footer="288" w:gutter="0"/>
          <w:cols w:space="288"/>
          <w:docGrid w:linePitch="360"/>
        </w:sectPr>
      </w:pPr>
    </w:p>
    <w:p w14:paraId="4650B9EE" w14:textId="170A1D63" w:rsidR="00787737" w:rsidRPr="00E4166A" w:rsidRDefault="00787737" w:rsidP="00787737">
      <w:pPr>
        <w:rPr>
          <w:b/>
          <w:bCs/>
          <w:color w:val="000000" w:themeColor="text1"/>
          <w:sz w:val="18"/>
          <w:szCs w:val="22"/>
        </w:rPr>
      </w:pPr>
      <w:r w:rsidRPr="00753CDC">
        <w:rPr>
          <w:b/>
          <w:bCs/>
          <w:color w:val="000000" w:themeColor="text1"/>
          <w:sz w:val="18"/>
          <w:szCs w:val="22"/>
        </w:rPr>
        <w:t>Tags:</w:t>
      </w:r>
      <w:r>
        <w:rPr>
          <w:b/>
          <w:bCs/>
          <w:color w:val="000000" w:themeColor="text1"/>
          <w:sz w:val="18"/>
          <w:szCs w:val="22"/>
        </w:rPr>
        <w:t xml:space="preserve"> </w:t>
      </w:r>
      <w:r w:rsidRPr="00FA6A1B">
        <w:rPr>
          <w:b/>
          <w:bCs/>
          <w:color w:val="000000" w:themeColor="text1"/>
          <w:sz w:val="18"/>
          <w:szCs w:val="22"/>
        </w:rPr>
        <w:t>productos farmacéuticos ilícitos, incautaciones de fármacos, fármacos ilegales</w:t>
      </w:r>
      <w:r>
        <w:rPr>
          <w:b/>
          <w:bCs/>
          <w:color w:val="000000" w:themeColor="text1"/>
          <w:sz w:val="18"/>
          <w:szCs w:val="22"/>
        </w:rPr>
        <w:t xml:space="preserve">, </w:t>
      </w:r>
      <w:r w:rsidRPr="00E4166A">
        <w:rPr>
          <w:rFonts w:cs="Times New Roman"/>
          <w:b/>
          <w:bCs/>
          <w:color w:val="000000" w:themeColor="text1"/>
          <w:sz w:val="18"/>
          <w:szCs w:val="18"/>
        </w:rPr>
        <w:t>productos farmacéuticos no autorizados, fármacos falsificados</w:t>
      </w:r>
    </w:p>
    <w:p w14:paraId="21F9AE83" w14:textId="77777777" w:rsidR="00787737" w:rsidRDefault="00787737" w:rsidP="00787737">
      <w:pPr>
        <w:jc w:val="center"/>
        <w:rPr>
          <w:b/>
          <w:bCs/>
          <w:color w:val="000000" w:themeColor="text1"/>
        </w:rPr>
      </w:pPr>
    </w:p>
    <w:p w14:paraId="02A8A346" w14:textId="77777777" w:rsidR="00787737" w:rsidRDefault="00787737" w:rsidP="00787737">
      <w:pPr>
        <w:rPr>
          <w:rFonts w:cs="Times New Roman"/>
          <w:color w:val="000000" w:themeColor="text1"/>
          <w:szCs w:val="20"/>
        </w:rPr>
      </w:pPr>
      <w:r w:rsidRPr="00922E55">
        <w:rPr>
          <w:rFonts w:cs="Times New Roman"/>
          <w:color w:val="000000" w:themeColor="text1"/>
          <w:szCs w:val="20"/>
        </w:rPr>
        <w:t xml:space="preserve">La desinformación y los canales en línea impulsan el surgimiento de </w:t>
      </w:r>
      <w:r>
        <w:rPr>
          <w:rFonts w:cs="Times New Roman"/>
          <w:color w:val="000000" w:themeColor="text1"/>
          <w:szCs w:val="20"/>
        </w:rPr>
        <w:t xml:space="preserve">medicamentos no aprobados: </w:t>
      </w:r>
      <w:r w:rsidRPr="00922E55">
        <w:rPr>
          <w:rFonts w:cs="Times New Roman"/>
          <w:color w:val="000000" w:themeColor="text1"/>
          <w:szCs w:val="20"/>
        </w:rPr>
        <w:t>antiparasitarios, esteroides y medicamentos para mejorar el estilo de vida.</w:t>
      </w:r>
    </w:p>
    <w:p w14:paraId="1A8C5314" w14:textId="77777777" w:rsidR="00787737" w:rsidRPr="00922E55" w:rsidRDefault="00787737" w:rsidP="00787737">
      <w:pPr>
        <w:rPr>
          <w:rFonts w:cs="Times New Roman"/>
          <w:color w:val="000000" w:themeColor="text1"/>
          <w:szCs w:val="20"/>
        </w:rPr>
      </w:pPr>
    </w:p>
    <w:p w14:paraId="145BE4E9" w14:textId="77777777" w:rsidR="00787737" w:rsidRPr="00922E55" w:rsidRDefault="00787737" w:rsidP="00787737">
      <w:pPr>
        <w:rPr>
          <w:rFonts w:cs="Times New Roman"/>
          <w:color w:val="000000" w:themeColor="text1"/>
          <w:szCs w:val="20"/>
        </w:rPr>
      </w:pPr>
      <w:r w:rsidRPr="00922E55">
        <w:rPr>
          <w:rFonts w:cs="Times New Roman"/>
          <w:color w:val="000000" w:themeColor="text1"/>
          <w:szCs w:val="20"/>
        </w:rPr>
        <w:t>Una operación coordinada por la INTERPOL en 90 países y territorios ha resultado en la incautación de 6</w:t>
      </w:r>
      <w:r>
        <w:rPr>
          <w:rFonts w:cs="Times New Roman"/>
          <w:color w:val="000000" w:themeColor="text1"/>
          <w:szCs w:val="20"/>
        </w:rPr>
        <w:t>,</w:t>
      </w:r>
      <w:r w:rsidRPr="00922E55">
        <w:rPr>
          <w:rFonts w:cs="Times New Roman"/>
          <w:color w:val="000000" w:themeColor="text1"/>
          <w:szCs w:val="20"/>
        </w:rPr>
        <w:t xml:space="preserve">42 millones de dosis de productos farmacéuticos no autorizados y falsificados, valorados en </w:t>
      </w:r>
      <w:r>
        <w:rPr>
          <w:rFonts w:cs="Times New Roman"/>
          <w:color w:val="000000" w:themeColor="text1"/>
          <w:szCs w:val="20"/>
        </w:rPr>
        <w:t>US$</w:t>
      </w:r>
      <w:r w:rsidRPr="00922E55">
        <w:rPr>
          <w:rFonts w:cs="Times New Roman"/>
          <w:color w:val="000000" w:themeColor="text1"/>
          <w:szCs w:val="20"/>
        </w:rPr>
        <w:t>15</w:t>
      </w:r>
      <w:r>
        <w:rPr>
          <w:rFonts w:cs="Times New Roman"/>
          <w:color w:val="000000" w:themeColor="text1"/>
          <w:szCs w:val="20"/>
        </w:rPr>
        <w:t>,</w:t>
      </w:r>
      <w:r w:rsidRPr="00922E55">
        <w:rPr>
          <w:rFonts w:cs="Times New Roman"/>
          <w:color w:val="000000" w:themeColor="text1"/>
          <w:szCs w:val="20"/>
        </w:rPr>
        <w:t>5 millones.</w:t>
      </w:r>
    </w:p>
    <w:p w14:paraId="2469836E" w14:textId="77777777" w:rsidR="00787737" w:rsidRPr="00922E55" w:rsidRDefault="00787737" w:rsidP="00787737">
      <w:pPr>
        <w:rPr>
          <w:rFonts w:cs="Times New Roman"/>
          <w:color w:val="000000" w:themeColor="text1"/>
          <w:szCs w:val="20"/>
        </w:rPr>
      </w:pPr>
    </w:p>
    <w:p w14:paraId="7EE3E30E" w14:textId="77777777" w:rsidR="00787737" w:rsidRPr="005C5D82" w:rsidRDefault="00787737" w:rsidP="00787737">
      <w:pPr>
        <w:rPr>
          <w:rFonts w:cs="Times New Roman"/>
          <w:color w:val="000000" w:themeColor="text1"/>
          <w:szCs w:val="20"/>
        </w:rPr>
      </w:pPr>
      <w:r w:rsidRPr="00922E55">
        <w:rPr>
          <w:rFonts w:cs="Times New Roman"/>
          <w:color w:val="000000" w:themeColor="text1"/>
          <w:szCs w:val="20"/>
        </w:rPr>
        <w:t>La Operación Pangea XVIII (del 10 al 23 de marzo de 2026) condujo a 269 arrestos y al desmantelamiento de 66 grupos criminales involucrados en el tráfico ilícito de productos farmacéuticos.</w:t>
      </w:r>
      <w:r>
        <w:rPr>
          <w:rFonts w:cs="Times New Roman"/>
          <w:color w:val="000000" w:themeColor="text1"/>
          <w:szCs w:val="20"/>
        </w:rPr>
        <w:t xml:space="preserve"> A nivel global, los guardianes de la ley </w:t>
      </w:r>
      <w:r w:rsidRPr="00922E55">
        <w:rPr>
          <w:rFonts w:cs="Times New Roman"/>
          <w:color w:val="000000" w:themeColor="text1"/>
          <w:szCs w:val="20"/>
        </w:rPr>
        <w:t>iniciaron 392 investigaciones y ejecutaron 158 órdenes de registro d</w:t>
      </w:r>
      <w:r>
        <w:rPr>
          <w:rFonts w:cs="Times New Roman"/>
          <w:color w:val="000000" w:themeColor="text1"/>
          <w:szCs w:val="20"/>
        </w:rPr>
        <w:t>e</w:t>
      </w:r>
      <w:r w:rsidRPr="00922E55">
        <w:rPr>
          <w:rFonts w:cs="Times New Roman"/>
          <w:color w:val="000000" w:themeColor="text1"/>
          <w:szCs w:val="20"/>
        </w:rPr>
        <w:t xml:space="preserve"> redes criminales que distribuían productos médicos no autorizados, falsificados, de calidad inferior y adulterados.</w:t>
      </w:r>
    </w:p>
    <w:p w14:paraId="078A96F6" w14:textId="77777777" w:rsidR="00787737" w:rsidRPr="0036189F" w:rsidRDefault="00787737" w:rsidP="00787737">
      <w:pPr>
        <w:rPr>
          <w:rFonts w:cs="Times New Roman"/>
          <w:color w:val="EE0000"/>
          <w:szCs w:val="20"/>
        </w:rPr>
      </w:pPr>
    </w:p>
    <w:p w14:paraId="6ACE0D0B" w14:textId="77777777" w:rsidR="00787737" w:rsidRPr="00922E55" w:rsidRDefault="00787737" w:rsidP="00787737">
      <w:pPr>
        <w:rPr>
          <w:rFonts w:cs="Times New Roman"/>
          <w:color w:val="000000" w:themeColor="text1"/>
          <w:szCs w:val="20"/>
        </w:rPr>
      </w:pPr>
      <w:r w:rsidRPr="00922E55">
        <w:rPr>
          <w:rFonts w:cs="Times New Roman"/>
          <w:color w:val="000000" w:themeColor="text1"/>
          <w:szCs w:val="20"/>
        </w:rPr>
        <w:t>Entre los productos más incautados se encontraban medicamentos para la disfunción eréctil, sedantes, analgésicos, antibióticos y productos para dejar de fumar.</w:t>
      </w:r>
    </w:p>
    <w:p w14:paraId="7DD7493E" w14:textId="77777777" w:rsidR="00787737" w:rsidRPr="00922E55" w:rsidRDefault="00787737" w:rsidP="00787737">
      <w:pPr>
        <w:rPr>
          <w:rFonts w:cs="Times New Roman"/>
          <w:color w:val="000000" w:themeColor="text1"/>
          <w:szCs w:val="20"/>
        </w:rPr>
      </w:pPr>
    </w:p>
    <w:p w14:paraId="4721BF3E" w14:textId="77777777" w:rsidR="00787737" w:rsidRPr="00922E55" w:rsidRDefault="00787737" w:rsidP="00787737">
      <w:pPr>
        <w:rPr>
          <w:rFonts w:cs="Times New Roman"/>
          <w:color w:val="000000" w:themeColor="text1"/>
          <w:szCs w:val="20"/>
        </w:rPr>
      </w:pPr>
      <w:r w:rsidRPr="00922E55">
        <w:rPr>
          <w:rFonts w:cs="Times New Roman"/>
          <w:color w:val="000000" w:themeColor="text1"/>
          <w:szCs w:val="20"/>
        </w:rPr>
        <w:t>Además, las operaciones de control digital desmantelaron aproximadamente 5</w:t>
      </w:r>
      <w:r>
        <w:rPr>
          <w:rFonts w:cs="Times New Roman"/>
          <w:color w:val="000000" w:themeColor="text1"/>
          <w:szCs w:val="20"/>
        </w:rPr>
        <w:t>.</w:t>
      </w:r>
      <w:r w:rsidRPr="00922E55">
        <w:rPr>
          <w:rFonts w:cs="Times New Roman"/>
          <w:color w:val="000000" w:themeColor="text1"/>
          <w:szCs w:val="20"/>
        </w:rPr>
        <w:t xml:space="preserve">700 sitios web, páginas de redes sociales, canales y </w:t>
      </w:r>
      <w:proofErr w:type="spellStart"/>
      <w:r w:rsidRPr="00922E55">
        <w:rPr>
          <w:rFonts w:cs="Times New Roman"/>
          <w:color w:val="000000" w:themeColor="text1"/>
          <w:szCs w:val="20"/>
        </w:rPr>
        <w:t>bots</w:t>
      </w:r>
      <w:proofErr w:type="spellEnd"/>
      <w:r w:rsidRPr="00922E55">
        <w:rPr>
          <w:rFonts w:cs="Times New Roman"/>
          <w:color w:val="000000" w:themeColor="text1"/>
          <w:szCs w:val="20"/>
        </w:rPr>
        <w:t xml:space="preserve"> automatizados vinculados a </w:t>
      </w:r>
      <w:r>
        <w:rPr>
          <w:rFonts w:cs="Times New Roman"/>
          <w:color w:val="000000" w:themeColor="text1"/>
          <w:szCs w:val="20"/>
        </w:rPr>
        <w:t xml:space="preserve">la </w:t>
      </w:r>
      <w:r w:rsidRPr="00922E55">
        <w:rPr>
          <w:rFonts w:cs="Times New Roman"/>
          <w:color w:val="000000" w:themeColor="text1"/>
          <w:szCs w:val="20"/>
        </w:rPr>
        <w:t xml:space="preserve">delincuencia </w:t>
      </w:r>
      <w:r w:rsidRPr="00922E55">
        <w:rPr>
          <w:rFonts w:cs="Times New Roman"/>
          <w:color w:val="000000" w:themeColor="text1"/>
          <w:szCs w:val="20"/>
        </w:rPr>
        <w:t xml:space="preserve">organizada, </w:t>
      </w:r>
      <w:r>
        <w:rPr>
          <w:rFonts w:cs="Times New Roman"/>
          <w:color w:val="000000" w:themeColor="text1"/>
          <w:szCs w:val="20"/>
        </w:rPr>
        <w:t xml:space="preserve">que se </w:t>
      </w:r>
      <w:r w:rsidRPr="00922E55">
        <w:rPr>
          <w:rFonts w:cs="Times New Roman"/>
          <w:color w:val="000000" w:themeColor="text1"/>
          <w:szCs w:val="20"/>
        </w:rPr>
        <w:t>utiliza</w:t>
      </w:r>
      <w:r>
        <w:rPr>
          <w:rFonts w:cs="Times New Roman"/>
          <w:color w:val="000000" w:themeColor="text1"/>
          <w:szCs w:val="20"/>
        </w:rPr>
        <w:t>ban</w:t>
      </w:r>
      <w:r w:rsidRPr="00922E55">
        <w:rPr>
          <w:rFonts w:cs="Times New Roman"/>
          <w:color w:val="000000" w:themeColor="text1"/>
          <w:szCs w:val="20"/>
        </w:rPr>
        <w:t xml:space="preserve"> para comercializar y vender medicamentos ilícitos.</w:t>
      </w:r>
    </w:p>
    <w:p w14:paraId="74B280C4" w14:textId="77777777" w:rsidR="00787737" w:rsidRPr="00922E55" w:rsidRDefault="00787737" w:rsidP="00787737">
      <w:pPr>
        <w:rPr>
          <w:rFonts w:cs="Times New Roman"/>
          <w:color w:val="EE0000"/>
          <w:szCs w:val="20"/>
        </w:rPr>
      </w:pPr>
    </w:p>
    <w:p w14:paraId="7F02D7D6" w14:textId="77777777" w:rsidR="00787737" w:rsidRPr="00350595" w:rsidRDefault="00787737" w:rsidP="00787737">
      <w:pPr>
        <w:rPr>
          <w:rFonts w:cs="Times New Roman"/>
          <w:color w:val="000000" w:themeColor="text1"/>
          <w:szCs w:val="20"/>
        </w:rPr>
      </w:pPr>
      <w:r w:rsidRPr="00350595">
        <w:rPr>
          <w:rFonts w:cs="Times New Roman"/>
          <w:color w:val="000000" w:themeColor="text1"/>
          <w:szCs w:val="20"/>
        </w:rPr>
        <w:t>La Secretaria General de</w:t>
      </w:r>
      <w:r>
        <w:rPr>
          <w:rFonts w:cs="Times New Roman"/>
          <w:color w:val="000000" w:themeColor="text1"/>
          <w:szCs w:val="20"/>
        </w:rPr>
        <w:t xml:space="preserve"> la</w:t>
      </w:r>
      <w:r w:rsidRPr="00350595">
        <w:rPr>
          <w:rFonts w:cs="Times New Roman"/>
          <w:color w:val="000000" w:themeColor="text1"/>
          <w:szCs w:val="20"/>
        </w:rPr>
        <w:t xml:space="preserve"> INTERPOL, </w:t>
      </w:r>
      <w:proofErr w:type="spellStart"/>
      <w:r w:rsidRPr="00350595">
        <w:rPr>
          <w:rFonts w:cs="Times New Roman"/>
          <w:color w:val="000000" w:themeColor="text1"/>
          <w:szCs w:val="20"/>
        </w:rPr>
        <w:t>Valdecy</w:t>
      </w:r>
      <w:proofErr w:type="spellEnd"/>
      <w:r w:rsidRPr="00350595">
        <w:rPr>
          <w:rFonts w:cs="Times New Roman"/>
          <w:color w:val="000000" w:themeColor="text1"/>
          <w:szCs w:val="20"/>
        </w:rPr>
        <w:t xml:space="preserve"> Urquiza, declaró:</w:t>
      </w:r>
    </w:p>
    <w:p w14:paraId="2B1F17AB" w14:textId="77777777" w:rsidR="00787737" w:rsidRPr="00350595" w:rsidRDefault="00787737" w:rsidP="00787737">
      <w:pPr>
        <w:rPr>
          <w:rFonts w:cs="Times New Roman"/>
          <w:color w:val="000000" w:themeColor="text1"/>
          <w:szCs w:val="20"/>
        </w:rPr>
      </w:pPr>
    </w:p>
    <w:p w14:paraId="62DBB663" w14:textId="7EC22AD6" w:rsidR="00787737" w:rsidRPr="00350595" w:rsidRDefault="00787737" w:rsidP="00787737">
      <w:pPr>
        <w:rPr>
          <w:rFonts w:cs="Times New Roman"/>
          <w:color w:val="000000" w:themeColor="text1"/>
          <w:szCs w:val="20"/>
        </w:rPr>
      </w:pPr>
      <w:r w:rsidRPr="00350595">
        <w:rPr>
          <w:rFonts w:cs="Times New Roman"/>
          <w:color w:val="000000" w:themeColor="text1"/>
          <w:szCs w:val="20"/>
        </w:rPr>
        <w:t xml:space="preserve">“Los medicamentos falsificados no son solo un fraude, sino que ponen vidas en riesgo. A través de plataformas en línea y cadenas de suministro informales, los delincuentes pueden aprovechar las deficiencias en la supervisión, dirigiéndose a personas que </w:t>
      </w:r>
      <w:r>
        <w:rPr>
          <w:rFonts w:cs="Times New Roman"/>
          <w:color w:val="000000" w:themeColor="text1"/>
          <w:szCs w:val="20"/>
        </w:rPr>
        <w:t>quieren obtener</w:t>
      </w:r>
      <w:r w:rsidRPr="00350595">
        <w:rPr>
          <w:rFonts w:cs="Times New Roman"/>
          <w:color w:val="000000" w:themeColor="text1"/>
          <w:szCs w:val="20"/>
        </w:rPr>
        <w:t xml:space="preserve"> tratamientos rápidos o asequibles. Las consecuencias pueden ser graves, incluso fatales”.</w:t>
      </w:r>
    </w:p>
    <w:p w14:paraId="21F0E7CE" w14:textId="77777777" w:rsidR="00787737" w:rsidRPr="00350595" w:rsidRDefault="00787737" w:rsidP="00787737">
      <w:pPr>
        <w:rPr>
          <w:rFonts w:cs="Times New Roman"/>
          <w:color w:val="000000" w:themeColor="text1"/>
          <w:szCs w:val="20"/>
        </w:rPr>
      </w:pPr>
    </w:p>
    <w:p w14:paraId="31F99CA2" w14:textId="77777777" w:rsidR="00787737" w:rsidRPr="00350595" w:rsidRDefault="00787737" w:rsidP="00787737">
      <w:pPr>
        <w:rPr>
          <w:rFonts w:cs="Times New Roman"/>
          <w:color w:val="000000" w:themeColor="text1"/>
          <w:szCs w:val="20"/>
        </w:rPr>
      </w:pPr>
      <w:r w:rsidRPr="00350595">
        <w:rPr>
          <w:rFonts w:cs="Times New Roman"/>
          <w:color w:val="000000" w:themeColor="text1"/>
          <w:szCs w:val="20"/>
        </w:rPr>
        <w:t>“Para las fuerzas de orden</w:t>
      </w:r>
      <w:r>
        <w:rPr>
          <w:rFonts w:cs="Times New Roman"/>
          <w:color w:val="000000" w:themeColor="text1"/>
          <w:szCs w:val="20"/>
        </w:rPr>
        <w:t xml:space="preserve"> global</w:t>
      </w:r>
      <w:r w:rsidRPr="00350595">
        <w:rPr>
          <w:rFonts w:cs="Times New Roman"/>
          <w:color w:val="000000" w:themeColor="text1"/>
          <w:szCs w:val="20"/>
        </w:rPr>
        <w:t>, proteger a la ciudadanía significa desmantelar las redes que controlan estos productos mediante el fortalecimiento de la cooperación transfronteriza.” Casi 20 años después del lanzamiento de la primera Operación Pangea, sigue ofreciendo resultados reales.</w:t>
      </w:r>
    </w:p>
    <w:p w14:paraId="4FFAC1AD" w14:textId="77777777" w:rsidR="00787737" w:rsidRPr="00350595" w:rsidRDefault="00787737" w:rsidP="00787737">
      <w:pPr>
        <w:rPr>
          <w:rFonts w:cs="Times New Roman"/>
          <w:color w:val="EE0000"/>
          <w:szCs w:val="20"/>
        </w:rPr>
      </w:pPr>
    </w:p>
    <w:p w14:paraId="61E4E6FB" w14:textId="77777777" w:rsidR="00787737" w:rsidRPr="00B3384A" w:rsidRDefault="00787737" w:rsidP="00787737">
      <w:pPr>
        <w:rPr>
          <w:rFonts w:cs="Times New Roman"/>
          <w:b/>
          <w:bCs/>
          <w:color w:val="000000" w:themeColor="text1"/>
          <w:szCs w:val="20"/>
        </w:rPr>
      </w:pPr>
      <w:r w:rsidRPr="00B3384A">
        <w:rPr>
          <w:rFonts w:cs="Times New Roman"/>
          <w:b/>
          <w:bCs/>
          <w:color w:val="000000" w:themeColor="text1"/>
          <w:szCs w:val="20"/>
        </w:rPr>
        <w:t>El resurgimiento de los antiparasitarios</w:t>
      </w:r>
    </w:p>
    <w:p w14:paraId="257E22EC" w14:textId="77777777" w:rsidR="00787737" w:rsidRPr="00B3384A" w:rsidRDefault="00787737" w:rsidP="00787737">
      <w:pPr>
        <w:rPr>
          <w:rFonts w:cs="Times New Roman"/>
          <w:color w:val="000000" w:themeColor="text1"/>
          <w:szCs w:val="20"/>
        </w:rPr>
      </w:pPr>
      <w:r w:rsidRPr="00B3384A">
        <w:rPr>
          <w:rFonts w:cs="Times New Roman"/>
          <w:color w:val="000000" w:themeColor="text1"/>
          <w:szCs w:val="20"/>
        </w:rPr>
        <w:t>Se registró un fuerte aumento en la incautación de</w:t>
      </w:r>
      <w:r>
        <w:rPr>
          <w:rFonts w:cs="Times New Roman"/>
          <w:color w:val="000000" w:themeColor="text1"/>
          <w:szCs w:val="20"/>
        </w:rPr>
        <w:t xml:space="preserve"> </w:t>
      </w:r>
      <w:r w:rsidRPr="00B3384A">
        <w:rPr>
          <w:rFonts w:cs="Times New Roman"/>
          <w:color w:val="000000" w:themeColor="text1"/>
          <w:szCs w:val="20"/>
        </w:rPr>
        <w:t xml:space="preserve">antiparasitarios, una tendencia observada por última vez en ediciones anteriores de la Operación Pangea durante la pandemia de </w:t>
      </w:r>
      <w:r>
        <w:rPr>
          <w:rFonts w:cs="Times New Roman"/>
          <w:color w:val="000000" w:themeColor="text1"/>
          <w:szCs w:val="20"/>
        </w:rPr>
        <w:t>la covid</w:t>
      </w:r>
      <w:r w:rsidRPr="00B3384A">
        <w:rPr>
          <w:rFonts w:cs="Times New Roman"/>
          <w:color w:val="000000" w:themeColor="text1"/>
          <w:szCs w:val="20"/>
        </w:rPr>
        <w:t>-19.</w:t>
      </w:r>
    </w:p>
    <w:p w14:paraId="730E753F" w14:textId="77777777" w:rsidR="00787737" w:rsidRPr="00B3384A" w:rsidRDefault="00787737" w:rsidP="00787737">
      <w:pPr>
        <w:rPr>
          <w:rFonts w:cs="Times New Roman"/>
          <w:color w:val="000000" w:themeColor="text1"/>
          <w:szCs w:val="20"/>
        </w:rPr>
      </w:pPr>
    </w:p>
    <w:p w14:paraId="0CB4F6F6" w14:textId="77777777" w:rsidR="00787737" w:rsidRPr="00B3384A" w:rsidRDefault="00787737" w:rsidP="00787737">
      <w:pPr>
        <w:rPr>
          <w:rFonts w:cs="Times New Roman"/>
          <w:color w:val="000000" w:themeColor="text1"/>
          <w:szCs w:val="20"/>
        </w:rPr>
      </w:pPr>
      <w:r w:rsidRPr="00B3384A">
        <w:rPr>
          <w:rFonts w:cs="Times New Roman"/>
          <w:color w:val="000000" w:themeColor="text1"/>
          <w:szCs w:val="20"/>
        </w:rPr>
        <w:t xml:space="preserve">Este incremento se debe a la creciente promoción en línea de estos productos como tratamientos alternativos contra el cáncer, a </w:t>
      </w:r>
      <w:r w:rsidRPr="00B3384A">
        <w:rPr>
          <w:rFonts w:cs="Times New Roman"/>
          <w:color w:val="000000" w:themeColor="text1"/>
          <w:szCs w:val="20"/>
        </w:rPr>
        <w:lastRenderedPageBreak/>
        <w:t xml:space="preserve">pesar las autoridades sanitarias </w:t>
      </w:r>
      <w:r>
        <w:rPr>
          <w:rFonts w:cs="Times New Roman"/>
          <w:color w:val="000000" w:themeColor="text1"/>
          <w:szCs w:val="20"/>
        </w:rPr>
        <w:t xml:space="preserve">han dicho reiteradamente que </w:t>
      </w:r>
      <w:r w:rsidRPr="00B3384A">
        <w:rPr>
          <w:rFonts w:cs="Times New Roman"/>
          <w:color w:val="000000" w:themeColor="text1"/>
          <w:szCs w:val="20"/>
        </w:rPr>
        <w:t>tales afirmaciones carecen de respaldo científico.</w:t>
      </w:r>
    </w:p>
    <w:p w14:paraId="157305A0" w14:textId="77777777" w:rsidR="00787737" w:rsidRPr="00B3384A" w:rsidRDefault="00787737" w:rsidP="00787737">
      <w:pPr>
        <w:rPr>
          <w:rFonts w:cs="Times New Roman"/>
          <w:color w:val="000000" w:themeColor="text1"/>
          <w:szCs w:val="20"/>
        </w:rPr>
      </w:pPr>
    </w:p>
    <w:p w14:paraId="78AB7ED3" w14:textId="77777777" w:rsidR="00787737" w:rsidRPr="00B3384A" w:rsidRDefault="00787737" w:rsidP="00787737">
      <w:pPr>
        <w:rPr>
          <w:rFonts w:cs="Times New Roman"/>
          <w:color w:val="000000" w:themeColor="text1"/>
          <w:szCs w:val="20"/>
        </w:rPr>
      </w:pPr>
      <w:r w:rsidRPr="00B3384A">
        <w:rPr>
          <w:rFonts w:cs="Times New Roman"/>
          <w:color w:val="000000" w:themeColor="text1"/>
          <w:szCs w:val="20"/>
        </w:rPr>
        <w:t xml:space="preserve">Dos sustancias predominaron en las incautaciones: la </w:t>
      </w:r>
      <w:r w:rsidRPr="008A6D3B">
        <w:rPr>
          <w:rFonts w:cs="Times New Roman"/>
          <w:i/>
          <w:iCs/>
          <w:color w:val="000000" w:themeColor="text1"/>
          <w:szCs w:val="20"/>
        </w:rPr>
        <w:t>ivermectina</w:t>
      </w:r>
      <w:r w:rsidRPr="00B3384A">
        <w:rPr>
          <w:rFonts w:cs="Times New Roman"/>
          <w:color w:val="000000" w:themeColor="text1"/>
          <w:szCs w:val="20"/>
        </w:rPr>
        <w:t xml:space="preserve">, utilizada para tratar infecciones parasitarias y </w:t>
      </w:r>
      <w:r>
        <w:rPr>
          <w:rFonts w:cs="Times New Roman"/>
          <w:color w:val="000000" w:themeColor="text1"/>
          <w:szCs w:val="20"/>
        </w:rPr>
        <w:t>helmínticas</w:t>
      </w:r>
      <w:r w:rsidRPr="00B3384A">
        <w:rPr>
          <w:rFonts w:cs="Times New Roman"/>
          <w:color w:val="000000" w:themeColor="text1"/>
          <w:szCs w:val="20"/>
        </w:rPr>
        <w:t xml:space="preserve">, y el </w:t>
      </w:r>
      <w:proofErr w:type="spellStart"/>
      <w:r w:rsidRPr="008A6D3B">
        <w:rPr>
          <w:rFonts w:cs="Times New Roman"/>
          <w:i/>
          <w:iCs/>
          <w:color w:val="000000" w:themeColor="text1"/>
          <w:szCs w:val="20"/>
        </w:rPr>
        <w:t>fenbendazol</w:t>
      </w:r>
      <w:proofErr w:type="spellEnd"/>
      <w:r w:rsidRPr="00B3384A">
        <w:rPr>
          <w:rFonts w:cs="Times New Roman"/>
          <w:color w:val="000000" w:themeColor="text1"/>
          <w:szCs w:val="20"/>
        </w:rPr>
        <w:t>, un antiparasitario aprobado únicamente para uso veterinario.</w:t>
      </w:r>
    </w:p>
    <w:p w14:paraId="662D4B3A" w14:textId="77777777" w:rsidR="00787737" w:rsidRPr="00B3384A" w:rsidRDefault="00787737" w:rsidP="00787737">
      <w:pPr>
        <w:rPr>
          <w:rFonts w:cs="Times New Roman"/>
          <w:color w:val="000000" w:themeColor="text1"/>
          <w:szCs w:val="20"/>
        </w:rPr>
      </w:pPr>
    </w:p>
    <w:p w14:paraId="72ABE388" w14:textId="77777777" w:rsidR="00787737" w:rsidRPr="00B3384A" w:rsidRDefault="00787737" w:rsidP="00787737">
      <w:pPr>
        <w:rPr>
          <w:rFonts w:cs="Times New Roman"/>
          <w:color w:val="000000" w:themeColor="text1"/>
          <w:szCs w:val="20"/>
        </w:rPr>
      </w:pPr>
      <w:r w:rsidRPr="00B3384A">
        <w:rPr>
          <w:rFonts w:cs="Times New Roman"/>
          <w:color w:val="000000" w:themeColor="text1"/>
          <w:szCs w:val="20"/>
        </w:rPr>
        <w:t>A menudo etiquetados erróneamente como suplementos alimenticios, estos productos se venden como parte de los llamados "kits de tratamiento contra el cáncer", lo que facilita su acceso y evita la regulación.</w:t>
      </w:r>
    </w:p>
    <w:p w14:paraId="4744D516" w14:textId="77777777" w:rsidR="00787737" w:rsidRPr="00B3384A" w:rsidRDefault="00787737" w:rsidP="00787737">
      <w:pPr>
        <w:rPr>
          <w:rFonts w:cs="Times New Roman"/>
          <w:color w:val="000000" w:themeColor="text1"/>
          <w:szCs w:val="20"/>
        </w:rPr>
      </w:pPr>
    </w:p>
    <w:p w14:paraId="36AF906C" w14:textId="77777777" w:rsidR="00787737" w:rsidRPr="00B3384A" w:rsidRDefault="00787737" w:rsidP="00787737">
      <w:pPr>
        <w:rPr>
          <w:rFonts w:cs="Times New Roman"/>
          <w:color w:val="000000" w:themeColor="text1"/>
          <w:szCs w:val="20"/>
        </w:rPr>
      </w:pPr>
      <w:r w:rsidRPr="00B3384A">
        <w:rPr>
          <w:rFonts w:cs="Times New Roman"/>
          <w:color w:val="000000" w:themeColor="text1"/>
          <w:szCs w:val="20"/>
        </w:rPr>
        <w:t>Australia, Nueva Zelanda, Singapur, EE UU y el Reino Unido reportaron incautaciones significativas de ambas sustancias.</w:t>
      </w:r>
    </w:p>
    <w:p w14:paraId="08445A80" w14:textId="77777777" w:rsidR="00787737" w:rsidRPr="00B3384A" w:rsidRDefault="00787737" w:rsidP="00787737">
      <w:pPr>
        <w:rPr>
          <w:rFonts w:cs="Times New Roman"/>
          <w:color w:val="EE0000"/>
          <w:szCs w:val="20"/>
        </w:rPr>
      </w:pPr>
    </w:p>
    <w:p w14:paraId="41509D1E" w14:textId="77777777" w:rsidR="00787737" w:rsidRPr="008A6D3B" w:rsidRDefault="00787737" w:rsidP="00787737">
      <w:pPr>
        <w:rPr>
          <w:rFonts w:cs="Times New Roman"/>
          <w:b/>
          <w:bCs/>
          <w:color w:val="000000" w:themeColor="text1"/>
          <w:szCs w:val="20"/>
        </w:rPr>
      </w:pPr>
      <w:r w:rsidRPr="008A6D3B">
        <w:rPr>
          <w:rFonts w:cs="Times New Roman"/>
          <w:b/>
          <w:bCs/>
          <w:color w:val="000000" w:themeColor="text1"/>
          <w:szCs w:val="20"/>
        </w:rPr>
        <w:t>Promesas de soluciones rápidas que amenazan la salud</w:t>
      </w:r>
    </w:p>
    <w:p w14:paraId="4CA85FB7" w14:textId="77777777" w:rsidR="00787737" w:rsidRPr="008A6D3B" w:rsidRDefault="00787737" w:rsidP="00787737">
      <w:pPr>
        <w:rPr>
          <w:rFonts w:cs="Times New Roman"/>
          <w:color w:val="000000" w:themeColor="text1"/>
          <w:szCs w:val="20"/>
        </w:rPr>
      </w:pPr>
      <w:r w:rsidRPr="008A6D3B">
        <w:rPr>
          <w:rFonts w:cs="Times New Roman"/>
          <w:color w:val="000000" w:themeColor="text1"/>
          <w:szCs w:val="20"/>
        </w:rPr>
        <w:t>La demanda de productos farmacéuticos relacionados con el rendimiento y el estilo de vida sigue creciendo. Los esteroides anabólicos vuelven a ser la categoría dominante, con 86.732 dosis incautadas a nivel mundial.</w:t>
      </w:r>
    </w:p>
    <w:p w14:paraId="726CC4D2" w14:textId="77777777" w:rsidR="00787737" w:rsidRPr="008A6D3B" w:rsidRDefault="00787737" w:rsidP="00787737">
      <w:pPr>
        <w:rPr>
          <w:rFonts w:cs="Times New Roman"/>
          <w:color w:val="000000" w:themeColor="text1"/>
          <w:szCs w:val="20"/>
        </w:rPr>
      </w:pPr>
    </w:p>
    <w:p w14:paraId="51C7A838" w14:textId="77777777" w:rsidR="00787737" w:rsidRPr="008A6D3B" w:rsidRDefault="00787737" w:rsidP="00787737">
      <w:pPr>
        <w:rPr>
          <w:rFonts w:cs="Times New Roman"/>
          <w:color w:val="000000" w:themeColor="text1"/>
          <w:szCs w:val="20"/>
        </w:rPr>
      </w:pPr>
      <w:r w:rsidRPr="008A6D3B">
        <w:rPr>
          <w:rFonts w:cs="Times New Roman"/>
          <w:color w:val="000000" w:themeColor="text1"/>
          <w:szCs w:val="20"/>
        </w:rPr>
        <w:t xml:space="preserve">La demanda está impulsada principalmente por las comunidades de </w:t>
      </w:r>
      <w:r>
        <w:rPr>
          <w:rFonts w:cs="Times New Roman"/>
          <w:color w:val="000000" w:themeColor="text1"/>
          <w:szCs w:val="20"/>
        </w:rPr>
        <w:t>fisicoculturismo</w:t>
      </w:r>
      <w:r w:rsidRPr="008A6D3B">
        <w:rPr>
          <w:rFonts w:cs="Times New Roman"/>
          <w:color w:val="000000" w:themeColor="text1"/>
          <w:szCs w:val="20"/>
        </w:rPr>
        <w:t xml:space="preserve"> y </w:t>
      </w:r>
      <w:r>
        <w:rPr>
          <w:rFonts w:cs="Times New Roman"/>
          <w:color w:val="000000" w:themeColor="text1"/>
          <w:szCs w:val="20"/>
        </w:rPr>
        <w:t xml:space="preserve">acondicionamiento </w:t>
      </w:r>
      <w:r w:rsidRPr="008A6D3B">
        <w:rPr>
          <w:rFonts w:cs="Times New Roman"/>
          <w:color w:val="000000" w:themeColor="text1"/>
          <w:szCs w:val="20"/>
        </w:rPr>
        <w:t>f</w:t>
      </w:r>
      <w:r>
        <w:rPr>
          <w:rFonts w:cs="Times New Roman"/>
          <w:color w:val="000000" w:themeColor="text1"/>
          <w:szCs w:val="20"/>
        </w:rPr>
        <w:t>ísico</w:t>
      </w:r>
      <w:r w:rsidRPr="008A6D3B">
        <w:rPr>
          <w:rFonts w:cs="Times New Roman"/>
          <w:color w:val="000000" w:themeColor="text1"/>
          <w:szCs w:val="20"/>
        </w:rPr>
        <w:t>, y se ha detectado producción en algunas zonas de Europa del Este y del Sudeste, con centros de fabricación establecidos en India, el Reino Unido y E</w:t>
      </w:r>
      <w:r>
        <w:rPr>
          <w:rFonts w:cs="Times New Roman"/>
          <w:color w:val="000000" w:themeColor="text1"/>
          <w:szCs w:val="20"/>
        </w:rPr>
        <w:t>E</w:t>
      </w:r>
      <w:r w:rsidRPr="008A6D3B">
        <w:rPr>
          <w:rFonts w:cs="Times New Roman"/>
          <w:color w:val="000000" w:themeColor="text1"/>
          <w:szCs w:val="20"/>
        </w:rPr>
        <w:t xml:space="preserve"> U</w:t>
      </w:r>
      <w:r>
        <w:rPr>
          <w:rFonts w:cs="Times New Roman"/>
          <w:color w:val="000000" w:themeColor="text1"/>
          <w:szCs w:val="20"/>
        </w:rPr>
        <w:t>U</w:t>
      </w:r>
      <w:r w:rsidRPr="008A6D3B">
        <w:rPr>
          <w:rFonts w:cs="Times New Roman"/>
          <w:color w:val="000000" w:themeColor="text1"/>
          <w:szCs w:val="20"/>
        </w:rPr>
        <w:t>.</w:t>
      </w:r>
    </w:p>
    <w:p w14:paraId="738D56F7" w14:textId="77777777" w:rsidR="00787737" w:rsidRPr="008A6D3B" w:rsidRDefault="00787737" w:rsidP="00787737">
      <w:pPr>
        <w:rPr>
          <w:rFonts w:cs="Times New Roman"/>
          <w:color w:val="000000" w:themeColor="text1"/>
          <w:szCs w:val="20"/>
        </w:rPr>
      </w:pPr>
    </w:p>
    <w:p w14:paraId="104E2DC8" w14:textId="77777777" w:rsidR="00787737" w:rsidRPr="008A6D3B" w:rsidRDefault="00787737" w:rsidP="00787737">
      <w:pPr>
        <w:rPr>
          <w:rFonts w:cs="Times New Roman"/>
          <w:color w:val="000000" w:themeColor="text1"/>
          <w:szCs w:val="20"/>
        </w:rPr>
      </w:pPr>
      <w:r w:rsidRPr="008A6D3B">
        <w:rPr>
          <w:rFonts w:cs="Times New Roman"/>
          <w:color w:val="000000" w:themeColor="text1"/>
          <w:szCs w:val="20"/>
        </w:rPr>
        <w:t xml:space="preserve">En Bulgaria, las autoridades desmantelaron una planta de producción clandestina e incautaron millones de pastillas, ampollas e inyectables </w:t>
      </w:r>
      <w:r w:rsidRPr="0088693C">
        <w:rPr>
          <w:rFonts w:cs="Times New Roman"/>
          <w:color w:val="000000" w:themeColor="text1"/>
          <w:szCs w:val="20"/>
        </w:rPr>
        <w:t>con etiquetado fraudulento.</w:t>
      </w:r>
    </w:p>
    <w:p w14:paraId="223F0270" w14:textId="77777777" w:rsidR="00787737" w:rsidRPr="008A6D3B" w:rsidRDefault="00787737" w:rsidP="00787737">
      <w:pPr>
        <w:rPr>
          <w:rFonts w:cs="Times New Roman"/>
          <w:color w:val="EE0000"/>
          <w:szCs w:val="20"/>
        </w:rPr>
      </w:pPr>
    </w:p>
    <w:p w14:paraId="664D3FAD" w14:textId="77777777" w:rsidR="00787737" w:rsidRPr="0088693C" w:rsidRDefault="00787737" w:rsidP="00787737">
      <w:pPr>
        <w:rPr>
          <w:rFonts w:cs="Times New Roman"/>
          <w:color w:val="000000" w:themeColor="text1"/>
          <w:szCs w:val="20"/>
        </w:rPr>
      </w:pPr>
      <w:proofErr w:type="spellStart"/>
      <w:r w:rsidRPr="0088693C">
        <w:rPr>
          <w:rFonts w:cs="Times New Roman"/>
          <w:color w:val="000000" w:themeColor="text1"/>
          <w:szCs w:val="20"/>
        </w:rPr>
        <w:t>Biser</w:t>
      </w:r>
      <w:proofErr w:type="spellEnd"/>
      <w:r w:rsidRPr="0088693C">
        <w:rPr>
          <w:rFonts w:cs="Times New Roman"/>
          <w:color w:val="000000" w:themeColor="text1"/>
          <w:szCs w:val="20"/>
        </w:rPr>
        <w:t xml:space="preserve"> </w:t>
      </w:r>
      <w:proofErr w:type="spellStart"/>
      <w:r w:rsidRPr="0088693C">
        <w:rPr>
          <w:rFonts w:cs="Times New Roman"/>
          <w:color w:val="000000" w:themeColor="text1"/>
          <w:szCs w:val="20"/>
        </w:rPr>
        <w:t>Vuchkov</w:t>
      </w:r>
      <w:proofErr w:type="spellEnd"/>
      <w:r w:rsidRPr="0088693C">
        <w:rPr>
          <w:rFonts w:cs="Times New Roman"/>
          <w:color w:val="000000" w:themeColor="text1"/>
          <w:szCs w:val="20"/>
        </w:rPr>
        <w:t>, director de la Dirección de Cooperación Internacional del Ministerio del Interior de Bulgaria, declaró:</w:t>
      </w:r>
    </w:p>
    <w:p w14:paraId="3C90CA81" w14:textId="77777777" w:rsidR="00787737" w:rsidRPr="0088693C" w:rsidRDefault="00787737" w:rsidP="00787737">
      <w:pPr>
        <w:rPr>
          <w:rFonts w:cs="Times New Roman"/>
          <w:color w:val="000000" w:themeColor="text1"/>
          <w:szCs w:val="20"/>
        </w:rPr>
      </w:pPr>
    </w:p>
    <w:p w14:paraId="19B59DF8" w14:textId="77777777" w:rsidR="00787737" w:rsidRPr="0088693C" w:rsidRDefault="00787737" w:rsidP="00787737">
      <w:pPr>
        <w:rPr>
          <w:rFonts w:cs="Times New Roman"/>
          <w:color w:val="000000" w:themeColor="text1"/>
          <w:szCs w:val="20"/>
        </w:rPr>
      </w:pPr>
      <w:r w:rsidRPr="0088693C">
        <w:rPr>
          <w:rFonts w:cs="Times New Roman"/>
          <w:color w:val="000000" w:themeColor="text1"/>
          <w:szCs w:val="20"/>
        </w:rPr>
        <w:t>“Bulgaria</w:t>
      </w:r>
      <w:r>
        <w:rPr>
          <w:rFonts w:cs="Times New Roman"/>
          <w:color w:val="000000" w:themeColor="text1"/>
          <w:szCs w:val="20"/>
        </w:rPr>
        <w:t>,</w:t>
      </w:r>
      <w:r w:rsidRPr="0088693C">
        <w:rPr>
          <w:rFonts w:cs="Times New Roman"/>
          <w:color w:val="000000" w:themeColor="text1"/>
          <w:szCs w:val="20"/>
        </w:rPr>
        <w:t xml:space="preserve"> </w:t>
      </w:r>
      <w:r>
        <w:rPr>
          <w:rFonts w:cs="Times New Roman"/>
          <w:color w:val="000000" w:themeColor="text1"/>
          <w:szCs w:val="20"/>
        </w:rPr>
        <w:t>m</w:t>
      </w:r>
      <w:r w:rsidRPr="0088693C">
        <w:rPr>
          <w:rFonts w:cs="Times New Roman"/>
          <w:color w:val="000000" w:themeColor="text1"/>
          <w:szCs w:val="20"/>
        </w:rPr>
        <w:t xml:space="preserve">ediante su continua participación en la Operación Pangea de </w:t>
      </w:r>
      <w:r>
        <w:rPr>
          <w:rFonts w:cs="Times New Roman"/>
          <w:color w:val="000000" w:themeColor="text1"/>
          <w:szCs w:val="20"/>
        </w:rPr>
        <w:t xml:space="preserve">la </w:t>
      </w:r>
      <w:r w:rsidRPr="0088693C">
        <w:rPr>
          <w:rFonts w:cs="Times New Roman"/>
          <w:color w:val="000000" w:themeColor="text1"/>
          <w:szCs w:val="20"/>
        </w:rPr>
        <w:t xml:space="preserve">INTERPOL, demuestra </w:t>
      </w:r>
      <w:r>
        <w:rPr>
          <w:rFonts w:cs="Times New Roman"/>
          <w:color w:val="000000" w:themeColor="text1"/>
          <w:szCs w:val="20"/>
        </w:rPr>
        <w:t>su</w:t>
      </w:r>
      <w:r w:rsidRPr="0088693C">
        <w:rPr>
          <w:rFonts w:cs="Times New Roman"/>
          <w:color w:val="000000" w:themeColor="text1"/>
          <w:szCs w:val="20"/>
        </w:rPr>
        <w:t xml:space="preserve"> firme determinación contra los productos farmacéuticos ilícitos, desmantelando redes criminales y protegiendo la salud pública.</w:t>
      </w:r>
      <w:r>
        <w:rPr>
          <w:rFonts w:cs="Times New Roman"/>
          <w:color w:val="000000" w:themeColor="text1"/>
          <w:szCs w:val="20"/>
        </w:rPr>
        <w:t xml:space="preserve"> </w:t>
      </w:r>
      <w:r w:rsidRPr="0088693C">
        <w:rPr>
          <w:rFonts w:cs="Times New Roman"/>
          <w:color w:val="000000" w:themeColor="text1"/>
          <w:szCs w:val="20"/>
        </w:rPr>
        <w:t xml:space="preserve">Los últimos resultados ponen de manifiesto la eficacia de </w:t>
      </w:r>
      <w:r>
        <w:rPr>
          <w:rFonts w:cs="Times New Roman"/>
          <w:color w:val="000000" w:themeColor="text1"/>
          <w:szCs w:val="20"/>
        </w:rPr>
        <w:t>coordinar las</w:t>
      </w:r>
      <w:r w:rsidRPr="0088693C">
        <w:rPr>
          <w:rFonts w:cs="Times New Roman"/>
          <w:color w:val="000000" w:themeColor="text1"/>
          <w:szCs w:val="20"/>
        </w:rPr>
        <w:t xml:space="preserve"> acci</w:t>
      </w:r>
      <w:r>
        <w:rPr>
          <w:rFonts w:cs="Times New Roman"/>
          <w:color w:val="000000" w:themeColor="text1"/>
          <w:szCs w:val="20"/>
        </w:rPr>
        <w:t>ones</w:t>
      </w:r>
      <w:r w:rsidRPr="0088693C">
        <w:rPr>
          <w:rFonts w:cs="Times New Roman"/>
          <w:color w:val="000000" w:themeColor="text1"/>
          <w:szCs w:val="20"/>
        </w:rPr>
        <w:t xml:space="preserve"> para desarticular la producción, el tráfico y la distribución ilegal en línea </w:t>
      </w:r>
      <w:r>
        <w:rPr>
          <w:rFonts w:cs="Times New Roman"/>
          <w:color w:val="000000" w:themeColor="text1"/>
          <w:szCs w:val="20"/>
        </w:rPr>
        <w:t xml:space="preserve">en todo el </w:t>
      </w:r>
      <w:r w:rsidRPr="0088693C">
        <w:rPr>
          <w:rFonts w:cs="Times New Roman"/>
          <w:color w:val="000000" w:themeColor="text1"/>
          <w:szCs w:val="20"/>
        </w:rPr>
        <w:t>mund</w:t>
      </w:r>
      <w:r>
        <w:rPr>
          <w:rFonts w:cs="Times New Roman"/>
          <w:color w:val="000000" w:themeColor="text1"/>
          <w:szCs w:val="20"/>
        </w:rPr>
        <w:t>o</w:t>
      </w:r>
      <w:r w:rsidRPr="0088693C">
        <w:rPr>
          <w:rFonts w:cs="Times New Roman"/>
          <w:color w:val="000000" w:themeColor="text1"/>
          <w:szCs w:val="20"/>
        </w:rPr>
        <w:t>”.</w:t>
      </w:r>
    </w:p>
    <w:p w14:paraId="6779E42B" w14:textId="77777777" w:rsidR="00787737" w:rsidRPr="0088693C" w:rsidRDefault="00787737" w:rsidP="00787737">
      <w:pPr>
        <w:rPr>
          <w:rFonts w:cs="Times New Roman"/>
          <w:color w:val="EE0000"/>
          <w:szCs w:val="20"/>
        </w:rPr>
      </w:pPr>
    </w:p>
    <w:p w14:paraId="4A3344D9" w14:textId="77777777" w:rsidR="00787737" w:rsidRPr="0088693C" w:rsidRDefault="00787737" w:rsidP="00787737">
      <w:pPr>
        <w:rPr>
          <w:rFonts w:cs="Times New Roman"/>
          <w:color w:val="000000" w:themeColor="text1"/>
          <w:szCs w:val="20"/>
        </w:rPr>
      </w:pPr>
      <w:r w:rsidRPr="0088693C">
        <w:rPr>
          <w:rFonts w:cs="Times New Roman"/>
          <w:color w:val="000000" w:themeColor="text1"/>
          <w:szCs w:val="20"/>
        </w:rPr>
        <w:t xml:space="preserve">Las autoridades de todo el mundo también detectaron una creciente demanda de péptidos, sustancias sintéticas promocionadas en línea para el </w:t>
      </w:r>
      <w:r>
        <w:rPr>
          <w:rFonts w:cs="Times New Roman"/>
          <w:color w:val="000000" w:themeColor="text1"/>
          <w:szCs w:val="20"/>
        </w:rPr>
        <w:t>desarrollo</w:t>
      </w:r>
      <w:r w:rsidRPr="0088693C">
        <w:rPr>
          <w:rFonts w:cs="Times New Roman"/>
          <w:color w:val="000000" w:themeColor="text1"/>
          <w:szCs w:val="20"/>
        </w:rPr>
        <w:t xml:space="preserve"> muscular, la pérdida de grasa y la recuperación.</w:t>
      </w:r>
    </w:p>
    <w:p w14:paraId="2BE52302" w14:textId="77777777" w:rsidR="00787737" w:rsidRPr="0088693C" w:rsidRDefault="00787737" w:rsidP="00787737">
      <w:pPr>
        <w:rPr>
          <w:rFonts w:cs="Times New Roman"/>
          <w:color w:val="000000" w:themeColor="text1"/>
          <w:szCs w:val="20"/>
        </w:rPr>
      </w:pPr>
    </w:p>
    <w:p w14:paraId="107CC5F7" w14:textId="77777777" w:rsidR="00787737" w:rsidRPr="0088693C" w:rsidRDefault="00787737" w:rsidP="00787737">
      <w:pPr>
        <w:rPr>
          <w:rFonts w:cs="Times New Roman"/>
          <w:color w:val="000000" w:themeColor="text1"/>
          <w:szCs w:val="20"/>
        </w:rPr>
      </w:pPr>
      <w:r>
        <w:rPr>
          <w:rFonts w:cs="Times New Roman"/>
          <w:color w:val="000000" w:themeColor="text1"/>
          <w:szCs w:val="20"/>
        </w:rPr>
        <w:t>Estos productos, o</w:t>
      </w:r>
      <w:r w:rsidRPr="0088693C">
        <w:rPr>
          <w:rFonts w:cs="Times New Roman"/>
          <w:color w:val="000000" w:themeColor="text1"/>
          <w:szCs w:val="20"/>
        </w:rPr>
        <w:t xml:space="preserve">riginalmente </w:t>
      </w:r>
      <w:r>
        <w:rPr>
          <w:rFonts w:cs="Times New Roman"/>
          <w:color w:val="000000" w:themeColor="text1"/>
          <w:szCs w:val="20"/>
        </w:rPr>
        <w:t xml:space="preserve">se utilizaron </w:t>
      </w:r>
      <w:r w:rsidRPr="0088693C">
        <w:rPr>
          <w:rFonts w:cs="Times New Roman"/>
          <w:color w:val="000000" w:themeColor="text1"/>
          <w:szCs w:val="20"/>
        </w:rPr>
        <w:t xml:space="preserve">en entornos de investigación, </w:t>
      </w:r>
      <w:r>
        <w:rPr>
          <w:rFonts w:cs="Times New Roman"/>
          <w:color w:val="000000" w:themeColor="text1"/>
          <w:szCs w:val="20"/>
        </w:rPr>
        <w:t xml:space="preserve">pero ahora </w:t>
      </w:r>
      <w:r w:rsidRPr="0088693C">
        <w:rPr>
          <w:rFonts w:cs="Times New Roman"/>
          <w:color w:val="000000" w:themeColor="text1"/>
          <w:szCs w:val="20"/>
        </w:rPr>
        <w:t>se venden como "sustancias químicas de investigación" o "péptidos cosméticos" para evitar su detección, a pesar de no contar con una dosificación aprobada ni con estándares de seguridad para uso humano.</w:t>
      </w:r>
    </w:p>
    <w:p w14:paraId="1DC35E16" w14:textId="77777777" w:rsidR="00787737" w:rsidRPr="0088693C" w:rsidRDefault="00787737" w:rsidP="00787737">
      <w:pPr>
        <w:rPr>
          <w:rFonts w:cs="Times New Roman"/>
          <w:color w:val="000000" w:themeColor="text1"/>
          <w:szCs w:val="20"/>
        </w:rPr>
      </w:pPr>
    </w:p>
    <w:p w14:paraId="6AFD4529" w14:textId="77777777" w:rsidR="00787737" w:rsidRPr="0088693C" w:rsidRDefault="00787737" w:rsidP="00787737">
      <w:pPr>
        <w:rPr>
          <w:rFonts w:cs="Times New Roman"/>
          <w:color w:val="000000" w:themeColor="text1"/>
          <w:szCs w:val="20"/>
        </w:rPr>
      </w:pPr>
      <w:r w:rsidRPr="0088693C">
        <w:rPr>
          <w:rFonts w:cs="Times New Roman"/>
          <w:color w:val="000000" w:themeColor="text1"/>
          <w:szCs w:val="20"/>
        </w:rPr>
        <w:t>Se registraron importantes incautaciones en Australia, Irlanda y Nueva Zelanda, donde se interceptaron cientos de viales de péptidos en múltiples operativos policiales.</w:t>
      </w:r>
    </w:p>
    <w:p w14:paraId="11532790" w14:textId="77777777" w:rsidR="00787737" w:rsidRPr="00787737" w:rsidRDefault="00787737" w:rsidP="00787737">
      <w:pPr>
        <w:rPr>
          <w:rFonts w:cs="Times New Roman"/>
          <w:color w:val="000000" w:themeColor="text1"/>
          <w:szCs w:val="20"/>
        </w:rPr>
      </w:pPr>
    </w:p>
    <w:p w14:paraId="3E2187EB" w14:textId="77777777" w:rsidR="00787737" w:rsidRPr="0088693C" w:rsidRDefault="00787737" w:rsidP="00787737">
      <w:pPr>
        <w:rPr>
          <w:rFonts w:cs="Times New Roman"/>
          <w:color w:val="000000" w:themeColor="text1"/>
          <w:szCs w:val="20"/>
        </w:rPr>
      </w:pPr>
      <w:r w:rsidRPr="0088693C">
        <w:rPr>
          <w:rFonts w:cs="Times New Roman"/>
          <w:color w:val="000000" w:themeColor="text1"/>
          <w:szCs w:val="20"/>
        </w:rPr>
        <w:t xml:space="preserve">Mientras tanto, la alta demanda de medicamentos GLP-1, desarrollados originalmente para tratar la diabetes, pero </w:t>
      </w:r>
      <w:r>
        <w:rPr>
          <w:rFonts w:cs="Times New Roman"/>
          <w:color w:val="000000" w:themeColor="text1"/>
          <w:szCs w:val="20"/>
        </w:rPr>
        <w:t xml:space="preserve">que </w:t>
      </w:r>
      <w:r w:rsidRPr="0088693C">
        <w:rPr>
          <w:rFonts w:cs="Times New Roman"/>
          <w:color w:val="000000" w:themeColor="text1"/>
          <w:szCs w:val="20"/>
        </w:rPr>
        <w:t>ahora</w:t>
      </w:r>
      <w:r>
        <w:rPr>
          <w:rFonts w:cs="Times New Roman"/>
          <w:color w:val="000000" w:themeColor="text1"/>
          <w:szCs w:val="20"/>
        </w:rPr>
        <w:t xml:space="preserve"> se utilizan</w:t>
      </w:r>
      <w:r w:rsidRPr="0088693C">
        <w:rPr>
          <w:rFonts w:cs="Times New Roman"/>
          <w:color w:val="000000" w:themeColor="text1"/>
          <w:szCs w:val="20"/>
        </w:rPr>
        <w:t xml:space="preserve"> ampliamente para la pérdida de peso, ha abierto nuevas oportunidades para las redes criminales.</w:t>
      </w:r>
    </w:p>
    <w:p w14:paraId="27681C96" w14:textId="77777777" w:rsidR="00787737" w:rsidRDefault="00787737" w:rsidP="00787737">
      <w:pPr>
        <w:rPr>
          <w:rFonts w:cs="Times New Roman"/>
          <w:color w:val="000000" w:themeColor="text1"/>
          <w:szCs w:val="20"/>
        </w:rPr>
      </w:pPr>
    </w:p>
    <w:p w14:paraId="601D74A4" w14:textId="77777777" w:rsidR="00787737" w:rsidRPr="0088693C" w:rsidRDefault="00787737" w:rsidP="00787737">
      <w:pPr>
        <w:rPr>
          <w:rFonts w:cs="Times New Roman"/>
          <w:color w:val="000000" w:themeColor="text1"/>
          <w:szCs w:val="20"/>
        </w:rPr>
      </w:pPr>
      <w:r w:rsidRPr="0088693C">
        <w:rPr>
          <w:rFonts w:cs="Times New Roman"/>
          <w:color w:val="000000" w:themeColor="text1"/>
          <w:szCs w:val="20"/>
        </w:rPr>
        <w:t xml:space="preserve">Las versiones ilícitas suelen fabricarse en Asia y venderse en línea por tan solo </w:t>
      </w:r>
      <w:r>
        <w:rPr>
          <w:rFonts w:cs="Times New Roman"/>
          <w:color w:val="000000" w:themeColor="text1"/>
          <w:szCs w:val="20"/>
        </w:rPr>
        <w:t>US$</w:t>
      </w:r>
      <w:r w:rsidRPr="0088693C">
        <w:rPr>
          <w:rFonts w:cs="Times New Roman"/>
          <w:color w:val="000000" w:themeColor="text1"/>
          <w:szCs w:val="20"/>
        </w:rPr>
        <w:t xml:space="preserve">10. En algunos casos, se ha descubierto que contienen </w:t>
      </w:r>
      <w:proofErr w:type="spellStart"/>
      <w:r w:rsidRPr="00404C02">
        <w:rPr>
          <w:rFonts w:cs="Times New Roman"/>
          <w:i/>
          <w:iCs/>
          <w:color w:val="000000" w:themeColor="text1"/>
          <w:szCs w:val="20"/>
        </w:rPr>
        <w:t>sibutramina</w:t>
      </w:r>
      <w:proofErr w:type="spellEnd"/>
      <w:r w:rsidRPr="0088693C">
        <w:rPr>
          <w:rFonts w:cs="Times New Roman"/>
          <w:color w:val="000000" w:themeColor="text1"/>
          <w:szCs w:val="20"/>
        </w:rPr>
        <w:t>, una sustancia prohibida en muchos países debido a su relación con ataques cardíacos y accidentes cerebrovasculares.</w:t>
      </w:r>
    </w:p>
    <w:p w14:paraId="6510A2B9" w14:textId="77777777" w:rsidR="00787737" w:rsidRPr="00787737" w:rsidRDefault="00787737" w:rsidP="00787737">
      <w:pPr>
        <w:rPr>
          <w:b/>
          <w:bCs/>
          <w:color w:val="000000" w:themeColor="text1"/>
        </w:rPr>
      </w:pPr>
    </w:p>
    <w:p w14:paraId="4A3F89AB" w14:textId="77777777" w:rsidR="00787737" w:rsidRPr="00404C02" w:rsidRDefault="00787737" w:rsidP="00787737">
      <w:pPr>
        <w:rPr>
          <w:b/>
          <w:bCs/>
          <w:color w:val="000000" w:themeColor="text1"/>
        </w:rPr>
      </w:pPr>
      <w:r w:rsidRPr="00404C02">
        <w:rPr>
          <w:b/>
          <w:bCs/>
          <w:color w:val="000000" w:themeColor="text1"/>
        </w:rPr>
        <w:t xml:space="preserve">Criminales que </w:t>
      </w:r>
      <w:r>
        <w:rPr>
          <w:b/>
          <w:bCs/>
          <w:color w:val="000000" w:themeColor="text1"/>
        </w:rPr>
        <w:t xml:space="preserve">promueven </w:t>
      </w:r>
      <w:r w:rsidRPr="00404C02">
        <w:rPr>
          <w:b/>
          <w:bCs/>
          <w:color w:val="000000" w:themeColor="text1"/>
        </w:rPr>
        <w:t xml:space="preserve">medicamentos esenciales </w:t>
      </w:r>
      <w:r>
        <w:rPr>
          <w:b/>
          <w:bCs/>
          <w:color w:val="000000" w:themeColor="text1"/>
        </w:rPr>
        <w:t xml:space="preserve">ilícitos </w:t>
      </w:r>
      <w:r w:rsidRPr="00404C02">
        <w:rPr>
          <w:b/>
          <w:bCs/>
          <w:color w:val="000000" w:themeColor="text1"/>
        </w:rPr>
        <w:t>en África</w:t>
      </w:r>
    </w:p>
    <w:p w14:paraId="029145A2" w14:textId="76B895CA" w:rsidR="00787737" w:rsidRPr="00404C02" w:rsidRDefault="00787737" w:rsidP="00787737">
      <w:pPr>
        <w:rPr>
          <w:color w:val="000000" w:themeColor="text1"/>
        </w:rPr>
      </w:pPr>
      <w:r>
        <w:rPr>
          <w:color w:val="000000" w:themeColor="text1"/>
        </w:rPr>
        <w:t>Este año, l</w:t>
      </w:r>
      <w:r w:rsidRPr="00404C02">
        <w:rPr>
          <w:color w:val="000000" w:themeColor="text1"/>
        </w:rPr>
        <w:t xml:space="preserve">a participación de 12 países africanos reveló una imagen más clara del flujo de productos farmacéuticos ilícitos en </w:t>
      </w:r>
      <w:r>
        <w:rPr>
          <w:color w:val="000000" w:themeColor="text1"/>
        </w:rPr>
        <w:t>la región africana</w:t>
      </w:r>
      <w:r w:rsidRPr="00404C02">
        <w:rPr>
          <w:color w:val="000000" w:themeColor="text1"/>
        </w:rPr>
        <w:t xml:space="preserve">. </w:t>
      </w:r>
    </w:p>
    <w:p w14:paraId="1A290988" w14:textId="77777777" w:rsidR="00787737" w:rsidRPr="00404C02" w:rsidRDefault="00787737" w:rsidP="00787737">
      <w:pPr>
        <w:rPr>
          <w:color w:val="000000" w:themeColor="text1"/>
        </w:rPr>
      </w:pPr>
    </w:p>
    <w:p w14:paraId="335F6A4B" w14:textId="77777777" w:rsidR="00787737" w:rsidRPr="00404C02" w:rsidRDefault="00787737" w:rsidP="00787737">
      <w:pPr>
        <w:rPr>
          <w:color w:val="000000" w:themeColor="text1"/>
        </w:rPr>
      </w:pPr>
      <w:r w:rsidRPr="00404C02">
        <w:rPr>
          <w:color w:val="000000" w:themeColor="text1"/>
        </w:rPr>
        <w:t>A diferencia de otras regiones, las incautaciones en África involucran principalmente medicamentos esenciales como analgésicos, antibióticos y antipalúdicos.</w:t>
      </w:r>
    </w:p>
    <w:p w14:paraId="6E7D9F74" w14:textId="77777777" w:rsidR="00787737" w:rsidRPr="00404C02" w:rsidRDefault="00787737" w:rsidP="00787737">
      <w:pPr>
        <w:rPr>
          <w:color w:val="000000" w:themeColor="text1"/>
        </w:rPr>
      </w:pPr>
    </w:p>
    <w:p w14:paraId="645B07AB" w14:textId="77777777" w:rsidR="00787737" w:rsidRDefault="00787737" w:rsidP="00787737">
      <w:pPr>
        <w:rPr>
          <w:color w:val="000000" w:themeColor="text1"/>
        </w:rPr>
      </w:pPr>
      <w:r w:rsidRPr="00404C02">
        <w:rPr>
          <w:color w:val="000000" w:themeColor="text1"/>
        </w:rPr>
        <w:t>Los grupos criminales suelen vender estos medicamentos ilícitos en mercados informales para satisfacer la demanda de tratamiento, especialmente en zonas donde el acceso a atención médica asequible es limitado.</w:t>
      </w:r>
    </w:p>
    <w:p w14:paraId="134225EE" w14:textId="77777777" w:rsidR="00787737" w:rsidRDefault="00787737" w:rsidP="00787737">
      <w:pPr>
        <w:rPr>
          <w:color w:val="000000" w:themeColor="text1"/>
        </w:rPr>
      </w:pPr>
    </w:p>
    <w:p w14:paraId="6BB5EA22" w14:textId="77777777" w:rsidR="00787737" w:rsidRPr="00FF4EA5" w:rsidRDefault="00787737" w:rsidP="00787737">
      <w:pPr>
        <w:rPr>
          <w:color w:val="0D0D0D" w:themeColor="text1" w:themeTint="F2"/>
        </w:rPr>
      </w:pPr>
      <w:r w:rsidRPr="00FF4EA5">
        <w:rPr>
          <w:color w:val="0D0D0D" w:themeColor="text1" w:themeTint="F2"/>
        </w:rPr>
        <w:t xml:space="preserve">Muchos de estos medicamentos ilícitos resultaron ser de calidad inferior, </w:t>
      </w:r>
      <w:r>
        <w:rPr>
          <w:color w:val="0D0D0D" w:themeColor="text1" w:themeTint="F2"/>
        </w:rPr>
        <w:t xml:space="preserve">o estar </w:t>
      </w:r>
      <w:r w:rsidRPr="00FF4EA5">
        <w:rPr>
          <w:color w:val="0D0D0D" w:themeColor="text1" w:themeTint="F2"/>
        </w:rPr>
        <w:t>falsificados, caducados, almacenados in</w:t>
      </w:r>
      <w:r>
        <w:rPr>
          <w:color w:val="0D0D0D" w:themeColor="text1" w:themeTint="F2"/>
        </w:rPr>
        <w:t>apropiada</w:t>
      </w:r>
      <w:r w:rsidRPr="00FF4EA5">
        <w:rPr>
          <w:color w:val="0D0D0D" w:themeColor="text1" w:themeTint="F2"/>
        </w:rPr>
        <w:t>mente</w:t>
      </w:r>
      <w:r>
        <w:rPr>
          <w:color w:val="0D0D0D" w:themeColor="text1" w:themeTint="F2"/>
        </w:rPr>
        <w:t>,</w:t>
      </w:r>
      <w:r w:rsidRPr="00FF4EA5">
        <w:rPr>
          <w:color w:val="0D0D0D" w:themeColor="text1" w:themeTint="F2"/>
        </w:rPr>
        <w:t xml:space="preserve"> o care</w:t>
      </w:r>
      <w:r>
        <w:rPr>
          <w:color w:val="0D0D0D" w:themeColor="text1" w:themeTint="F2"/>
        </w:rPr>
        <w:t>ntes</w:t>
      </w:r>
      <w:r w:rsidRPr="00FF4EA5">
        <w:rPr>
          <w:color w:val="0D0D0D" w:themeColor="text1" w:themeTint="F2"/>
        </w:rPr>
        <w:t xml:space="preserve"> de información de seguridad esencial.</w:t>
      </w:r>
    </w:p>
    <w:p w14:paraId="3CE40FEA" w14:textId="77777777" w:rsidR="00787737" w:rsidRPr="00FF4EA5" w:rsidRDefault="00787737" w:rsidP="00787737">
      <w:pPr>
        <w:rPr>
          <w:color w:val="0D0D0D" w:themeColor="text1" w:themeTint="F2"/>
        </w:rPr>
      </w:pPr>
    </w:p>
    <w:p w14:paraId="14435DB3" w14:textId="77777777" w:rsidR="00787737" w:rsidRPr="00FF4EA5" w:rsidRDefault="00787737" w:rsidP="00787737">
      <w:pPr>
        <w:rPr>
          <w:color w:val="0D0D0D" w:themeColor="text1" w:themeTint="F2"/>
        </w:rPr>
      </w:pPr>
      <w:r w:rsidRPr="00FF4EA5">
        <w:rPr>
          <w:color w:val="0D0D0D" w:themeColor="text1" w:themeTint="F2"/>
        </w:rPr>
        <w:t xml:space="preserve">Las medidas de control reflejan la magnitud del problema. En Burkina Faso, las autoridades interceptaron 384.000 cápsulas de antibióticos. En Costa de Marfil, se incautó una tonelada de </w:t>
      </w:r>
      <w:r w:rsidRPr="003A109C">
        <w:rPr>
          <w:i/>
          <w:iCs/>
          <w:color w:val="0D0D0D" w:themeColor="text1" w:themeTint="F2"/>
        </w:rPr>
        <w:t>ibuprofeno</w:t>
      </w:r>
      <w:r w:rsidRPr="00FF4EA5">
        <w:rPr>
          <w:color w:val="0D0D0D" w:themeColor="text1" w:themeTint="F2"/>
        </w:rPr>
        <w:t xml:space="preserve"> falsificado en un solo vehículo, y en Camerún, se interceptaron miles de frascos de presuntos antipalúdicos y antibióticos falsificados.</w:t>
      </w:r>
    </w:p>
    <w:p w14:paraId="776E5FC2" w14:textId="77777777" w:rsidR="00787737" w:rsidRPr="00FF4EA5" w:rsidRDefault="00787737" w:rsidP="00787737">
      <w:pPr>
        <w:rPr>
          <w:color w:val="EE0000"/>
        </w:rPr>
      </w:pPr>
    </w:p>
    <w:p w14:paraId="605C9D78" w14:textId="77777777" w:rsidR="00787737" w:rsidRPr="003A109C" w:rsidRDefault="00787737" w:rsidP="00787737">
      <w:pPr>
        <w:rPr>
          <w:b/>
          <w:bCs/>
          <w:color w:val="0D0D0D" w:themeColor="text1" w:themeTint="F2"/>
        </w:rPr>
      </w:pPr>
      <w:r w:rsidRPr="003A109C">
        <w:rPr>
          <w:b/>
          <w:bCs/>
          <w:color w:val="0D0D0D" w:themeColor="text1" w:themeTint="F2"/>
        </w:rPr>
        <w:t>Notas para el editor</w:t>
      </w:r>
    </w:p>
    <w:p w14:paraId="589D16FA" w14:textId="68002E2D" w:rsidR="00787737" w:rsidRPr="003A109C" w:rsidRDefault="00787737" w:rsidP="00787737">
      <w:pPr>
        <w:rPr>
          <w:color w:val="0D0D0D" w:themeColor="text1" w:themeTint="F2"/>
        </w:rPr>
      </w:pPr>
      <w:r w:rsidRPr="003A109C">
        <w:rPr>
          <w:color w:val="0D0D0D" w:themeColor="text1" w:themeTint="F2"/>
        </w:rPr>
        <w:t>La Operación Pangea es una operación anual de INTERPOL dirigida contra la venta en línea de productos farmacéuticos ilícitos</w:t>
      </w:r>
      <w:r w:rsidR="00E83A0B">
        <w:rPr>
          <w:color w:val="0D0D0D" w:themeColor="text1" w:themeTint="F2"/>
        </w:rPr>
        <w:t xml:space="preserve"> que</w:t>
      </w:r>
      <w:r>
        <w:rPr>
          <w:color w:val="0D0D0D" w:themeColor="text1" w:themeTint="F2"/>
        </w:rPr>
        <w:t xml:space="preserve"> c</w:t>
      </w:r>
      <w:r w:rsidRPr="003A109C">
        <w:rPr>
          <w:color w:val="0D0D0D" w:themeColor="text1" w:themeTint="F2"/>
        </w:rPr>
        <w:t>ontó con el apoyo adicional de las agencias nacionales de regulación sanitaria, la Oficina Europea de Lucha contra el Fraude, Europol, la Junta Internacional de Fiscalización de Estupefacientes, el Instituto de Seguridad Farmacéutica, la Alianza Transnacional para Combatir el Comercio Ilícito, la Oficina de las Naciones Unidas contra la Droga y el Delito, la Unión Postal Universal, la Organización Mundial de Aduanas y la Organización Mundial de la Salud.</w:t>
      </w:r>
    </w:p>
    <w:p w14:paraId="1D875255" w14:textId="77777777" w:rsidR="00787737" w:rsidRDefault="00787737" w:rsidP="00787737">
      <w:pPr>
        <w:rPr>
          <w:color w:val="0D0D0D" w:themeColor="text1" w:themeTint="F2"/>
        </w:rPr>
      </w:pPr>
    </w:p>
    <w:p w14:paraId="6B6E54BA" w14:textId="6D822030" w:rsidR="00787737" w:rsidRPr="003A109C" w:rsidRDefault="00787737" w:rsidP="00787737">
      <w:pPr>
        <w:rPr>
          <w:color w:val="0D0D0D" w:themeColor="text1" w:themeTint="F2"/>
        </w:rPr>
      </w:pPr>
      <w:r w:rsidRPr="003A109C">
        <w:rPr>
          <w:color w:val="0D0D0D" w:themeColor="text1" w:themeTint="F2"/>
        </w:rPr>
        <w:t xml:space="preserve">Los siguientes 90 países y territorios participaron en la Operación Pangea XVIII: Albania, Angola, Argentina, Armenia, Aruba, Australia, Austria, Bangladesh, Bielorrusia, </w:t>
      </w:r>
      <w:proofErr w:type="spellStart"/>
      <w:r w:rsidRPr="003A109C">
        <w:rPr>
          <w:color w:val="0D0D0D" w:themeColor="text1" w:themeTint="F2"/>
        </w:rPr>
        <w:t>Benin</w:t>
      </w:r>
      <w:proofErr w:type="spellEnd"/>
      <w:r w:rsidRPr="003A109C">
        <w:rPr>
          <w:color w:val="0D0D0D" w:themeColor="text1" w:themeTint="F2"/>
        </w:rPr>
        <w:t xml:space="preserve">, Bosnia-Herzegovina, </w:t>
      </w:r>
      <w:proofErr w:type="spellStart"/>
      <w:r w:rsidRPr="003A109C">
        <w:rPr>
          <w:color w:val="0D0D0D" w:themeColor="text1" w:themeTint="F2"/>
        </w:rPr>
        <w:t>Botswana</w:t>
      </w:r>
      <w:proofErr w:type="spellEnd"/>
      <w:r w:rsidRPr="003A109C">
        <w:rPr>
          <w:color w:val="0D0D0D" w:themeColor="text1" w:themeTint="F2"/>
        </w:rPr>
        <w:t xml:space="preserve">, Brasil, </w:t>
      </w:r>
      <w:proofErr w:type="spellStart"/>
      <w:r w:rsidRPr="003A109C">
        <w:rPr>
          <w:color w:val="0D0D0D" w:themeColor="text1" w:themeTint="F2"/>
        </w:rPr>
        <w:t>Brunei</w:t>
      </w:r>
      <w:proofErr w:type="spellEnd"/>
      <w:r w:rsidRPr="003A109C">
        <w:rPr>
          <w:color w:val="0D0D0D" w:themeColor="text1" w:themeTint="F2"/>
        </w:rPr>
        <w:t xml:space="preserve">, Bulgaria, Burkina Faso, Camboya, Camerún, Canadá, República Centroafricana, Chile, China, Colombia, Costa Rica, Costa de Marfil, Curazao, Chipre, República Checa, Dinamarca, República Centroafricana, Ecuador, </w:t>
      </w:r>
      <w:proofErr w:type="spellStart"/>
      <w:r w:rsidRPr="003A109C">
        <w:rPr>
          <w:color w:val="0D0D0D" w:themeColor="text1" w:themeTint="F2"/>
        </w:rPr>
        <w:t>Eswatini</w:t>
      </w:r>
      <w:proofErr w:type="spellEnd"/>
      <w:r w:rsidRPr="003A109C">
        <w:rPr>
          <w:color w:val="0D0D0D" w:themeColor="text1" w:themeTint="F2"/>
        </w:rPr>
        <w:t xml:space="preserve">, Etiopía, Finlandia. España, Filipinas, Francia, Gabón, Georgia, Ghana, Grecia, Guinea, Hong Kong (China), India, Indonesia, Irak, Irlanda, Italia, Jamaica, Jordania, Kenia, Laos, Letonia, Malasia, Malta, Marruecos, México, Moldavia, Myanmar, Namibia, Nepal, Nicaragua, Nigeria, Noruega, Nueva Zelanda, Panamá, Polonia, Portugal, Qatar, Rumania, Rusia, Ruanda, San Marino, Senegal, Serbia, Singapur, Sri Lanka, Suecia, Tanzania, Tailandia, Timor </w:t>
      </w:r>
      <w:r w:rsidRPr="003A109C">
        <w:rPr>
          <w:color w:val="0D0D0D" w:themeColor="text1" w:themeTint="F2"/>
        </w:rPr>
        <w:lastRenderedPageBreak/>
        <w:t xml:space="preserve">Oriental, </w:t>
      </w:r>
      <w:proofErr w:type="spellStart"/>
      <w:r w:rsidRPr="003A109C">
        <w:rPr>
          <w:color w:val="0D0D0D" w:themeColor="text1" w:themeTint="F2"/>
        </w:rPr>
        <w:t>Türkiye</w:t>
      </w:r>
      <w:proofErr w:type="spellEnd"/>
      <w:r w:rsidRPr="003A109C">
        <w:rPr>
          <w:color w:val="0D0D0D" w:themeColor="text1" w:themeTint="F2"/>
        </w:rPr>
        <w:t>, Uganda, Ucrania Reino Unido, E</w:t>
      </w:r>
      <w:r w:rsidR="00E83A0B">
        <w:rPr>
          <w:color w:val="0D0D0D" w:themeColor="text1" w:themeTint="F2"/>
        </w:rPr>
        <w:t>E</w:t>
      </w:r>
      <w:r w:rsidRPr="003A109C">
        <w:rPr>
          <w:color w:val="0D0D0D" w:themeColor="text1" w:themeTint="F2"/>
        </w:rPr>
        <w:t xml:space="preserve"> U</w:t>
      </w:r>
      <w:r w:rsidR="00E83A0B">
        <w:rPr>
          <w:color w:val="0D0D0D" w:themeColor="text1" w:themeTint="F2"/>
        </w:rPr>
        <w:t>U</w:t>
      </w:r>
      <w:r w:rsidRPr="003A109C">
        <w:rPr>
          <w:color w:val="0D0D0D" w:themeColor="text1" w:themeTint="F2"/>
        </w:rPr>
        <w:t>, Uzbekistán, Venezuela, Zimbabue.</w:t>
      </w:r>
    </w:p>
    <w:p w14:paraId="6E60C88D" w14:textId="77777777" w:rsidR="00E83A0B" w:rsidRDefault="00E83A0B" w:rsidP="00787737">
      <w:pPr>
        <w:rPr>
          <w:b/>
          <w:bCs/>
          <w:color w:val="000000" w:themeColor="text1"/>
        </w:rPr>
        <w:sectPr w:rsidR="00E83A0B" w:rsidSect="00E83A0B">
          <w:type w:val="continuous"/>
          <w:pgSz w:w="12240" w:h="15840" w:code="1"/>
          <w:pgMar w:top="720" w:right="720" w:bottom="720" w:left="720" w:header="288" w:footer="288" w:gutter="0"/>
          <w:cols w:num="2" w:space="288"/>
          <w:docGrid w:linePitch="360"/>
        </w:sectPr>
      </w:pPr>
    </w:p>
    <w:p w14:paraId="02B55936" w14:textId="3A97D8B1" w:rsidR="00787737" w:rsidRPr="003A109C" w:rsidRDefault="00787737" w:rsidP="00787737">
      <w:pPr>
        <w:rPr>
          <w:b/>
          <w:bCs/>
          <w:color w:val="000000" w:themeColor="text1"/>
        </w:rPr>
      </w:pPr>
    </w:p>
    <w:p w14:paraId="5370953F" w14:textId="77777777" w:rsidR="00E83A0B" w:rsidRDefault="00E83A0B" w:rsidP="00787737">
      <w:pPr>
        <w:rPr>
          <w:b/>
          <w:bCs/>
          <w:color w:val="000000" w:themeColor="text1"/>
        </w:rPr>
        <w:sectPr w:rsidR="00E83A0B" w:rsidSect="00F25512">
          <w:type w:val="continuous"/>
          <w:pgSz w:w="12240" w:h="15840" w:code="1"/>
          <w:pgMar w:top="720" w:right="720" w:bottom="720" w:left="720" w:header="288" w:footer="288" w:gutter="0"/>
          <w:cols w:space="288"/>
          <w:docGrid w:linePitch="360"/>
        </w:sectPr>
      </w:pPr>
    </w:p>
    <w:p w14:paraId="022C26FE" w14:textId="6AEE4F99" w:rsidR="00787737" w:rsidRDefault="00787737" w:rsidP="00787737">
      <w:pPr>
        <w:rPr>
          <w:b/>
          <w:bCs/>
          <w:color w:val="000000" w:themeColor="text1"/>
        </w:rPr>
      </w:pPr>
      <w:r>
        <w:rPr>
          <w:b/>
          <w:bCs/>
          <w:color w:val="000000" w:themeColor="text1"/>
        </w:rPr>
        <w:t>A</w:t>
      </w:r>
      <w:r w:rsidR="00EF09A1">
        <w:rPr>
          <w:b/>
          <w:bCs/>
          <w:color w:val="000000" w:themeColor="text1"/>
        </w:rPr>
        <w:t>nexos</w:t>
      </w:r>
    </w:p>
    <w:p w14:paraId="72E07E7E" w14:textId="77777777" w:rsidR="00787737" w:rsidRDefault="00787737" w:rsidP="00787737">
      <w:pPr>
        <w:rPr>
          <w:b/>
          <w:bCs/>
          <w:color w:val="000000" w:themeColor="text1"/>
        </w:rPr>
      </w:pPr>
    </w:p>
    <w:p w14:paraId="29619CA9" w14:textId="77777777" w:rsidR="00787737" w:rsidRDefault="00787737" w:rsidP="00787737">
      <w:pPr>
        <w:rPr>
          <w:b/>
          <w:bCs/>
          <w:color w:val="000000" w:themeColor="text1"/>
        </w:rPr>
      </w:pPr>
      <w:r>
        <w:rPr>
          <w:b/>
          <w:bCs/>
          <w:color w:val="000000" w:themeColor="text1"/>
        </w:rPr>
        <w:t xml:space="preserve"> Cuadro A. </w:t>
      </w:r>
      <w:r w:rsidRPr="00F9500A">
        <w:rPr>
          <w:b/>
          <w:bCs/>
          <w:color w:val="000000" w:themeColor="text1"/>
        </w:rPr>
        <w:t>Las 10 categorías farmacéuticas más incautadas</w:t>
      </w:r>
    </w:p>
    <w:tbl>
      <w:tblPr>
        <w:tblStyle w:val="Tablaconcuadrcula"/>
        <w:tblW w:w="5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1890"/>
      </w:tblGrid>
      <w:tr w:rsidR="00787737" w:rsidRPr="008F169D" w14:paraId="09065FC8" w14:textId="77777777" w:rsidTr="00F25512">
        <w:tc>
          <w:tcPr>
            <w:tcW w:w="3600" w:type="dxa"/>
            <w:tcBorders>
              <w:top w:val="single" w:sz="4" w:space="0" w:color="auto"/>
              <w:bottom w:val="single" w:sz="4" w:space="0" w:color="auto"/>
            </w:tcBorders>
            <w:tcMar>
              <w:top w:w="86" w:type="dxa"/>
              <w:left w:w="115" w:type="dxa"/>
              <w:right w:w="115" w:type="dxa"/>
            </w:tcMar>
            <w:vAlign w:val="center"/>
          </w:tcPr>
          <w:p w14:paraId="20C3B92B" w14:textId="77777777" w:rsidR="00787737" w:rsidRPr="008F169D" w:rsidRDefault="00787737" w:rsidP="006A46BD">
            <w:pPr>
              <w:ind w:left="-117"/>
              <w:jc w:val="center"/>
              <w:rPr>
                <w:b/>
                <w:bCs/>
                <w:color w:val="000000" w:themeColor="text1"/>
              </w:rPr>
            </w:pPr>
            <w:r w:rsidRPr="008F169D">
              <w:rPr>
                <w:b/>
              </w:rPr>
              <w:t>Categoría Farmacéutica</w:t>
            </w:r>
          </w:p>
        </w:tc>
        <w:tc>
          <w:tcPr>
            <w:tcW w:w="1890" w:type="dxa"/>
            <w:tcBorders>
              <w:top w:val="single" w:sz="4" w:space="0" w:color="auto"/>
              <w:bottom w:val="single" w:sz="4" w:space="0" w:color="auto"/>
            </w:tcBorders>
            <w:tcMar>
              <w:top w:w="86" w:type="dxa"/>
              <w:left w:w="115" w:type="dxa"/>
              <w:right w:w="115" w:type="dxa"/>
            </w:tcMar>
            <w:vAlign w:val="center"/>
          </w:tcPr>
          <w:p w14:paraId="0FA35BD3" w14:textId="77777777" w:rsidR="00787737" w:rsidRPr="008F169D" w:rsidRDefault="00787737" w:rsidP="006A46BD">
            <w:pPr>
              <w:ind w:left="-117"/>
              <w:jc w:val="center"/>
              <w:rPr>
                <w:b/>
                <w:bCs/>
                <w:color w:val="000000" w:themeColor="text1"/>
              </w:rPr>
            </w:pPr>
            <w:r w:rsidRPr="008F169D">
              <w:rPr>
                <w:b/>
              </w:rPr>
              <w:t>Número de dosis</w:t>
            </w:r>
          </w:p>
        </w:tc>
      </w:tr>
      <w:tr w:rsidR="00787737" w14:paraId="5E044598" w14:textId="77777777" w:rsidTr="00F25512">
        <w:tc>
          <w:tcPr>
            <w:tcW w:w="3600" w:type="dxa"/>
            <w:tcBorders>
              <w:top w:val="single" w:sz="4" w:space="0" w:color="auto"/>
            </w:tcBorders>
            <w:tcMar>
              <w:top w:w="86" w:type="dxa"/>
              <w:left w:w="115" w:type="dxa"/>
              <w:right w:w="115" w:type="dxa"/>
            </w:tcMar>
            <w:vAlign w:val="center"/>
          </w:tcPr>
          <w:p w14:paraId="549542FD" w14:textId="45B97489" w:rsidR="00787737" w:rsidRDefault="00787737" w:rsidP="006A46BD">
            <w:pPr>
              <w:rPr>
                <w:b/>
                <w:bCs/>
                <w:color w:val="000000" w:themeColor="text1"/>
              </w:rPr>
            </w:pPr>
            <w:r w:rsidRPr="008F169D">
              <w:t>Medicamentos para la Disfunción Er</w:t>
            </w:r>
            <w:r>
              <w:t>é</w:t>
            </w:r>
            <w:r w:rsidRPr="008F169D">
              <w:t>ctil</w:t>
            </w:r>
          </w:p>
        </w:tc>
        <w:tc>
          <w:tcPr>
            <w:tcW w:w="1890" w:type="dxa"/>
            <w:tcBorders>
              <w:top w:val="single" w:sz="4" w:space="0" w:color="auto"/>
            </w:tcBorders>
            <w:tcMar>
              <w:top w:w="86" w:type="dxa"/>
              <w:left w:w="115" w:type="dxa"/>
              <w:right w:w="115" w:type="dxa"/>
            </w:tcMar>
            <w:vAlign w:val="center"/>
          </w:tcPr>
          <w:p w14:paraId="7D37BAC0" w14:textId="77777777" w:rsidR="00787737" w:rsidRDefault="00787737" w:rsidP="006A46BD">
            <w:pPr>
              <w:jc w:val="center"/>
              <w:rPr>
                <w:b/>
                <w:bCs/>
                <w:color w:val="000000" w:themeColor="text1"/>
              </w:rPr>
            </w:pPr>
            <w:r w:rsidRPr="008F169D">
              <w:t>682,317</w:t>
            </w:r>
          </w:p>
        </w:tc>
      </w:tr>
      <w:tr w:rsidR="00787737" w14:paraId="3399A578" w14:textId="77777777" w:rsidTr="00F25512">
        <w:tc>
          <w:tcPr>
            <w:tcW w:w="3600" w:type="dxa"/>
            <w:tcMar>
              <w:top w:w="86" w:type="dxa"/>
              <w:left w:w="115" w:type="dxa"/>
              <w:right w:w="115" w:type="dxa"/>
            </w:tcMar>
            <w:vAlign w:val="center"/>
          </w:tcPr>
          <w:p w14:paraId="64EEBD25" w14:textId="77777777" w:rsidR="00787737" w:rsidRDefault="00787737" w:rsidP="006A46BD">
            <w:pPr>
              <w:rPr>
                <w:b/>
                <w:bCs/>
                <w:color w:val="000000" w:themeColor="text1"/>
              </w:rPr>
            </w:pPr>
            <w:r w:rsidRPr="008F169D">
              <w:t>Hipnóticos y Sedantes</w:t>
            </w:r>
          </w:p>
        </w:tc>
        <w:tc>
          <w:tcPr>
            <w:tcW w:w="1890" w:type="dxa"/>
            <w:tcMar>
              <w:top w:w="86" w:type="dxa"/>
              <w:left w:w="115" w:type="dxa"/>
              <w:right w:w="115" w:type="dxa"/>
            </w:tcMar>
            <w:vAlign w:val="center"/>
          </w:tcPr>
          <w:p w14:paraId="35DB27FB" w14:textId="77777777" w:rsidR="00787737" w:rsidRDefault="00787737" w:rsidP="006A46BD">
            <w:pPr>
              <w:jc w:val="center"/>
              <w:rPr>
                <w:b/>
                <w:bCs/>
                <w:color w:val="000000" w:themeColor="text1"/>
              </w:rPr>
            </w:pPr>
            <w:r w:rsidRPr="008F169D">
              <w:t>620,949</w:t>
            </w:r>
          </w:p>
        </w:tc>
      </w:tr>
      <w:tr w:rsidR="00787737" w14:paraId="496A7F0B" w14:textId="77777777" w:rsidTr="00F25512">
        <w:tc>
          <w:tcPr>
            <w:tcW w:w="3600" w:type="dxa"/>
            <w:tcMar>
              <w:top w:w="86" w:type="dxa"/>
              <w:left w:w="115" w:type="dxa"/>
              <w:right w:w="115" w:type="dxa"/>
            </w:tcMar>
            <w:vAlign w:val="center"/>
          </w:tcPr>
          <w:p w14:paraId="286DCBE8" w14:textId="77777777" w:rsidR="00787737" w:rsidRDefault="00787737" w:rsidP="006A46BD">
            <w:pPr>
              <w:rPr>
                <w:b/>
                <w:bCs/>
                <w:color w:val="000000" w:themeColor="text1"/>
              </w:rPr>
            </w:pPr>
            <w:r w:rsidRPr="008F169D">
              <w:t>Analgésicos</w:t>
            </w:r>
          </w:p>
        </w:tc>
        <w:tc>
          <w:tcPr>
            <w:tcW w:w="1890" w:type="dxa"/>
            <w:tcMar>
              <w:top w:w="86" w:type="dxa"/>
              <w:left w:w="115" w:type="dxa"/>
              <w:right w:w="115" w:type="dxa"/>
            </w:tcMar>
            <w:vAlign w:val="center"/>
          </w:tcPr>
          <w:p w14:paraId="1734388F" w14:textId="77777777" w:rsidR="00787737" w:rsidRDefault="00787737" w:rsidP="006A46BD">
            <w:pPr>
              <w:jc w:val="center"/>
              <w:rPr>
                <w:b/>
                <w:bCs/>
                <w:color w:val="000000" w:themeColor="text1"/>
              </w:rPr>
            </w:pPr>
            <w:r w:rsidRPr="008F169D">
              <w:t>502,611</w:t>
            </w:r>
          </w:p>
        </w:tc>
      </w:tr>
      <w:tr w:rsidR="00787737" w14:paraId="1C5141F0" w14:textId="77777777" w:rsidTr="00F25512">
        <w:tc>
          <w:tcPr>
            <w:tcW w:w="3600" w:type="dxa"/>
            <w:tcMar>
              <w:top w:w="86" w:type="dxa"/>
              <w:left w:w="115" w:type="dxa"/>
              <w:right w:w="115" w:type="dxa"/>
            </w:tcMar>
            <w:vAlign w:val="center"/>
          </w:tcPr>
          <w:p w14:paraId="1598B293" w14:textId="77777777" w:rsidR="00787737" w:rsidRDefault="00787737" w:rsidP="006A46BD">
            <w:pPr>
              <w:rPr>
                <w:b/>
                <w:bCs/>
                <w:color w:val="000000" w:themeColor="text1"/>
              </w:rPr>
            </w:pPr>
            <w:proofErr w:type="spellStart"/>
            <w:r w:rsidRPr="008F169D">
              <w:t>Anti-bacterianos</w:t>
            </w:r>
            <w:proofErr w:type="spellEnd"/>
            <w:r w:rsidRPr="008F169D">
              <w:t xml:space="preserve"> / Antibióticos</w:t>
            </w:r>
          </w:p>
        </w:tc>
        <w:tc>
          <w:tcPr>
            <w:tcW w:w="1890" w:type="dxa"/>
            <w:tcMar>
              <w:top w:w="86" w:type="dxa"/>
              <w:left w:w="115" w:type="dxa"/>
              <w:right w:w="115" w:type="dxa"/>
            </w:tcMar>
            <w:vAlign w:val="center"/>
          </w:tcPr>
          <w:p w14:paraId="1E076242" w14:textId="77777777" w:rsidR="00787737" w:rsidRDefault="00787737" w:rsidP="006A46BD">
            <w:pPr>
              <w:jc w:val="center"/>
              <w:rPr>
                <w:b/>
                <w:bCs/>
                <w:color w:val="000000" w:themeColor="text1"/>
              </w:rPr>
            </w:pPr>
            <w:r w:rsidRPr="008F169D">
              <w:t>465,473</w:t>
            </w:r>
          </w:p>
        </w:tc>
      </w:tr>
      <w:tr w:rsidR="00787737" w14:paraId="5A96BF8C" w14:textId="77777777" w:rsidTr="00F25512">
        <w:tc>
          <w:tcPr>
            <w:tcW w:w="3600" w:type="dxa"/>
            <w:tcMar>
              <w:top w:w="86" w:type="dxa"/>
              <w:left w:w="115" w:type="dxa"/>
              <w:right w:w="115" w:type="dxa"/>
            </w:tcMar>
            <w:vAlign w:val="center"/>
          </w:tcPr>
          <w:p w14:paraId="745B645C" w14:textId="77777777" w:rsidR="00787737" w:rsidRDefault="00787737" w:rsidP="006A46BD">
            <w:pPr>
              <w:rPr>
                <w:b/>
                <w:bCs/>
                <w:color w:val="000000" w:themeColor="text1"/>
              </w:rPr>
            </w:pPr>
            <w:r w:rsidRPr="008F169D">
              <w:t>Productos para dejar el cigarrillo</w:t>
            </w:r>
          </w:p>
        </w:tc>
        <w:tc>
          <w:tcPr>
            <w:tcW w:w="1890" w:type="dxa"/>
            <w:tcMar>
              <w:top w:w="86" w:type="dxa"/>
              <w:left w:w="115" w:type="dxa"/>
              <w:right w:w="115" w:type="dxa"/>
            </w:tcMar>
            <w:vAlign w:val="center"/>
          </w:tcPr>
          <w:p w14:paraId="712604E5" w14:textId="77777777" w:rsidR="00787737" w:rsidRDefault="00787737" w:rsidP="006A46BD">
            <w:pPr>
              <w:jc w:val="center"/>
              <w:rPr>
                <w:b/>
                <w:bCs/>
                <w:color w:val="000000" w:themeColor="text1"/>
              </w:rPr>
            </w:pPr>
            <w:r w:rsidRPr="008F169D">
              <w:t>376,143</w:t>
            </w:r>
          </w:p>
        </w:tc>
      </w:tr>
      <w:tr w:rsidR="00787737" w14:paraId="409AF8A6" w14:textId="77777777" w:rsidTr="00F25512">
        <w:tc>
          <w:tcPr>
            <w:tcW w:w="3600" w:type="dxa"/>
            <w:tcMar>
              <w:top w:w="86" w:type="dxa"/>
              <w:left w:w="115" w:type="dxa"/>
              <w:right w:w="115" w:type="dxa"/>
            </w:tcMar>
            <w:vAlign w:val="center"/>
          </w:tcPr>
          <w:p w14:paraId="643F4F86" w14:textId="77777777" w:rsidR="00787737" w:rsidRDefault="00787737" w:rsidP="006A46BD">
            <w:pPr>
              <w:rPr>
                <w:b/>
                <w:bCs/>
                <w:color w:val="000000" w:themeColor="text1"/>
              </w:rPr>
            </w:pPr>
            <w:r w:rsidRPr="008F169D">
              <w:t>Vitaminas</w:t>
            </w:r>
          </w:p>
        </w:tc>
        <w:tc>
          <w:tcPr>
            <w:tcW w:w="1890" w:type="dxa"/>
            <w:tcMar>
              <w:top w:w="86" w:type="dxa"/>
              <w:left w:w="115" w:type="dxa"/>
              <w:right w:w="115" w:type="dxa"/>
            </w:tcMar>
            <w:vAlign w:val="center"/>
          </w:tcPr>
          <w:p w14:paraId="6BDAB692" w14:textId="77777777" w:rsidR="00787737" w:rsidRDefault="00787737" w:rsidP="006A46BD">
            <w:pPr>
              <w:jc w:val="center"/>
              <w:rPr>
                <w:b/>
                <w:bCs/>
                <w:color w:val="000000" w:themeColor="text1"/>
              </w:rPr>
            </w:pPr>
            <w:r w:rsidRPr="008F169D">
              <w:t>303,762</w:t>
            </w:r>
          </w:p>
        </w:tc>
      </w:tr>
      <w:tr w:rsidR="00787737" w14:paraId="44C17FDC" w14:textId="77777777" w:rsidTr="00F25512">
        <w:tc>
          <w:tcPr>
            <w:tcW w:w="3600" w:type="dxa"/>
            <w:tcMar>
              <w:top w:w="86" w:type="dxa"/>
              <w:left w:w="115" w:type="dxa"/>
              <w:right w:w="115" w:type="dxa"/>
            </w:tcMar>
            <w:vAlign w:val="center"/>
          </w:tcPr>
          <w:p w14:paraId="1441CAA7" w14:textId="77777777" w:rsidR="00787737" w:rsidRDefault="00787737" w:rsidP="006A46BD">
            <w:pPr>
              <w:rPr>
                <w:b/>
                <w:bCs/>
                <w:color w:val="000000" w:themeColor="text1"/>
              </w:rPr>
            </w:pPr>
            <w:proofErr w:type="spellStart"/>
            <w:r w:rsidRPr="008F169D">
              <w:t>Anti-parasitarios</w:t>
            </w:r>
            <w:proofErr w:type="spellEnd"/>
            <w:r w:rsidRPr="008F169D">
              <w:t xml:space="preserve"> (antimaláricos y otros)</w:t>
            </w:r>
          </w:p>
        </w:tc>
        <w:tc>
          <w:tcPr>
            <w:tcW w:w="1890" w:type="dxa"/>
            <w:tcMar>
              <w:top w:w="86" w:type="dxa"/>
              <w:left w:w="115" w:type="dxa"/>
              <w:right w:w="115" w:type="dxa"/>
            </w:tcMar>
            <w:vAlign w:val="center"/>
          </w:tcPr>
          <w:p w14:paraId="3B08340C" w14:textId="77777777" w:rsidR="00787737" w:rsidRDefault="00787737" w:rsidP="006A46BD">
            <w:pPr>
              <w:jc w:val="center"/>
              <w:rPr>
                <w:b/>
                <w:bCs/>
                <w:color w:val="000000" w:themeColor="text1"/>
              </w:rPr>
            </w:pPr>
            <w:r w:rsidRPr="008F169D">
              <w:t>149,092</w:t>
            </w:r>
          </w:p>
        </w:tc>
      </w:tr>
      <w:tr w:rsidR="00787737" w:rsidRPr="008F169D" w14:paraId="66D28A9D" w14:textId="77777777" w:rsidTr="00F25512">
        <w:tc>
          <w:tcPr>
            <w:tcW w:w="3600" w:type="dxa"/>
            <w:tcMar>
              <w:top w:w="86" w:type="dxa"/>
              <w:left w:w="115" w:type="dxa"/>
              <w:right w:w="115" w:type="dxa"/>
            </w:tcMar>
            <w:vAlign w:val="center"/>
          </w:tcPr>
          <w:p w14:paraId="4E52EA0C" w14:textId="77777777" w:rsidR="00787737" w:rsidRPr="008F169D" w:rsidRDefault="00787737" w:rsidP="006A46BD">
            <w:pPr>
              <w:rPr>
                <w:b/>
                <w:bCs/>
                <w:color w:val="000000" w:themeColor="text1"/>
                <w:lang w:val="pt-BR"/>
              </w:rPr>
            </w:pPr>
            <w:proofErr w:type="spellStart"/>
            <w:r w:rsidRPr="008F169D">
              <w:rPr>
                <w:lang w:val="pt-BR"/>
              </w:rPr>
              <w:t>Anti-inflamatorios</w:t>
            </w:r>
            <w:proofErr w:type="spellEnd"/>
            <w:r w:rsidRPr="008F169D">
              <w:rPr>
                <w:lang w:val="pt-BR"/>
              </w:rPr>
              <w:t xml:space="preserve"> / Medicamentos </w:t>
            </w:r>
            <w:proofErr w:type="spellStart"/>
            <w:r w:rsidRPr="008F169D">
              <w:rPr>
                <w:lang w:val="pt-BR"/>
              </w:rPr>
              <w:t>Anti-reumáticos</w:t>
            </w:r>
            <w:proofErr w:type="spellEnd"/>
          </w:p>
        </w:tc>
        <w:tc>
          <w:tcPr>
            <w:tcW w:w="1890" w:type="dxa"/>
            <w:tcMar>
              <w:top w:w="86" w:type="dxa"/>
              <w:left w:w="115" w:type="dxa"/>
              <w:right w:w="115" w:type="dxa"/>
            </w:tcMar>
            <w:vAlign w:val="center"/>
          </w:tcPr>
          <w:p w14:paraId="5DE9A101" w14:textId="77777777" w:rsidR="00787737" w:rsidRPr="008F169D" w:rsidRDefault="00787737" w:rsidP="006A46BD">
            <w:pPr>
              <w:jc w:val="center"/>
              <w:rPr>
                <w:b/>
                <w:bCs/>
                <w:color w:val="000000" w:themeColor="text1"/>
                <w:lang w:val="pt-BR"/>
              </w:rPr>
            </w:pPr>
            <w:r w:rsidRPr="008F169D">
              <w:t>95,776</w:t>
            </w:r>
          </w:p>
        </w:tc>
      </w:tr>
      <w:tr w:rsidR="00787737" w14:paraId="3A5261E9" w14:textId="77777777" w:rsidTr="00F25512">
        <w:tc>
          <w:tcPr>
            <w:tcW w:w="3600" w:type="dxa"/>
            <w:tcMar>
              <w:top w:w="86" w:type="dxa"/>
              <w:left w:w="115" w:type="dxa"/>
              <w:right w:w="115" w:type="dxa"/>
            </w:tcMar>
            <w:vAlign w:val="center"/>
          </w:tcPr>
          <w:p w14:paraId="361C8E6A" w14:textId="77777777" w:rsidR="00787737" w:rsidRDefault="00787737" w:rsidP="006A46BD">
            <w:pPr>
              <w:rPr>
                <w:b/>
                <w:bCs/>
                <w:color w:val="000000" w:themeColor="text1"/>
              </w:rPr>
            </w:pPr>
            <w:r w:rsidRPr="008F169D">
              <w:t>Agentes Psicoterapéuticos</w:t>
            </w:r>
          </w:p>
        </w:tc>
        <w:tc>
          <w:tcPr>
            <w:tcW w:w="1890" w:type="dxa"/>
            <w:tcMar>
              <w:top w:w="86" w:type="dxa"/>
              <w:left w:w="115" w:type="dxa"/>
              <w:right w:w="115" w:type="dxa"/>
            </w:tcMar>
            <w:vAlign w:val="center"/>
          </w:tcPr>
          <w:p w14:paraId="00904923" w14:textId="77777777" w:rsidR="00787737" w:rsidRDefault="00787737" w:rsidP="006A46BD">
            <w:pPr>
              <w:jc w:val="center"/>
              <w:rPr>
                <w:b/>
                <w:bCs/>
                <w:color w:val="000000" w:themeColor="text1"/>
              </w:rPr>
            </w:pPr>
            <w:r w:rsidRPr="008F169D">
              <w:t>87,838</w:t>
            </w:r>
          </w:p>
        </w:tc>
      </w:tr>
      <w:tr w:rsidR="00787737" w14:paraId="4959AA2F" w14:textId="77777777" w:rsidTr="00F25512">
        <w:tc>
          <w:tcPr>
            <w:tcW w:w="3600" w:type="dxa"/>
            <w:tcBorders>
              <w:bottom w:val="single" w:sz="4" w:space="0" w:color="auto"/>
            </w:tcBorders>
            <w:tcMar>
              <w:top w:w="86" w:type="dxa"/>
              <w:left w:w="115" w:type="dxa"/>
              <w:right w:w="115" w:type="dxa"/>
            </w:tcMar>
            <w:vAlign w:val="center"/>
          </w:tcPr>
          <w:p w14:paraId="05830935" w14:textId="77777777" w:rsidR="00787737" w:rsidRDefault="00787737" w:rsidP="006A46BD">
            <w:pPr>
              <w:rPr>
                <w:b/>
                <w:bCs/>
                <w:color w:val="000000" w:themeColor="text1"/>
              </w:rPr>
            </w:pPr>
            <w:r w:rsidRPr="008F169D">
              <w:t>Esteroides Anabólicos</w:t>
            </w:r>
          </w:p>
        </w:tc>
        <w:tc>
          <w:tcPr>
            <w:tcW w:w="1890" w:type="dxa"/>
            <w:tcBorders>
              <w:bottom w:val="single" w:sz="4" w:space="0" w:color="auto"/>
            </w:tcBorders>
            <w:tcMar>
              <w:top w:w="86" w:type="dxa"/>
              <w:left w:w="115" w:type="dxa"/>
              <w:right w:w="115" w:type="dxa"/>
            </w:tcMar>
            <w:vAlign w:val="center"/>
          </w:tcPr>
          <w:p w14:paraId="0F04E1DE" w14:textId="77777777" w:rsidR="00787737" w:rsidRDefault="00787737" w:rsidP="006A46BD">
            <w:pPr>
              <w:jc w:val="center"/>
              <w:rPr>
                <w:b/>
                <w:bCs/>
                <w:color w:val="000000" w:themeColor="text1"/>
              </w:rPr>
            </w:pPr>
            <w:r w:rsidRPr="008F169D">
              <w:t>86,732</w:t>
            </w:r>
          </w:p>
        </w:tc>
      </w:tr>
    </w:tbl>
    <w:p w14:paraId="4249079F" w14:textId="435B78AD" w:rsidR="00787737" w:rsidRDefault="00787737" w:rsidP="00787737">
      <w:pPr>
        <w:rPr>
          <w:b/>
          <w:bCs/>
          <w:color w:val="000000" w:themeColor="text1"/>
        </w:rPr>
      </w:pPr>
      <w:r>
        <w:rPr>
          <w:b/>
          <w:bCs/>
          <w:color w:val="000000" w:themeColor="text1"/>
        </w:rPr>
        <w:t xml:space="preserve">Cuadro B. </w:t>
      </w:r>
      <w:r w:rsidRPr="001E6DFF">
        <w:rPr>
          <w:b/>
          <w:bCs/>
          <w:color w:val="000000" w:themeColor="text1"/>
        </w:rPr>
        <w:t>Los 10 países con mayor número de incautaciones de productos farmacéuticos ilícitos.</w:t>
      </w:r>
    </w:p>
    <w:tbl>
      <w:tblPr>
        <w:tblStyle w:val="Tablaconcuadrcula"/>
        <w:tblW w:w="49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2880"/>
      </w:tblGrid>
      <w:tr w:rsidR="00787737" w14:paraId="208A21D2" w14:textId="77777777" w:rsidTr="006A46BD">
        <w:tc>
          <w:tcPr>
            <w:tcW w:w="2065" w:type="dxa"/>
            <w:tcBorders>
              <w:top w:val="single" w:sz="4" w:space="0" w:color="auto"/>
              <w:bottom w:val="single" w:sz="4" w:space="0" w:color="auto"/>
            </w:tcBorders>
            <w:tcMar>
              <w:top w:w="86" w:type="dxa"/>
              <w:left w:w="115" w:type="dxa"/>
              <w:right w:w="115" w:type="dxa"/>
            </w:tcMar>
            <w:vAlign w:val="center"/>
          </w:tcPr>
          <w:p w14:paraId="06B639F4" w14:textId="77777777" w:rsidR="00787737" w:rsidRDefault="00787737" w:rsidP="006A46BD">
            <w:pPr>
              <w:jc w:val="center"/>
              <w:rPr>
                <w:b/>
                <w:bCs/>
                <w:color w:val="000000" w:themeColor="text1"/>
              </w:rPr>
            </w:pPr>
            <w:r>
              <w:rPr>
                <w:b/>
                <w:bCs/>
                <w:color w:val="000000" w:themeColor="text1"/>
              </w:rPr>
              <w:t>País</w:t>
            </w:r>
          </w:p>
        </w:tc>
        <w:tc>
          <w:tcPr>
            <w:tcW w:w="2880" w:type="dxa"/>
            <w:tcBorders>
              <w:top w:val="single" w:sz="4" w:space="0" w:color="auto"/>
              <w:bottom w:val="single" w:sz="4" w:space="0" w:color="auto"/>
            </w:tcBorders>
            <w:tcMar>
              <w:top w:w="86" w:type="dxa"/>
              <w:left w:w="115" w:type="dxa"/>
              <w:right w:w="115" w:type="dxa"/>
            </w:tcMar>
            <w:vAlign w:val="center"/>
          </w:tcPr>
          <w:p w14:paraId="17D9FB4B" w14:textId="77777777" w:rsidR="00787737" w:rsidRDefault="00787737" w:rsidP="006A46BD">
            <w:pPr>
              <w:jc w:val="center"/>
              <w:rPr>
                <w:b/>
                <w:bCs/>
                <w:color w:val="000000" w:themeColor="text1"/>
              </w:rPr>
            </w:pPr>
            <w:r>
              <w:rPr>
                <w:b/>
                <w:bCs/>
                <w:color w:val="000000" w:themeColor="text1"/>
              </w:rPr>
              <w:t xml:space="preserve">Número de </w:t>
            </w:r>
            <w:r w:rsidRPr="001E6DFF">
              <w:rPr>
                <w:b/>
                <w:bCs/>
                <w:color w:val="000000" w:themeColor="text1"/>
              </w:rPr>
              <w:t>Dos</w:t>
            </w:r>
            <w:r>
              <w:rPr>
                <w:b/>
                <w:bCs/>
                <w:color w:val="000000" w:themeColor="text1"/>
              </w:rPr>
              <w:t>i</w:t>
            </w:r>
            <w:r w:rsidRPr="001E6DFF">
              <w:rPr>
                <w:b/>
                <w:bCs/>
                <w:color w:val="000000" w:themeColor="text1"/>
              </w:rPr>
              <w:t>s</w:t>
            </w:r>
          </w:p>
        </w:tc>
      </w:tr>
      <w:tr w:rsidR="00787737" w14:paraId="0F7C27F8" w14:textId="77777777" w:rsidTr="006A46BD">
        <w:tc>
          <w:tcPr>
            <w:tcW w:w="2065" w:type="dxa"/>
            <w:tcBorders>
              <w:top w:val="single" w:sz="4" w:space="0" w:color="auto"/>
            </w:tcBorders>
            <w:tcMar>
              <w:top w:w="86" w:type="dxa"/>
              <w:left w:w="115" w:type="dxa"/>
              <w:right w:w="115" w:type="dxa"/>
            </w:tcMar>
            <w:vAlign w:val="center"/>
          </w:tcPr>
          <w:p w14:paraId="6E404A41" w14:textId="77777777" w:rsidR="00787737" w:rsidRDefault="00787737" w:rsidP="006A46BD">
            <w:pPr>
              <w:jc w:val="center"/>
              <w:rPr>
                <w:b/>
                <w:bCs/>
                <w:color w:val="000000" w:themeColor="text1"/>
              </w:rPr>
            </w:pPr>
            <w:r>
              <w:rPr>
                <w:i/>
                <w:iCs/>
                <w:color w:val="000000" w:themeColor="text1"/>
              </w:rPr>
              <w:t xml:space="preserve">Reino </w:t>
            </w:r>
            <w:r w:rsidRPr="001E6DFF">
              <w:rPr>
                <w:i/>
                <w:iCs/>
                <w:color w:val="000000" w:themeColor="text1"/>
              </w:rPr>
              <w:t>Uni</w:t>
            </w:r>
            <w:r>
              <w:rPr>
                <w:i/>
                <w:iCs/>
                <w:color w:val="000000" w:themeColor="text1"/>
              </w:rPr>
              <w:t>do</w:t>
            </w:r>
            <w:r w:rsidRPr="001E6DFF">
              <w:rPr>
                <w:i/>
                <w:iCs/>
                <w:color w:val="000000" w:themeColor="text1"/>
              </w:rPr>
              <w:t>*</w:t>
            </w:r>
          </w:p>
        </w:tc>
        <w:tc>
          <w:tcPr>
            <w:tcW w:w="2880" w:type="dxa"/>
            <w:tcBorders>
              <w:top w:val="single" w:sz="4" w:space="0" w:color="auto"/>
            </w:tcBorders>
            <w:tcMar>
              <w:top w:w="86" w:type="dxa"/>
              <w:left w:w="115" w:type="dxa"/>
              <w:right w:w="115" w:type="dxa"/>
            </w:tcMar>
            <w:vAlign w:val="center"/>
          </w:tcPr>
          <w:p w14:paraId="336D9F11" w14:textId="77777777" w:rsidR="00787737" w:rsidRDefault="00787737" w:rsidP="006A46BD">
            <w:pPr>
              <w:jc w:val="center"/>
              <w:rPr>
                <w:b/>
                <w:bCs/>
                <w:color w:val="000000" w:themeColor="text1"/>
              </w:rPr>
            </w:pPr>
            <w:r w:rsidRPr="001E6DFF">
              <w:rPr>
                <w:color w:val="000000" w:themeColor="text1"/>
              </w:rPr>
              <w:t>2,122,591</w:t>
            </w:r>
          </w:p>
        </w:tc>
      </w:tr>
      <w:tr w:rsidR="00787737" w14:paraId="73C4C5D6" w14:textId="77777777" w:rsidTr="006A46BD">
        <w:tc>
          <w:tcPr>
            <w:tcW w:w="2065" w:type="dxa"/>
            <w:tcMar>
              <w:top w:w="86" w:type="dxa"/>
              <w:left w:w="115" w:type="dxa"/>
              <w:right w:w="115" w:type="dxa"/>
            </w:tcMar>
            <w:vAlign w:val="center"/>
          </w:tcPr>
          <w:p w14:paraId="291611F0" w14:textId="77777777" w:rsidR="00787737" w:rsidRDefault="00787737" w:rsidP="006A46BD">
            <w:pPr>
              <w:jc w:val="center"/>
              <w:rPr>
                <w:b/>
                <w:bCs/>
                <w:color w:val="000000" w:themeColor="text1"/>
              </w:rPr>
            </w:pPr>
            <w:r w:rsidRPr="001E6DFF">
              <w:rPr>
                <w:color w:val="000000" w:themeColor="text1"/>
              </w:rPr>
              <w:t>Colombia</w:t>
            </w:r>
          </w:p>
        </w:tc>
        <w:tc>
          <w:tcPr>
            <w:tcW w:w="2880" w:type="dxa"/>
            <w:tcMar>
              <w:top w:w="86" w:type="dxa"/>
              <w:left w:w="115" w:type="dxa"/>
              <w:right w:w="115" w:type="dxa"/>
            </w:tcMar>
            <w:vAlign w:val="center"/>
          </w:tcPr>
          <w:p w14:paraId="4EBAEA8B" w14:textId="77777777" w:rsidR="00787737" w:rsidRDefault="00787737" w:rsidP="006A46BD">
            <w:pPr>
              <w:jc w:val="center"/>
              <w:rPr>
                <w:b/>
                <w:bCs/>
                <w:color w:val="000000" w:themeColor="text1"/>
              </w:rPr>
            </w:pPr>
            <w:r w:rsidRPr="001E6DFF">
              <w:rPr>
                <w:color w:val="000000" w:themeColor="text1"/>
              </w:rPr>
              <w:t>1,473,434</w:t>
            </w:r>
          </w:p>
        </w:tc>
      </w:tr>
      <w:tr w:rsidR="00787737" w14:paraId="543AA758" w14:textId="77777777" w:rsidTr="006A46BD">
        <w:tc>
          <w:tcPr>
            <w:tcW w:w="2065" w:type="dxa"/>
            <w:tcMar>
              <w:top w:w="86" w:type="dxa"/>
              <w:left w:w="115" w:type="dxa"/>
              <w:right w:w="115" w:type="dxa"/>
            </w:tcMar>
            <w:vAlign w:val="center"/>
          </w:tcPr>
          <w:p w14:paraId="5EE69FCC" w14:textId="77777777" w:rsidR="00787737" w:rsidRDefault="00787737" w:rsidP="006A46BD">
            <w:pPr>
              <w:jc w:val="center"/>
              <w:rPr>
                <w:b/>
                <w:bCs/>
                <w:color w:val="000000" w:themeColor="text1"/>
              </w:rPr>
            </w:pPr>
            <w:r w:rsidRPr="001E6DFF">
              <w:rPr>
                <w:color w:val="000000" w:themeColor="text1"/>
              </w:rPr>
              <w:t>Australia</w:t>
            </w:r>
          </w:p>
        </w:tc>
        <w:tc>
          <w:tcPr>
            <w:tcW w:w="2880" w:type="dxa"/>
            <w:tcMar>
              <w:top w:w="86" w:type="dxa"/>
              <w:left w:w="115" w:type="dxa"/>
              <w:right w:w="115" w:type="dxa"/>
            </w:tcMar>
            <w:vAlign w:val="center"/>
          </w:tcPr>
          <w:p w14:paraId="508D3518" w14:textId="77777777" w:rsidR="00787737" w:rsidRDefault="00787737" w:rsidP="006A46BD">
            <w:pPr>
              <w:jc w:val="center"/>
              <w:rPr>
                <w:b/>
                <w:bCs/>
                <w:color w:val="000000" w:themeColor="text1"/>
              </w:rPr>
            </w:pPr>
            <w:r w:rsidRPr="001E6DFF">
              <w:rPr>
                <w:color w:val="000000" w:themeColor="text1"/>
              </w:rPr>
              <w:t>752,617</w:t>
            </w:r>
          </w:p>
        </w:tc>
      </w:tr>
      <w:tr w:rsidR="00787737" w14:paraId="70E06457" w14:textId="77777777" w:rsidTr="006A46BD">
        <w:tc>
          <w:tcPr>
            <w:tcW w:w="2065" w:type="dxa"/>
            <w:tcMar>
              <w:top w:w="86" w:type="dxa"/>
              <w:left w:w="115" w:type="dxa"/>
              <w:right w:w="115" w:type="dxa"/>
            </w:tcMar>
            <w:vAlign w:val="center"/>
          </w:tcPr>
          <w:p w14:paraId="6932BBB3" w14:textId="77777777" w:rsidR="00787737" w:rsidRDefault="00787737" w:rsidP="006A46BD">
            <w:pPr>
              <w:jc w:val="center"/>
              <w:rPr>
                <w:b/>
                <w:bCs/>
                <w:color w:val="000000" w:themeColor="text1"/>
              </w:rPr>
            </w:pPr>
            <w:r w:rsidRPr="001E6DFF">
              <w:rPr>
                <w:color w:val="000000" w:themeColor="text1"/>
              </w:rPr>
              <w:t>Burkina Faso</w:t>
            </w:r>
          </w:p>
        </w:tc>
        <w:tc>
          <w:tcPr>
            <w:tcW w:w="2880" w:type="dxa"/>
            <w:tcMar>
              <w:top w:w="86" w:type="dxa"/>
              <w:left w:w="115" w:type="dxa"/>
              <w:right w:w="115" w:type="dxa"/>
            </w:tcMar>
            <w:vAlign w:val="center"/>
          </w:tcPr>
          <w:p w14:paraId="5A57AEF9" w14:textId="77777777" w:rsidR="00787737" w:rsidRDefault="00787737" w:rsidP="006A46BD">
            <w:pPr>
              <w:jc w:val="center"/>
              <w:rPr>
                <w:b/>
                <w:bCs/>
                <w:color w:val="000000" w:themeColor="text1"/>
              </w:rPr>
            </w:pPr>
            <w:r w:rsidRPr="001E6DFF">
              <w:rPr>
                <w:color w:val="000000" w:themeColor="text1"/>
              </w:rPr>
              <w:t>430,360</w:t>
            </w:r>
          </w:p>
        </w:tc>
      </w:tr>
      <w:tr w:rsidR="00787737" w14:paraId="7687681B" w14:textId="77777777" w:rsidTr="006A46BD">
        <w:tc>
          <w:tcPr>
            <w:tcW w:w="2065" w:type="dxa"/>
            <w:tcMar>
              <w:top w:w="86" w:type="dxa"/>
              <w:left w:w="115" w:type="dxa"/>
              <w:right w:w="115" w:type="dxa"/>
            </w:tcMar>
            <w:vAlign w:val="center"/>
          </w:tcPr>
          <w:p w14:paraId="6B764E4C" w14:textId="77777777" w:rsidR="00787737" w:rsidRDefault="00787737" w:rsidP="006A46BD">
            <w:pPr>
              <w:jc w:val="center"/>
              <w:rPr>
                <w:b/>
                <w:bCs/>
                <w:color w:val="000000" w:themeColor="text1"/>
              </w:rPr>
            </w:pPr>
            <w:r w:rsidRPr="001E6DFF">
              <w:rPr>
                <w:color w:val="000000" w:themeColor="text1"/>
              </w:rPr>
              <w:t>T</w:t>
            </w:r>
            <w:r>
              <w:rPr>
                <w:color w:val="000000" w:themeColor="text1"/>
              </w:rPr>
              <w:t>urquía</w:t>
            </w:r>
          </w:p>
        </w:tc>
        <w:tc>
          <w:tcPr>
            <w:tcW w:w="2880" w:type="dxa"/>
            <w:tcMar>
              <w:top w:w="86" w:type="dxa"/>
              <w:left w:w="115" w:type="dxa"/>
              <w:right w:w="115" w:type="dxa"/>
            </w:tcMar>
            <w:vAlign w:val="center"/>
          </w:tcPr>
          <w:p w14:paraId="34A69AA4" w14:textId="77777777" w:rsidR="00787737" w:rsidRDefault="00787737" w:rsidP="006A46BD">
            <w:pPr>
              <w:jc w:val="center"/>
              <w:rPr>
                <w:b/>
                <w:bCs/>
                <w:color w:val="000000" w:themeColor="text1"/>
              </w:rPr>
            </w:pPr>
            <w:r w:rsidRPr="001E6DFF">
              <w:rPr>
                <w:color w:val="000000" w:themeColor="text1"/>
              </w:rPr>
              <w:t>344,874</w:t>
            </w:r>
          </w:p>
        </w:tc>
      </w:tr>
      <w:tr w:rsidR="00787737" w14:paraId="1128C7F5" w14:textId="77777777" w:rsidTr="006A46BD">
        <w:tc>
          <w:tcPr>
            <w:tcW w:w="2065" w:type="dxa"/>
            <w:tcMar>
              <w:top w:w="86" w:type="dxa"/>
              <w:left w:w="115" w:type="dxa"/>
              <w:right w:w="115" w:type="dxa"/>
            </w:tcMar>
            <w:vAlign w:val="center"/>
          </w:tcPr>
          <w:p w14:paraId="43B1CE8B" w14:textId="77777777" w:rsidR="00787737" w:rsidRDefault="00787737" w:rsidP="006A46BD">
            <w:pPr>
              <w:jc w:val="center"/>
              <w:rPr>
                <w:b/>
                <w:bCs/>
                <w:color w:val="000000" w:themeColor="text1"/>
              </w:rPr>
            </w:pPr>
            <w:r>
              <w:rPr>
                <w:color w:val="000000" w:themeColor="text1"/>
              </w:rPr>
              <w:t>EE UU</w:t>
            </w:r>
          </w:p>
        </w:tc>
        <w:tc>
          <w:tcPr>
            <w:tcW w:w="2880" w:type="dxa"/>
            <w:tcMar>
              <w:top w:w="86" w:type="dxa"/>
              <w:left w:w="115" w:type="dxa"/>
              <w:right w:w="115" w:type="dxa"/>
            </w:tcMar>
            <w:vAlign w:val="center"/>
          </w:tcPr>
          <w:p w14:paraId="174D725B" w14:textId="77777777" w:rsidR="00787737" w:rsidRDefault="00787737" w:rsidP="006A46BD">
            <w:pPr>
              <w:jc w:val="center"/>
              <w:rPr>
                <w:b/>
                <w:bCs/>
                <w:color w:val="000000" w:themeColor="text1"/>
              </w:rPr>
            </w:pPr>
            <w:r w:rsidRPr="001E6DFF">
              <w:rPr>
                <w:color w:val="000000" w:themeColor="text1"/>
              </w:rPr>
              <w:t>342,610</w:t>
            </w:r>
          </w:p>
        </w:tc>
      </w:tr>
      <w:tr w:rsidR="00787737" w14:paraId="65D20A59" w14:textId="77777777" w:rsidTr="006A46BD">
        <w:tc>
          <w:tcPr>
            <w:tcW w:w="2065" w:type="dxa"/>
            <w:tcMar>
              <w:top w:w="86" w:type="dxa"/>
              <w:left w:w="115" w:type="dxa"/>
              <w:right w:w="115" w:type="dxa"/>
            </w:tcMar>
            <w:vAlign w:val="center"/>
          </w:tcPr>
          <w:p w14:paraId="648BACA3" w14:textId="77777777" w:rsidR="00787737" w:rsidRDefault="00787737" w:rsidP="006A46BD">
            <w:pPr>
              <w:jc w:val="center"/>
              <w:rPr>
                <w:b/>
                <w:bCs/>
                <w:color w:val="000000" w:themeColor="text1"/>
              </w:rPr>
            </w:pPr>
            <w:r w:rsidRPr="001E6DFF">
              <w:rPr>
                <w:color w:val="000000" w:themeColor="text1"/>
              </w:rPr>
              <w:t>Canad</w:t>
            </w:r>
            <w:r>
              <w:rPr>
                <w:color w:val="000000" w:themeColor="text1"/>
              </w:rPr>
              <w:t>á</w:t>
            </w:r>
          </w:p>
        </w:tc>
        <w:tc>
          <w:tcPr>
            <w:tcW w:w="2880" w:type="dxa"/>
            <w:tcMar>
              <w:top w:w="86" w:type="dxa"/>
              <w:left w:w="115" w:type="dxa"/>
              <w:right w:w="115" w:type="dxa"/>
            </w:tcMar>
            <w:vAlign w:val="center"/>
          </w:tcPr>
          <w:p w14:paraId="5D6AD09D" w14:textId="77777777" w:rsidR="00787737" w:rsidRDefault="00787737" w:rsidP="006A46BD">
            <w:pPr>
              <w:jc w:val="center"/>
              <w:rPr>
                <w:b/>
                <w:bCs/>
                <w:color w:val="000000" w:themeColor="text1"/>
              </w:rPr>
            </w:pPr>
            <w:r w:rsidRPr="001E6DFF">
              <w:rPr>
                <w:color w:val="000000" w:themeColor="text1"/>
              </w:rPr>
              <w:t>269,940</w:t>
            </w:r>
          </w:p>
        </w:tc>
      </w:tr>
      <w:tr w:rsidR="00787737" w14:paraId="417074EA" w14:textId="77777777" w:rsidTr="006A46BD">
        <w:tc>
          <w:tcPr>
            <w:tcW w:w="2065" w:type="dxa"/>
            <w:tcMar>
              <w:top w:w="86" w:type="dxa"/>
              <w:left w:w="115" w:type="dxa"/>
              <w:right w:w="115" w:type="dxa"/>
            </w:tcMar>
            <w:vAlign w:val="center"/>
          </w:tcPr>
          <w:p w14:paraId="45E3E713" w14:textId="77777777" w:rsidR="00787737" w:rsidRDefault="00787737" w:rsidP="006A46BD">
            <w:pPr>
              <w:jc w:val="center"/>
              <w:rPr>
                <w:b/>
                <w:bCs/>
                <w:color w:val="000000" w:themeColor="text1"/>
              </w:rPr>
            </w:pPr>
            <w:r w:rsidRPr="001E6DFF">
              <w:rPr>
                <w:color w:val="000000" w:themeColor="text1"/>
              </w:rPr>
              <w:t>Irland</w:t>
            </w:r>
            <w:r>
              <w:rPr>
                <w:color w:val="000000" w:themeColor="text1"/>
              </w:rPr>
              <w:t>a</w:t>
            </w:r>
          </w:p>
        </w:tc>
        <w:tc>
          <w:tcPr>
            <w:tcW w:w="2880" w:type="dxa"/>
            <w:tcMar>
              <w:top w:w="86" w:type="dxa"/>
              <w:left w:w="115" w:type="dxa"/>
              <w:right w:w="115" w:type="dxa"/>
            </w:tcMar>
            <w:vAlign w:val="center"/>
          </w:tcPr>
          <w:p w14:paraId="5324AF93" w14:textId="77777777" w:rsidR="00787737" w:rsidRDefault="00787737" w:rsidP="006A46BD">
            <w:pPr>
              <w:jc w:val="center"/>
              <w:rPr>
                <w:b/>
                <w:bCs/>
                <w:color w:val="000000" w:themeColor="text1"/>
              </w:rPr>
            </w:pPr>
            <w:r w:rsidRPr="001E6DFF">
              <w:rPr>
                <w:color w:val="000000" w:themeColor="text1"/>
              </w:rPr>
              <w:t>157,422</w:t>
            </w:r>
          </w:p>
        </w:tc>
      </w:tr>
      <w:tr w:rsidR="00787737" w14:paraId="4CF8C2A3" w14:textId="77777777" w:rsidTr="006A46BD">
        <w:tc>
          <w:tcPr>
            <w:tcW w:w="2065" w:type="dxa"/>
            <w:tcMar>
              <w:top w:w="86" w:type="dxa"/>
              <w:left w:w="115" w:type="dxa"/>
              <w:right w:w="115" w:type="dxa"/>
            </w:tcMar>
            <w:vAlign w:val="center"/>
          </w:tcPr>
          <w:p w14:paraId="12421F09" w14:textId="77777777" w:rsidR="00787737" w:rsidRDefault="00787737" w:rsidP="006A46BD">
            <w:pPr>
              <w:jc w:val="center"/>
              <w:rPr>
                <w:b/>
                <w:bCs/>
                <w:color w:val="000000" w:themeColor="text1"/>
              </w:rPr>
            </w:pPr>
            <w:r w:rsidRPr="001E6DFF">
              <w:rPr>
                <w:color w:val="000000" w:themeColor="text1"/>
              </w:rPr>
              <w:t>Malasia</w:t>
            </w:r>
          </w:p>
        </w:tc>
        <w:tc>
          <w:tcPr>
            <w:tcW w:w="2880" w:type="dxa"/>
            <w:tcMar>
              <w:top w:w="86" w:type="dxa"/>
              <w:left w:w="115" w:type="dxa"/>
              <w:right w:w="115" w:type="dxa"/>
            </w:tcMar>
            <w:vAlign w:val="center"/>
          </w:tcPr>
          <w:p w14:paraId="0DAD5093" w14:textId="77777777" w:rsidR="00787737" w:rsidRDefault="00787737" w:rsidP="006A46BD">
            <w:pPr>
              <w:jc w:val="center"/>
              <w:rPr>
                <w:b/>
                <w:bCs/>
                <w:color w:val="000000" w:themeColor="text1"/>
              </w:rPr>
            </w:pPr>
            <w:r w:rsidRPr="001E6DFF">
              <w:rPr>
                <w:color w:val="000000" w:themeColor="text1"/>
              </w:rPr>
              <w:t>130,866</w:t>
            </w:r>
          </w:p>
        </w:tc>
      </w:tr>
      <w:tr w:rsidR="00787737" w14:paraId="0E3183C5" w14:textId="77777777" w:rsidTr="006A46BD">
        <w:tc>
          <w:tcPr>
            <w:tcW w:w="2065" w:type="dxa"/>
            <w:tcBorders>
              <w:bottom w:val="single" w:sz="4" w:space="0" w:color="auto"/>
            </w:tcBorders>
            <w:tcMar>
              <w:top w:w="86" w:type="dxa"/>
              <w:left w:w="115" w:type="dxa"/>
              <w:right w:w="115" w:type="dxa"/>
            </w:tcMar>
            <w:vAlign w:val="center"/>
          </w:tcPr>
          <w:p w14:paraId="7E4FB9A2" w14:textId="77777777" w:rsidR="00787737" w:rsidRDefault="00787737" w:rsidP="006A46BD">
            <w:pPr>
              <w:jc w:val="center"/>
              <w:rPr>
                <w:b/>
                <w:bCs/>
                <w:color w:val="000000" w:themeColor="text1"/>
              </w:rPr>
            </w:pPr>
            <w:r w:rsidRPr="001E6DFF">
              <w:rPr>
                <w:color w:val="000000" w:themeColor="text1"/>
              </w:rPr>
              <w:t>Franc</w:t>
            </w:r>
            <w:r>
              <w:rPr>
                <w:color w:val="000000" w:themeColor="text1"/>
              </w:rPr>
              <w:t>ia</w:t>
            </w:r>
          </w:p>
        </w:tc>
        <w:tc>
          <w:tcPr>
            <w:tcW w:w="2880" w:type="dxa"/>
            <w:tcBorders>
              <w:bottom w:val="single" w:sz="4" w:space="0" w:color="auto"/>
            </w:tcBorders>
            <w:tcMar>
              <w:top w:w="86" w:type="dxa"/>
              <w:left w:w="115" w:type="dxa"/>
              <w:right w:w="115" w:type="dxa"/>
            </w:tcMar>
            <w:vAlign w:val="center"/>
          </w:tcPr>
          <w:p w14:paraId="5391748F" w14:textId="77777777" w:rsidR="00787737" w:rsidRDefault="00787737" w:rsidP="006A46BD">
            <w:pPr>
              <w:jc w:val="center"/>
              <w:rPr>
                <w:b/>
                <w:bCs/>
                <w:color w:val="000000" w:themeColor="text1"/>
              </w:rPr>
            </w:pPr>
            <w:r w:rsidRPr="001E6DFF">
              <w:rPr>
                <w:color w:val="000000" w:themeColor="text1"/>
              </w:rPr>
              <w:t>109,748</w:t>
            </w:r>
          </w:p>
        </w:tc>
      </w:tr>
    </w:tbl>
    <w:p w14:paraId="0C955C67" w14:textId="59069230" w:rsidR="00E83A0B" w:rsidRDefault="00787737" w:rsidP="00787737">
      <w:pPr>
        <w:rPr>
          <w:i/>
          <w:iCs/>
          <w:color w:val="000000" w:themeColor="text1"/>
          <w:sz w:val="18"/>
          <w:szCs w:val="22"/>
        </w:rPr>
        <w:sectPr w:rsidR="00E83A0B" w:rsidSect="00E83A0B">
          <w:type w:val="continuous"/>
          <w:pgSz w:w="12240" w:h="15840" w:code="1"/>
          <w:pgMar w:top="720" w:right="720" w:bottom="720" w:left="720" w:header="288" w:footer="288" w:gutter="0"/>
          <w:cols w:num="2" w:space="288"/>
          <w:docGrid w:linePitch="360"/>
        </w:sectPr>
      </w:pPr>
      <w:r w:rsidRPr="005C5D82">
        <w:rPr>
          <w:i/>
          <w:iCs/>
          <w:color w:val="000000" w:themeColor="text1"/>
          <w:sz w:val="18"/>
          <w:szCs w:val="22"/>
        </w:rPr>
        <w:t>*Datos combinados de la Agencia Reguladora de Medicamentos y Productos Sanitarios (MHRA), la Fuerza Fronteriza del Reino Unido y el Departamento de Salud de Irlanda del Nort</w:t>
      </w:r>
      <w:r w:rsidR="007256C2">
        <w:rPr>
          <w:i/>
          <w:iCs/>
          <w:color w:val="000000" w:themeColor="text1"/>
          <w:sz w:val="18"/>
          <w:szCs w:val="22"/>
        </w:rPr>
        <w:t>e</w:t>
      </w:r>
    </w:p>
    <w:p w14:paraId="64A01992" w14:textId="77777777" w:rsidR="00320DD4" w:rsidRDefault="00320DD4" w:rsidP="00E83A0B">
      <w:pPr>
        <w:rPr>
          <w:rFonts w:cs="Times New Roman"/>
          <w:b/>
          <w:bCs/>
          <w:color w:val="000000" w:themeColor="text1"/>
          <w:szCs w:val="20"/>
        </w:rPr>
      </w:pPr>
    </w:p>
    <w:p w14:paraId="59760166" w14:textId="77777777" w:rsidR="00E83A0B" w:rsidRDefault="00E83A0B" w:rsidP="00C5628F">
      <w:pPr>
        <w:jc w:val="center"/>
        <w:rPr>
          <w:rFonts w:eastAsia="Times New Roman" w:cs="Times New Roman"/>
          <w:b/>
          <w:bCs/>
          <w:szCs w:val="20"/>
          <w:lang w:val="es-ES"/>
        </w:rPr>
      </w:pPr>
    </w:p>
    <w:p w14:paraId="3154B767" w14:textId="3419B65E" w:rsidR="00C5628F" w:rsidRDefault="00C5628F" w:rsidP="00C5628F">
      <w:pPr>
        <w:jc w:val="center"/>
        <w:rPr>
          <w:rFonts w:eastAsia="Times New Roman" w:cs="Times New Roman"/>
          <w:i/>
          <w:iCs/>
          <w:color w:val="000000" w:themeColor="text1"/>
          <w:szCs w:val="20"/>
        </w:rPr>
      </w:pPr>
      <w:r w:rsidRPr="00874444">
        <w:rPr>
          <w:rFonts w:eastAsia="Times New Roman" w:cs="Times New Roman"/>
          <w:b/>
          <w:bCs/>
          <w:szCs w:val="20"/>
          <w:lang w:val="es-ES"/>
        </w:rPr>
        <w:t xml:space="preserve">Reino Unido y EE UU profundizan la cooperación regulatoria en dispositivos médicos, </w:t>
      </w:r>
      <w:r>
        <w:rPr>
          <w:rFonts w:eastAsia="Times New Roman" w:cs="Times New Roman"/>
          <w:b/>
          <w:bCs/>
          <w:szCs w:val="20"/>
          <w:lang w:val="es-ES"/>
        </w:rPr>
        <w:t>construyendo</w:t>
      </w:r>
      <w:r w:rsidRPr="00874444">
        <w:rPr>
          <w:rFonts w:eastAsia="Times New Roman" w:cs="Times New Roman"/>
          <w:b/>
          <w:bCs/>
          <w:szCs w:val="20"/>
          <w:lang w:val="es-ES"/>
        </w:rPr>
        <w:t xml:space="preserve"> una alianza farmacéutica más amplia</w:t>
      </w:r>
      <w:r>
        <w:rPr>
          <w:rFonts w:eastAsia="Times New Roman" w:cs="Times New Roman"/>
          <w:b/>
          <w:bCs/>
          <w:szCs w:val="20"/>
          <w:lang w:val="es-ES"/>
        </w:rPr>
        <w:t xml:space="preserve"> </w:t>
      </w:r>
      <w:r w:rsidRPr="00874444">
        <w:rPr>
          <w:rFonts w:eastAsia="Times New Roman" w:cs="Times New Roman"/>
          <w:i/>
          <w:iCs/>
          <w:color w:val="000000" w:themeColor="text1"/>
          <w:szCs w:val="20"/>
        </w:rPr>
        <w:t xml:space="preserve">(UK and US </w:t>
      </w:r>
      <w:proofErr w:type="spellStart"/>
      <w:r w:rsidRPr="00874444">
        <w:rPr>
          <w:rFonts w:eastAsia="Times New Roman" w:cs="Times New Roman"/>
          <w:i/>
          <w:iCs/>
          <w:color w:val="000000" w:themeColor="text1"/>
          <w:szCs w:val="20"/>
        </w:rPr>
        <w:t>deepen</w:t>
      </w:r>
      <w:proofErr w:type="spellEnd"/>
      <w:r w:rsidRPr="00874444">
        <w:rPr>
          <w:rFonts w:eastAsia="Times New Roman" w:cs="Times New Roman"/>
          <w:i/>
          <w:iCs/>
          <w:color w:val="000000" w:themeColor="text1"/>
          <w:szCs w:val="20"/>
        </w:rPr>
        <w:t xml:space="preserve"> </w:t>
      </w:r>
      <w:proofErr w:type="spellStart"/>
      <w:r w:rsidRPr="00874444">
        <w:rPr>
          <w:rFonts w:eastAsia="Times New Roman" w:cs="Times New Roman"/>
          <w:i/>
          <w:iCs/>
          <w:color w:val="000000" w:themeColor="text1"/>
          <w:szCs w:val="20"/>
        </w:rPr>
        <w:t>regulatory</w:t>
      </w:r>
      <w:proofErr w:type="spellEnd"/>
      <w:r w:rsidRPr="00874444">
        <w:rPr>
          <w:rFonts w:eastAsia="Times New Roman" w:cs="Times New Roman"/>
          <w:i/>
          <w:iCs/>
          <w:color w:val="000000" w:themeColor="text1"/>
          <w:szCs w:val="20"/>
        </w:rPr>
        <w:t xml:space="preserve"> </w:t>
      </w:r>
      <w:proofErr w:type="spellStart"/>
      <w:r w:rsidRPr="00874444">
        <w:rPr>
          <w:rFonts w:eastAsia="Times New Roman" w:cs="Times New Roman"/>
          <w:i/>
          <w:iCs/>
          <w:color w:val="000000" w:themeColor="text1"/>
          <w:szCs w:val="20"/>
        </w:rPr>
        <w:t>cooperation</w:t>
      </w:r>
      <w:proofErr w:type="spellEnd"/>
      <w:r w:rsidRPr="00874444">
        <w:rPr>
          <w:rFonts w:eastAsia="Times New Roman" w:cs="Times New Roman"/>
          <w:i/>
          <w:iCs/>
          <w:color w:val="000000" w:themeColor="text1"/>
          <w:szCs w:val="20"/>
        </w:rPr>
        <w:t xml:space="preserve"> </w:t>
      </w:r>
      <w:proofErr w:type="spellStart"/>
      <w:r w:rsidRPr="00874444">
        <w:rPr>
          <w:rFonts w:eastAsia="Times New Roman" w:cs="Times New Roman"/>
          <w:i/>
          <w:iCs/>
          <w:color w:val="000000" w:themeColor="text1"/>
          <w:szCs w:val="20"/>
        </w:rPr>
        <w:t>on</w:t>
      </w:r>
      <w:proofErr w:type="spellEnd"/>
      <w:r w:rsidRPr="00874444">
        <w:rPr>
          <w:rFonts w:eastAsia="Times New Roman" w:cs="Times New Roman"/>
          <w:i/>
          <w:iCs/>
          <w:color w:val="000000" w:themeColor="text1"/>
          <w:szCs w:val="20"/>
        </w:rPr>
        <w:t xml:space="preserve"> medical </w:t>
      </w:r>
      <w:proofErr w:type="spellStart"/>
      <w:r w:rsidRPr="00874444">
        <w:rPr>
          <w:rFonts w:eastAsia="Times New Roman" w:cs="Times New Roman"/>
          <w:i/>
          <w:iCs/>
          <w:color w:val="000000" w:themeColor="text1"/>
          <w:szCs w:val="20"/>
        </w:rPr>
        <w:t>devices</w:t>
      </w:r>
      <w:proofErr w:type="spellEnd"/>
      <w:r w:rsidRPr="00874444">
        <w:rPr>
          <w:rFonts w:eastAsia="Times New Roman" w:cs="Times New Roman"/>
          <w:i/>
          <w:iCs/>
          <w:color w:val="000000" w:themeColor="text1"/>
          <w:szCs w:val="20"/>
        </w:rPr>
        <w:t xml:space="preserve">, </w:t>
      </w:r>
      <w:proofErr w:type="spellStart"/>
      <w:r w:rsidRPr="00874444">
        <w:rPr>
          <w:rFonts w:eastAsia="Times New Roman" w:cs="Times New Roman"/>
          <w:i/>
          <w:iCs/>
          <w:color w:val="000000" w:themeColor="text1"/>
          <w:szCs w:val="20"/>
        </w:rPr>
        <w:t>building</w:t>
      </w:r>
      <w:proofErr w:type="spellEnd"/>
      <w:r w:rsidRPr="00874444">
        <w:rPr>
          <w:rFonts w:eastAsia="Times New Roman" w:cs="Times New Roman"/>
          <w:i/>
          <w:iCs/>
          <w:color w:val="000000" w:themeColor="text1"/>
          <w:szCs w:val="20"/>
        </w:rPr>
        <w:t xml:space="preserve"> </w:t>
      </w:r>
      <w:proofErr w:type="spellStart"/>
      <w:r w:rsidRPr="00874444">
        <w:rPr>
          <w:rFonts w:eastAsia="Times New Roman" w:cs="Times New Roman"/>
          <w:i/>
          <w:iCs/>
          <w:color w:val="000000" w:themeColor="text1"/>
          <w:szCs w:val="20"/>
        </w:rPr>
        <w:t>on</w:t>
      </w:r>
      <w:proofErr w:type="spellEnd"/>
      <w:r w:rsidRPr="00874444">
        <w:rPr>
          <w:rFonts w:eastAsia="Times New Roman" w:cs="Times New Roman"/>
          <w:i/>
          <w:iCs/>
          <w:color w:val="000000" w:themeColor="text1"/>
          <w:szCs w:val="20"/>
        </w:rPr>
        <w:t xml:space="preserve"> </w:t>
      </w:r>
      <w:proofErr w:type="spellStart"/>
      <w:r w:rsidRPr="00874444">
        <w:rPr>
          <w:rFonts w:eastAsia="Times New Roman" w:cs="Times New Roman"/>
          <w:i/>
          <w:iCs/>
          <w:color w:val="000000" w:themeColor="text1"/>
          <w:szCs w:val="20"/>
        </w:rPr>
        <w:t>wider</w:t>
      </w:r>
      <w:proofErr w:type="spellEnd"/>
      <w:r w:rsidRPr="00874444">
        <w:rPr>
          <w:rFonts w:eastAsia="Times New Roman" w:cs="Times New Roman"/>
          <w:i/>
          <w:iCs/>
          <w:color w:val="000000" w:themeColor="text1"/>
          <w:szCs w:val="20"/>
        </w:rPr>
        <w:t xml:space="preserve"> </w:t>
      </w:r>
      <w:proofErr w:type="spellStart"/>
      <w:r w:rsidRPr="00874444">
        <w:rPr>
          <w:rFonts w:eastAsia="Times New Roman" w:cs="Times New Roman"/>
          <w:i/>
          <w:iCs/>
          <w:color w:val="000000" w:themeColor="text1"/>
          <w:szCs w:val="20"/>
        </w:rPr>
        <w:t>pharmaceutical</w:t>
      </w:r>
      <w:proofErr w:type="spellEnd"/>
      <w:r w:rsidRPr="00874444">
        <w:rPr>
          <w:rFonts w:eastAsia="Times New Roman" w:cs="Times New Roman"/>
          <w:i/>
          <w:iCs/>
          <w:color w:val="000000" w:themeColor="text1"/>
          <w:szCs w:val="20"/>
        </w:rPr>
        <w:t xml:space="preserve"> </w:t>
      </w:r>
      <w:proofErr w:type="spellStart"/>
      <w:r w:rsidRPr="00874444">
        <w:rPr>
          <w:rFonts w:eastAsia="Times New Roman" w:cs="Times New Roman"/>
          <w:i/>
          <w:iCs/>
          <w:color w:val="000000" w:themeColor="text1"/>
          <w:szCs w:val="20"/>
        </w:rPr>
        <w:t>partnership</w:t>
      </w:r>
      <w:proofErr w:type="spellEnd"/>
      <w:r w:rsidRPr="00874444">
        <w:rPr>
          <w:rFonts w:eastAsia="Times New Roman" w:cs="Times New Roman"/>
          <w:i/>
          <w:iCs/>
          <w:color w:val="000000" w:themeColor="text1"/>
          <w:szCs w:val="20"/>
        </w:rPr>
        <w:t>)</w:t>
      </w:r>
    </w:p>
    <w:p w14:paraId="1A0CAC82" w14:textId="77777777" w:rsidR="00C5628F" w:rsidRPr="00F25512" w:rsidRDefault="00C5628F" w:rsidP="00C5628F">
      <w:pPr>
        <w:jc w:val="center"/>
        <w:rPr>
          <w:rFonts w:eastAsia="Times New Roman" w:cs="Times New Roman"/>
          <w:color w:val="FF0000"/>
          <w:szCs w:val="20"/>
          <w:lang w:val="en-US"/>
        </w:rPr>
      </w:pPr>
      <w:r w:rsidRPr="00F25512">
        <w:rPr>
          <w:rFonts w:eastAsia="Times New Roman" w:cs="Times New Roman"/>
          <w:i/>
          <w:iCs/>
          <w:color w:val="000000" w:themeColor="text1"/>
          <w:szCs w:val="20"/>
          <w:lang w:val="en-US"/>
        </w:rPr>
        <w:t>Medicines and Healthcare products Regulatory Agency (MHRA),</w:t>
      </w:r>
      <w:r w:rsidRPr="00F25512">
        <w:rPr>
          <w:rFonts w:eastAsia="Times New Roman" w:cs="Times New Roman"/>
          <w:color w:val="000000" w:themeColor="text1"/>
          <w:szCs w:val="20"/>
          <w:lang w:val="en-US"/>
        </w:rPr>
        <w:t xml:space="preserve"> 2 de </w:t>
      </w:r>
      <w:proofErr w:type="spellStart"/>
      <w:r w:rsidRPr="00F25512">
        <w:rPr>
          <w:rFonts w:eastAsia="Times New Roman" w:cs="Times New Roman"/>
          <w:color w:val="000000" w:themeColor="text1"/>
          <w:szCs w:val="20"/>
          <w:lang w:val="en-US"/>
        </w:rPr>
        <w:t>abril</w:t>
      </w:r>
      <w:proofErr w:type="spellEnd"/>
      <w:r w:rsidRPr="00F25512">
        <w:rPr>
          <w:rFonts w:eastAsia="Times New Roman" w:cs="Times New Roman"/>
          <w:color w:val="000000" w:themeColor="text1"/>
          <w:szCs w:val="20"/>
          <w:lang w:val="en-US"/>
        </w:rPr>
        <w:t xml:space="preserve"> del 2026 </w:t>
      </w:r>
    </w:p>
    <w:p w14:paraId="7342B2A4" w14:textId="77777777" w:rsidR="00C5628F" w:rsidRPr="00F25512" w:rsidRDefault="00B00DA4" w:rsidP="00C5628F">
      <w:pPr>
        <w:jc w:val="center"/>
        <w:rPr>
          <w:rFonts w:eastAsia="Times New Roman" w:cs="Times New Roman"/>
          <w:color w:val="000000" w:themeColor="text1"/>
          <w:szCs w:val="20"/>
          <w:lang w:val="en-US"/>
        </w:rPr>
      </w:pPr>
      <w:hyperlink r:id="rId30" w:history="1">
        <w:r w:rsidR="00C5628F" w:rsidRPr="00F25512">
          <w:rPr>
            <w:rStyle w:val="Hipervnculo"/>
            <w:rFonts w:eastAsia="Times New Roman" w:cs="Times New Roman"/>
            <w:szCs w:val="20"/>
            <w:lang w:val="en-US"/>
          </w:rPr>
          <w:t>https://www.gov.uk/government/news/uk-and-us-deepen-regulatory-cooperation-on-medical-devices-building-on-wider-pharmaceutical-partnership</w:t>
        </w:r>
      </w:hyperlink>
    </w:p>
    <w:p w14:paraId="60CC3F5A" w14:textId="77777777" w:rsidR="00C5628F" w:rsidRPr="003712A0" w:rsidRDefault="00C5628F" w:rsidP="00C5628F">
      <w:pPr>
        <w:jc w:val="center"/>
        <w:rPr>
          <w:i/>
          <w:iCs/>
          <w:szCs w:val="20"/>
        </w:rPr>
      </w:pPr>
      <w:r>
        <w:rPr>
          <w:szCs w:val="20"/>
        </w:rPr>
        <w:t>Párrafos seleccionados t</w:t>
      </w:r>
      <w:r w:rsidRPr="007B5A3A">
        <w:rPr>
          <w:szCs w:val="20"/>
        </w:rPr>
        <w:t>raducido</w:t>
      </w:r>
      <w:r>
        <w:rPr>
          <w:szCs w:val="20"/>
        </w:rPr>
        <w:t>s</w:t>
      </w:r>
      <w:r w:rsidRPr="007B5A3A">
        <w:rPr>
          <w:szCs w:val="20"/>
        </w:rPr>
        <w:t xml:space="preserve"> por Salud y Fármacos, publicado en</w:t>
      </w:r>
      <w:r w:rsidRPr="001900D6">
        <w:rPr>
          <w:i/>
          <w:iCs/>
          <w:szCs w:val="20"/>
        </w:rPr>
        <w:t xml:space="preserve"> Boletín Fármacos: </w:t>
      </w:r>
      <w:r>
        <w:rPr>
          <w:i/>
          <w:iCs/>
          <w:szCs w:val="20"/>
        </w:rPr>
        <w:t>Agen</w:t>
      </w:r>
      <w:r w:rsidRPr="001900D6">
        <w:rPr>
          <w:i/>
          <w:iCs/>
          <w:szCs w:val="20"/>
        </w:rPr>
        <w:t xml:space="preserve">cias </w:t>
      </w:r>
      <w:r>
        <w:rPr>
          <w:i/>
          <w:iCs/>
          <w:szCs w:val="20"/>
        </w:rPr>
        <w:t>Reguladoras</w:t>
      </w:r>
      <w:r w:rsidRPr="001900D6">
        <w:rPr>
          <w:i/>
          <w:iCs/>
          <w:szCs w:val="20"/>
        </w:rPr>
        <w:t xml:space="preserve"> 2026; 29(</w:t>
      </w:r>
      <w:r>
        <w:rPr>
          <w:i/>
          <w:iCs/>
          <w:szCs w:val="20"/>
        </w:rPr>
        <w:t>3</w:t>
      </w:r>
      <w:r w:rsidRPr="001900D6">
        <w:rPr>
          <w:i/>
          <w:iCs/>
          <w:szCs w:val="20"/>
        </w:rPr>
        <w:t>)</w:t>
      </w:r>
    </w:p>
    <w:p w14:paraId="16A7509D" w14:textId="77777777" w:rsidR="00C5628F" w:rsidRDefault="00C5628F" w:rsidP="00C5628F">
      <w:pPr>
        <w:rPr>
          <w:rFonts w:cs="Times New Roman"/>
          <w:b/>
          <w:bCs/>
          <w:szCs w:val="20"/>
        </w:rPr>
      </w:pPr>
    </w:p>
    <w:p w14:paraId="3E66D3E3" w14:textId="77777777" w:rsidR="00E83A0B" w:rsidRDefault="00E83A0B" w:rsidP="00C5628F">
      <w:pPr>
        <w:rPr>
          <w:rFonts w:cs="Times New Roman"/>
          <w:b/>
          <w:bCs/>
          <w:sz w:val="18"/>
          <w:szCs w:val="18"/>
        </w:rPr>
        <w:sectPr w:rsidR="00E83A0B" w:rsidSect="00F25512">
          <w:type w:val="continuous"/>
          <w:pgSz w:w="12240" w:h="15840" w:code="1"/>
          <w:pgMar w:top="720" w:right="720" w:bottom="720" w:left="720" w:header="288" w:footer="288" w:gutter="0"/>
          <w:cols w:space="288"/>
          <w:docGrid w:linePitch="360"/>
        </w:sectPr>
      </w:pPr>
    </w:p>
    <w:p w14:paraId="2BCC669C" w14:textId="1F208A50" w:rsidR="00C5628F" w:rsidRPr="0048517E" w:rsidRDefault="00C5628F" w:rsidP="00C5628F">
      <w:pPr>
        <w:rPr>
          <w:rFonts w:eastAsia="Times New Roman" w:cs="Times New Roman"/>
          <w:color w:val="000000" w:themeColor="text1"/>
          <w:sz w:val="18"/>
          <w:szCs w:val="18"/>
        </w:rPr>
      </w:pPr>
      <w:r w:rsidRPr="00A22A81">
        <w:rPr>
          <w:rFonts w:cs="Times New Roman"/>
          <w:b/>
          <w:bCs/>
          <w:sz w:val="18"/>
          <w:szCs w:val="18"/>
        </w:rPr>
        <w:t>Tags:</w:t>
      </w:r>
      <w:r>
        <w:rPr>
          <w:rFonts w:cs="Times New Roman"/>
          <w:b/>
          <w:bCs/>
          <w:sz w:val="18"/>
          <w:szCs w:val="18"/>
        </w:rPr>
        <w:t xml:space="preserve"> </w:t>
      </w:r>
      <w:r w:rsidRPr="00ED397D">
        <w:rPr>
          <w:rFonts w:eastAsia="Times New Roman" w:cs="Times New Roman"/>
          <w:b/>
          <w:bCs/>
          <w:sz w:val="18"/>
          <w:szCs w:val="18"/>
          <w:lang w:val="es-ES"/>
        </w:rPr>
        <w:t>cooperación Reino Unido y EE UU, cooperación regulatoria, alianza farmacéutica</w:t>
      </w:r>
      <w:r>
        <w:rPr>
          <w:rFonts w:eastAsia="Times New Roman" w:cs="Times New Roman"/>
          <w:b/>
          <w:bCs/>
          <w:sz w:val="18"/>
          <w:szCs w:val="18"/>
          <w:lang w:val="es-ES"/>
        </w:rPr>
        <w:t>, medicamentos y aranceles</w:t>
      </w:r>
    </w:p>
    <w:p w14:paraId="5B8944C3" w14:textId="77777777" w:rsidR="00C5628F" w:rsidRPr="0048517E" w:rsidRDefault="00C5628F" w:rsidP="00C5628F">
      <w:pPr>
        <w:rPr>
          <w:rFonts w:eastAsia="Times New Roman" w:cs="Times New Roman"/>
          <w:b/>
          <w:bCs/>
          <w:szCs w:val="20"/>
        </w:rPr>
      </w:pPr>
    </w:p>
    <w:p w14:paraId="3C1FE1BB" w14:textId="77777777" w:rsidR="00C5628F" w:rsidRPr="00C44340" w:rsidRDefault="00C5628F" w:rsidP="00C5628F">
      <w:pPr>
        <w:rPr>
          <w:rFonts w:eastAsia="Times New Roman" w:cs="Times New Roman"/>
          <w:color w:val="000000" w:themeColor="text1"/>
          <w:szCs w:val="20"/>
        </w:rPr>
      </w:pPr>
      <w:r w:rsidRPr="00C44340">
        <w:rPr>
          <w:rFonts w:eastAsia="Times New Roman" w:cs="Times New Roman"/>
          <w:color w:val="000000" w:themeColor="text1"/>
          <w:szCs w:val="20"/>
        </w:rPr>
        <w:t xml:space="preserve">La Agencia Reguladora de Medicamentos y Productos Sanitarios (MHRA) y la FDA están </w:t>
      </w:r>
      <w:r>
        <w:rPr>
          <w:rFonts w:eastAsia="Times New Roman" w:cs="Times New Roman"/>
          <w:color w:val="000000" w:themeColor="text1"/>
          <w:szCs w:val="20"/>
        </w:rPr>
        <w:t>fortaleciendo</w:t>
      </w:r>
      <w:r w:rsidRPr="00C44340">
        <w:rPr>
          <w:rFonts w:eastAsia="Times New Roman" w:cs="Times New Roman"/>
          <w:color w:val="000000" w:themeColor="text1"/>
          <w:szCs w:val="20"/>
        </w:rPr>
        <w:t xml:space="preserve"> la cooperación en la regulación de dispositivos médicos para </w:t>
      </w:r>
      <w:r>
        <w:rPr>
          <w:rFonts w:eastAsia="Times New Roman" w:cs="Times New Roman"/>
          <w:color w:val="000000" w:themeColor="text1"/>
          <w:szCs w:val="20"/>
        </w:rPr>
        <w:t xml:space="preserve">que </w:t>
      </w:r>
      <w:r w:rsidRPr="00C44340">
        <w:rPr>
          <w:rFonts w:eastAsia="Times New Roman" w:cs="Times New Roman"/>
          <w:color w:val="000000" w:themeColor="text1"/>
          <w:szCs w:val="20"/>
        </w:rPr>
        <w:t xml:space="preserve">los pacientes de ambos países </w:t>
      </w:r>
      <w:r>
        <w:rPr>
          <w:rFonts w:eastAsia="Times New Roman" w:cs="Times New Roman"/>
          <w:color w:val="000000" w:themeColor="text1"/>
          <w:szCs w:val="20"/>
        </w:rPr>
        <w:t>tengan</w:t>
      </w:r>
      <w:r w:rsidRPr="00C44340">
        <w:rPr>
          <w:rFonts w:eastAsia="Times New Roman" w:cs="Times New Roman"/>
          <w:color w:val="000000" w:themeColor="text1"/>
          <w:szCs w:val="20"/>
        </w:rPr>
        <w:t xml:space="preserve"> acceso más rápido a tecnologías seguras e innovadoras.</w:t>
      </w:r>
    </w:p>
    <w:p w14:paraId="2E238433" w14:textId="77777777" w:rsidR="00C5628F" w:rsidRPr="00C44340" w:rsidRDefault="00C5628F" w:rsidP="00C5628F">
      <w:pPr>
        <w:rPr>
          <w:rFonts w:eastAsia="Times New Roman" w:cs="Times New Roman"/>
          <w:color w:val="EE0000"/>
          <w:szCs w:val="20"/>
        </w:rPr>
      </w:pPr>
    </w:p>
    <w:p w14:paraId="23935406" w14:textId="77777777" w:rsidR="00C5628F" w:rsidRPr="00392ABA" w:rsidRDefault="00C5628F" w:rsidP="00C5628F">
      <w:pPr>
        <w:rPr>
          <w:rFonts w:eastAsia="Times New Roman" w:cs="Times New Roman"/>
          <w:color w:val="000000" w:themeColor="text1"/>
          <w:szCs w:val="20"/>
        </w:rPr>
      </w:pPr>
      <w:r w:rsidRPr="00392ABA">
        <w:rPr>
          <w:rFonts w:eastAsia="Times New Roman" w:cs="Times New Roman"/>
          <w:color w:val="000000" w:themeColor="text1"/>
          <w:szCs w:val="20"/>
        </w:rPr>
        <w:t>E</w:t>
      </w:r>
      <w:r>
        <w:rPr>
          <w:rFonts w:eastAsia="Times New Roman" w:cs="Times New Roman"/>
          <w:color w:val="000000" w:themeColor="text1"/>
          <w:szCs w:val="20"/>
        </w:rPr>
        <w:t>l</w:t>
      </w:r>
      <w:r w:rsidRPr="00392ABA">
        <w:rPr>
          <w:rFonts w:eastAsia="Times New Roman" w:cs="Times New Roman"/>
          <w:color w:val="000000" w:themeColor="text1"/>
          <w:szCs w:val="20"/>
        </w:rPr>
        <w:t xml:space="preserve"> anuncio</w:t>
      </w:r>
      <w:r>
        <w:rPr>
          <w:rFonts w:eastAsia="Times New Roman" w:cs="Times New Roman"/>
          <w:color w:val="000000" w:themeColor="text1"/>
          <w:szCs w:val="20"/>
        </w:rPr>
        <w:t xml:space="preserve"> es parte de</w:t>
      </w:r>
      <w:r w:rsidRPr="00392ABA">
        <w:rPr>
          <w:rFonts w:eastAsia="Times New Roman" w:cs="Times New Roman"/>
          <w:color w:val="000000" w:themeColor="text1"/>
          <w:szCs w:val="20"/>
        </w:rPr>
        <w:t xml:space="preserve"> </w:t>
      </w:r>
      <w:r>
        <w:rPr>
          <w:rFonts w:eastAsia="Times New Roman" w:cs="Times New Roman"/>
          <w:color w:val="000000" w:themeColor="text1"/>
          <w:szCs w:val="20"/>
        </w:rPr>
        <w:t>un</w:t>
      </w:r>
      <w:r w:rsidRPr="00392ABA">
        <w:rPr>
          <w:rFonts w:eastAsia="Times New Roman" w:cs="Times New Roman"/>
          <w:color w:val="000000" w:themeColor="text1"/>
          <w:szCs w:val="20"/>
        </w:rPr>
        <w:t xml:space="preserve">a alianza farmacéutica más amplia entre EE UU y el Reino Unido, que </w:t>
      </w:r>
      <w:r w:rsidRPr="00804D79">
        <w:rPr>
          <w:rFonts w:eastAsia="Times New Roman" w:cs="Times New Roman"/>
          <w:color w:val="000000" w:themeColor="text1"/>
          <w:szCs w:val="20"/>
        </w:rPr>
        <w:t>elimina los aranceles a las exportaciones de medicamentos británicos y motiva a las empresas a lanzar nuevos tratamientos en el Reino Unido.</w:t>
      </w:r>
    </w:p>
    <w:p w14:paraId="660B2632" w14:textId="77777777" w:rsidR="00C5628F" w:rsidRPr="00392ABA" w:rsidRDefault="00C5628F" w:rsidP="00C5628F">
      <w:pPr>
        <w:rPr>
          <w:rFonts w:eastAsia="Times New Roman" w:cs="Times New Roman"/>
          <w:color w:val="EE0000"/>
          <w:szCs w:val="20"/>
        </w:rPr>
      </w:pPr>
    </w:p>
    <w:p w14:paraId="54C538F6" w14:textId="77777777" w:rsidR="00C5628F" w:rsidRPr="00392ABA" w:rsidRDefault="00C5628F" w:rsidP="00C5628F">
      <w:pPr>
        <w:rPr>
          <w:rFonts w:eastAsia="Times New Roman" w:cs="Times New Roman"/>
          <w:color w:val="000000" w:themeColor="text1"/>
          <w:szCs w:val="20"/>
        </w:rPr>
      </w:pPr>
      <w:r w:rsidRPr="00392ABA">
        <w:rPr>
          <w:rFonts w:eastAsia="Times New Roman" w:cs="Times New Roman"/>
          <w:color w:val="000000" w:themeColor="text1"/>
          <w:szCs w:val="20"/>
        </w:rPr>
        <w:t xml:space="preserve">Una colaboración regulatoria más estrecha entre EE UU y el Reino Unido </w:t>
      </w:r>
      <w:r>
        <w:rPr>
          <w:rFonts w:eastAsia="Times New Roman" w:cs="Times New Roman"/>
          <w:color w:val="000000" w:themeColor="text1"/>
          <w:szCs w:val="20"/>
        </w:rPr>
        <w:t xml:space="preserve">fortalece </w:t>
      </w:r>
      <w:r w:rsidRPr="00392ABA">
        <w:rPr>
          <w:rFonts w:eastAsia="Times New Roman" w:cs="Times New Roman"/>
          <w:color w:val="000000" w:themeColor="text1"/>
          <w:szCs w:val="20"/>
        </w:rPr>
        <w:t xml:space="preserve">el liderazgo </w:t>
      </w:r>
      <w:r>
        <w:rPr>
          <w:rFonts w:eastAsia="Times New Roman" w:cs="Times New Roman"/>
          <w:color w:val="000000" w:themeColor="text1"/>
          <w:szCs w:val="20"/>
        </w:rPr>
        <w:t>glob</w:t>
      </w:r>
      <w:r w:rsidRPr="00392ABA">
        <w:rPr>
          <w:rFonts w:eastAsia="Times New Roman" w:cs="Times New Roman"/>
          <w:color w:val="000000" w:themeColor="text1"/>
          <w:szCs w:val="20"/>
        </w:rPr>
        <w:t xml:space="preserve">al del Reino Unido en </w:t>
      </w:r>
      <w:r>
        <w:rPr>
          <w:rFonts w:eastAsia="Times New Roman" w:cs="Times New Roman"/>
          <w:color w:val="000000" w:themeColor="text1"/>
          <w:szCs w:val="20"/>
        </w:rPr>
        <w:t xml:space="preserve">el campo de las </w:t>
      </w:r>
      <w:r w:rsidRPr="00392ABA">
        <w:rPr>
          <w:rFonts w:eastAsia="Times New Roman" w:cs="Times New Roman"/>
          <w:color w:val="000000" w:themeColor="text1"/>
          <w:szCs w:val="20"/>
        </w:rPr>
        <w:t>ciencias de la vida, reduciendo la duplicación de esfuerzos para los innovadores y manteniendo estándares de seguridad de primer nivel.</w:t>
      </w:r>
    </w:p>
    <w:p w14:paraId="2D270551" w14:textId="77777777" w:rsidR="00C5628F" w:rsidRPr="00392ABA" w:rsidRDefault="00C5628F" w:rsidP="00C5628F">
      <w:pPr>
        <w:rPr>
          <w:rFonts w:eastAsia="Times New Roman" w:cs="Times New Roman"/>
          <w:color w:val="EE0000"/>
          <w:szCs w:val="20"/>
        </w:rPr>
      </w:pPr>
    </w:p>
    <w:p w14:paraId="4D03C6FF" w14:textId="77777777" w:rsidR="00C5628F" w:rsidRPr="00392ABA" w:rsidRDefault="00C5628F" w:rsidP="00C5628F">
      <w:pPr>
        <w:rPr>
          <w:rFonts w:eastAsia="Times New Roman" w:cs="Times New Roman"/>
          <w:color w:val="000000" w:themeColor="text1"/>
          <w:szCs w:val="20"/>
        </w:rPr>
      </w:pPr>
      <w:r w:rsidRPr="00392ABA">
        <w:rPr>
          <w:rFonts w:eastAsia="Times New Roman" w:cs="Times New Roman"/>
          <w:color w:val="000000" w:themeColor="text1"/>
          <w:szCs w:val="20"/>
        </w:rPr>
        <w:t xml:space="preserve">La MHRA está intensificando su colaboración con la FDA para facilitar </w:t>
      </w:r>
      <w:r>
        <w:rPr>
          <w:rFonts w:eastAsia="Times New Roman" w:cs="Times New Roman"/>
          <w:color w:val="000000" w:themeColor="text1"/>
          <w:szCs w:val="20"/>
        </w:rPr>
        <w:t>que, en el futuro, el</w:t>
      </w:r>
      <w:r w:rsidRPr="00392ABA">
        <w:rPr>
          <w:rFonts w:eastAsia="Times New Roman" w:cs="Times New Roman"/>
          <w:color w:val="000000" w:themeColor="text1"/>
          <w:szCs w:val="20"/>
        </w:rPr>
        <w:t xml:space="preserve"> acceso </w:t>
      </w:r>
      <w:r>
        <w:rPr>
          <w:rFonts w:eastAsia="Times New Roman" w:cs="Times New Roman"/>
          <w:color w:val="000000" w:themeColor="text1"/>
          <w:szCs w:val="20"/>
        </w:rPr>
        <w:t xml:space="preserve">de los pacientes a </w:t>
      </w:r>
      <w:r w:rsidRPr="00392ABA">
        <w:rPr>
          <w:rFonts w:eastAsia="Times New Roman" w:cs="Times New Roman"/>
          <w:color w:val="000000" w:themeColor="text1"/>
          <w:szCs w:val="20"/>
        </w:rPr>
        <w:t xml:space="preserve">tecnologías médicas seguras e innovadoras </w:t>
      </w:r>
      <w:r>
        <w:rPr>
          <w:rFonts w:eastAsia="Times New Roman" w:cs="Times New Roman"/>
          <w:color w:val="000000" w:themeColor="text1"/>
          <w:szCs w:val="20"/>
        </w:rPr>
        <w:t xml:space="preserve">sea </w:t>
      </w:r>
      <w:r w:rsidRPr="00392ABA">
        <w:rPr>
          <w:rFonts w:eastAsia="Times New Roman" w:cs="Times New Roman"/>
          <w:color w:val="000000" w:themeColor="text1"/>
          <w:szCs w:val="20"/>
        </w:rPr>
        <w:t>más rápido en ambos países.</w:t>
      </w:r>
    </w:p>
    <w:p w14:paraId="24F604EC" w14:textId="77777777" w:rsidR="00C5628F" w:rsidRPr="00392ABA" w:rsidRDefault="00C5628F" w:rsidP="00C5628F">
      <w:pPr>
        <w:rPr>
          <w:rFonts w:eastAsia="Times New Roman" w:cs="Times New Roman"/>
          <w:color w:val="EE0000"/>
          <w:szCs w:val="20"/>
        </w:rPr>
      </w:pPr>
    </w:p>
    <w:p w14:paraId="0D2794E0" w14:textId="77777777" w:rsidR="00C5628F" w:rsidRPr="00392ABA" w:rsidRDefault="00C5628F" w:rsidP="00C5628F">
      <w:pPr>
        <w:rPr>
          <w:rFonts w:eastAsia="Times New Roman" w:cs="Times New Roman"/>
          <w:color w:val="000000" w:themeColor="text1"/>
          <w:szCs w:val="20"/>
        </w:rPr>
      </w:pPr>
      <w:r w:rsidRPr="00392ABA">
        <w:rPr>
          <w:rFonts w:eastAsia="Times New Roman" w:cs="Times New Roman"/>
          <w:color w:val="000000" w:themeColor="text1"/>
          <w:szCs w:val="20"/>
        </w:rPr>
        <w:t>La alianza farmacéutica entre E</w:t>
      </w:r>
      <w:r>
        <w:rPr>
          <w:rFonts w:eastAsia="Times New Roman" w:cs="Times New Roman"/>
          <w:color w:val="000000" w:themeColor="text1"/>
          <w:szCs w:val="20"/>
        </w:rPr>
        <w:t>E</w:t>
      </w:r>
      <w:r w:rsidRPr="00392ABA">
        <w:rPr>
          <w:rFonts w:eastAsia="Times New Roman" w:cs="Times New Roman"/>
          <w:color w:val="000000" w:themeColor="text1"/>
          <w:szCs w:val="20"/>
        </w:rPr>
        <w:t xml:space="preserve"> U</w:t>
      </w:r>
      <w:r>
        <w:rPr>
          <w:rFonts w:eastAsia="Times New Roman" w:cs="Times New Roman"/>
          <w:color w:val="000000" w:themeColor="text1"/>
          <w:szCs w:val="20"/>
        </w:rPr>
        <w:t>U</w:t>
      </w:r>
      <w:r w:rsidRPr="00392ABA">
        <w:rPr>
          <w:rFonts w:eastAsia="Times New Roman" w:cs="Times New Roman"/>
          <w:color w:val="000000" w:themeColor="text1"/>
          <w:szCs w:val="20"/>
        </w:rPr>
        <w:t xml:space="preserve"> y el Reino Unido </w:t>
      </w:r>
      <w:r>
        <w:rPr>
          <w:rFonts w:eastAsia="Times New Roman" w:cs="Times New Roman"/>
          <w:color w:val="000000" w:themeColor="text1"/>
          <w:szCs w:val="20"/>
        </w:rPr>
        <w:t>fortalece</w:t>
      </w:r>
      <w:r w:rsidRPr="00392ABA">
        <w:rPr>
          <w:rFonts w:eastAsia="Times New Roman" w:cs="Times New Roman"/>
          <w:color w:val="000000" w:themeColor="text1"/>
          <w:szCs w:val="20"/>
        </w:rPr>
        <w:t xml:space="preserve"> aún más esta colaboración</w:t>
      </w:r>
      <w:r>
        <w:rPr>
          <w:rFonts w:eastAsia="Times New Roman" w:cs="Times New Roman"/>
          <w:color w:val="000000" w:themeColor="text1"/>
          <w:szCs w:val="20"/>
        </w:rPr>
        <w:t>, a la vez que</w:t>
      </w:r>
      <w:r w:rsidRPr="00392ABA">
        <w:rPr>
          <w:rFonts w:eastAsia="Times New Roman" w:cs="Times New Roman"/>
          <w:color w:val="000000" w:themeColor="text1"/>
          <w:szCs w:val="20"/>
        </w:rPr>
        <w:t xml:space="preserve"> elimina los aranceles a las exportaciones de medicamentos británicos e incentiva a las empresas a introducir tratamientos de vanguardia en el Reino Unido </w:t>
      </w:r>
      <w:r>
        <w:rPr>
          <w:rFonts w:eastAsia="Times New Roman" w:cs="Times New Roman"/>
          <w:color w:val="000000" w:themeColor="text1"/>
          <w:szCs w:val="20"/>
        </w:rPr>
        <w:t>con mayor prontitud</w:t>
      </w:r>
      <w:r w:rsidRPr="00392ABA">
        <w:rPr>
          <w:rFonts w:eastAsia="Times New Roman" w:cs="Times New Roman"/>
          <w:color w:val="000000" w:themeColor="text1"/>
          <w:szCs w:val="20"/>
        </w:rPr>
        <w:t>.</w:t>
      </w:r>
    </w:p>
    <w:p w14:paraId="4286FF43" w14:textId="77777777" w:rsidR="00C5628F" w:rsidRPr="00392ABA" w:rsidRDefault="00C5628F" w:rsidP="00C5628F">
      <w:pPr>
        <w:rPr>
          <w:rFonts w:eastAsia="Times New Roman" w:cs="Times New Roman"/>
          <w:color w:val="EE0000"/>
          <w:szCs w:val="20"/>
        </w:rPr>
      </w:pPr>
    </w:p>
    <w:p w14:paraId="4FFB756C" w14:textId="77777777" w:rsidR="00C5628F" w:rsidRPr="003D17E0" w:rsidRDefault="00C5628F" w:rsidP="00C5628F">
      <w:pPr>
        <w:rPr>
          <w:rFonts w:eastAsia="Times New Roman" w:cs="Times New Roman"/>
          <w:color w:val="000000" w:themeColor="text1"/>
          <w:szCs w:val="20"/>
        </w:rPr>
      </w:pPr>
      <w:r w:rsidRPr="003D17E0">
        <w:rPr>
          <w:rFonts w:eastAsia="Times New Roman" w:cs="Times New Roman"/>
          <w:color w:val="000000" w:themeColor="text1"/>
          <w:szCs w:val="20"/>
        </w:rPr>
        <w:t xml:space="preserve">La MHRA y la FDA colaborarán estrechamente en la búsqueda de opciones para mejorar y armonizar la normativa sobre dispositivos médicos. Esto incluye explorar futuros mecanismos de reconocimiento mutuo (formas de reconocer partes de los procesos de aprobación </w:t>
      </w:r>
      <w:r>
        <w:rPr>
          <w:rFonts w:eastAsia="Times New Roman" w:cs="Times New Roman"/>
          <w:color w:val="000000" w:themeColor="text1"/>
          <w:szCs w:val="20"/>
        </w:rPr>
        <w:t>de cada una de las agencias</w:t>
      </w:r>
      <w:r w:rsidRPr="003D17E0">
        <w:rPr>
          <w:rFonts w:eastAsia="Times New Roman" w:cs="Times New Roman"/>
          <w:color w:val="000000" w:themeColor="text1"/>
          <w:szCs w:val="20"/>
        </w:rPr>
        <w:t>), reducir la duplicación de trámites para los fabricantes</w:t>
      </w:r>
      <w:r>
        <w:rPr>
          <w:rFonts w:eastAsia="Times New Roman" w:cs="Times New Roman"/>
          <w:color w:val="000000" w:themeColor="text1"/>
          <w:szCs w:val="20"/>
        </w:rPr>
        <w:t>,</w:t>
      </w:r>
      <w:r w:rsidRPr="003D17E0">
        <w:rPr>
          <w:rFonts w:eastAsia="Times New Roman" w:cs="Times New Roman"/>
          <w:color w:val="000000" w:themeColor="text1"/>
          <w:szCs w:val="20"/>
        </w:rPr>
        <w:t xml:space="preserve"> y agilizar los procesos de aprobación para que los pacientes accedan antes a las nuevas tecnologías médicas.</w:t>
      </w:r>
    </w:p>
    <w:p w14:paraId="7CD48008" w14:textId="77777777" w:rsidR="00C5628F" w:rsidRPr="003D17E0" w:rsidRDefault="00C5628F" w:rsidP="00C5628F">
      <w:pPr>
        <w:rPr>
          <w:rFonts w:eastAsia="Times New Roman" w:cs="Times New Roman"/>
          <w:color w:val="000000" w:themeColor="text1"/>
          <w:szCs w:val="20"/>
        </w:rPr>
      </w:pPr>
    </w:p>
    <w:p w14:paraId="7F409DE6" w14:textId="77777777" w:rsidR="00C5628F" w:rsidRPr="003D17E0" w:rsidRDefault="00C5628F" w:rsidP="00C5628F">
      <w:pPr>
        <w:rPr>
          <w:rFonts w:eastAsia="Times New Roman" w:cs="Times New Roman"/>
          <w:color w:val="000000" w:themeColor="text1"/>
          <w:szCs w:val="20"/>
        </w:rPr>
      </w:pPr>
      <w:r w:rsidRPr="003D17E0">
        <w:rPr>
          <w:rFonts w:eastAsia="Times New Roman" w:cs="Times New Roman"/>
          <w:color w:val="000000" w:themeColor="text1"/>
          <w:szCs w:val="20"/>
        </w:rPr>
        <w:t>Ambas agencias reguladoras mantendrán su independencia y garantizarán el cumplimiento de estrictos estándares de seguridad.</w:t>
      </w:r>
    </w:p>
    <w:p w14:paraId="6CF68F71" w14:textId="77777777" w:rsidR="00C5628F" w:rsidRDefault="00C5628F" w:rsidP="00C5628F">
      <w:pPr>
        <w:rPr>
          <w:rFonts w:eastAsia="Times New Roman" w:cs="Times New Roman"/>
          <w:szCs w:val="20"/>
        </w:rPr>
      </w:pPr>
    </w:p>
    <w:p w14:paraId="49E9CAE0" w14:textId="77777777" w:rsidR="00C5628F" w:rsidRDefault="00C5628F" w:rsidP="00C5628F">
      <w:pPr>
        <w:rPr>
          <w:rFonts w:eastAsia="Times New Roman" w:cs="Times New Roman"/>
          <w:szCs w:val="20"/>
        </w:rPr>
      </w:pPr>
      <w:r w:rsidRPr="00A6517F">
        <w:rPr>
          <w:rFonts w:eastAsia="Times New Roman" w:cs="Times New Roman"/>
          <w:szCs w:val="20"/>
        </w:rPr>
        <w:t xml:space="preserve">El ministro de Ciencia del Reino Unido, Lord </w:t>
      </w:r>
      <w:proofErr w:type="spellStart"/>
      <w:r w:rsidRPr="00A6517F">
        <w:rPr>
          <w:rFonts w:eastAsia="Times New Roman" w:cs="Times New Roman"/>
          <w:szCs w:val="20"/>
        </w:rPr>
        <w:t>Vallance</w:t>
      </w:r>
      <w:proofErr w:type="spellEnd"/>
      <w:r w:rsidRPr="00A6517F">
        <w:rPr>
          <w:rFonts w:eastAsia="Times New Roman" w:cs="Times New Roman"/>
          <w:szCs w:val="20"/>
        </w:rPr>
        <w:t xml:space="preserve">, </w:t>
      </w:r>
      <w:r>
        <w:rPr>
          <w:rFonts w:eastAsia="Times New Roman" w:cs="Times New Roman"/>
          <w:szCs w:val="20"/>
        </w:rPr>
        <w:t>dijo que</w:t>
      </w:r>
      <w:r w:rsidRPr="00A6517F">
        <w:rPr>
          <w:rFonts w:eastAsia="Times New Roman" w:cs="Times New Roman"/>
          <w:szCs w:val="20"/>
        </w:rPr>
        <w:t xml:space="preserve"> «El sector de tecnología médica del Reino Unido emplea a más de 195.000 personas y es pionero en tecnologías innovadoras e importantes que nos ayudan a vivir </w:t>
      </w:r>
      <w:r>
        <w:rPr>
          <w:rFonts w:eastAsia="Times New Roman" w:cs="Times New Roman"/>
          <w:szCs w:val="20"/>
        </w:rPr>
        <w:t>más</w:t>
      </w:r>
      <w:r w:rsidRPr="00A6517F">
        <w:rPr>
          <w:rFonts w:eastAsia="Times New Roman" w:cs="Times New Roman"/>
          <w:szCs w:val="20"/>
        </w:rPr>
        <w:t xml:space="preserve"> y</w:t>
      </w:r>
      <w:r>
        <w:rPr>
          <w:rFonts w:eastAsia="Times New Roman" w:cs="Times New Roman"/>
          <w:szCs w:val="20"/>
        </w:rPr>
        <w:t xml:space="preserve"> estar más</w:t>
      </w:r>
      <w:r w:rsidRPr="00A6517F">
        <w:rPr>
          <w:rFonts w:eastAsia="Times New Roman" w:cs="Times New Roman"/>
          <w:szCs w:val="20"/>
        </w:rPr>
        <w:t xml:space="preserve"> saludable</w:t>
      </w:r>
      <w:r>
        <w:rPr>
          <w:rFonts w:eastAsia="Times New Roman" w:cs="Times New Roman"/>
          <w:szCs w:val="20"/>
        </w:rPr>
        <w:t>s</w:t>
      </w:r>
      <w:r w:rsidRPr="00035535">
        <w:rPr>
          <w:rFonts w:eastAsia="Times New Roman" w:cs="Times New Roman"/>
          <w:szCs w:val="20"/>
        </w:rPr>
        <w:t>».</w:t>
      </w:r>
    </w:p>
    <w:p w14:paraId="2918D1B6" w14:textId="77777777" w:rsidR="00C5628F" w:rsidRPr="00F25512" w:rsidRDefault="00C5628F" w:rsidP="00C5628F">
      <w:pPr>
        <w:rPr>
          <w:rFonts w:eastAsia="Times New Roman" w:cs="Times New Roman"/>
          <w:color w:val="0D0D0D" w:themeColor="text1" w:themeTint="F2"/>
          <w:szCs w:val="20"/>
          <w:lang w:val="es-ES"/>
        </w:rPr>
      </w:pPr>
    </w:p>
    <w:p w14:paraId="383200E5" w14:textId="77777777" w:rsidR="00C5628F" w:rsidRDefault="00C5628F" w:rsidP="00C5628F">
      <w:pPr>
        <w:rPr>
          <w:rFonts w:eastAsia="Times New Roman" w:cs="Times New Roman"/>
          <w:color w:val="0D0D0D" w:themeColor="text1" w:themeTint="F2"/>
          <w:szCs w:val="20"/>
        </w:rPr>
      </w:pPr>
      <w:r w:rsidRPr="00E30769">
        <w:rPr>
          <w:rFonts w:eastAsia="Times New Roman" w:cs="Times New Roman"/>
          <w:color w:val="0D0D0D" w:themeColor="text1" w:themeTint="F2"/>
          <w:szCs w:val="20"/>
        </w:rPr>
        <w:t xml:space="preserve">Notas para los editores: </w:t>
      </w:r>
    </w:p>
    <w:p w14:paraId="7159197F" w14:textId="77777777" w:rsidR="00C5628F" w:rsidRPr="00E30769" w:rsidRDefault="00C5628F" w:rsidP="00C5628F">
      <w:pPr>
        <w:rPr>
          <w:rFonts w:eastAsia="Times New Roman" w:cs="Times New Roman"/>
          <w:color w:val="0D0D0D" w:themeColor="text1" w:themeTint="F2"/>
          <w:szCs w:val="20"/>
        </w:rPr>
      </w:pPr>
      <w:r w:rsidRPr="00E30769">
        <w:rPr>
          <w:rFonts w:eastAsia="Times New Roman" w:cs="Times New Roman"/>
          <w:color w:val="0D0D0D" w:themeColor="text1" w:themeTint="F2"/>
          <w:szCs w:val="20"/>
        </w:rPr>
        <w:t>La MHRA es responsable de regular todos los medicamentos y dispositivos médicos en el Reino Unido, garantizando su eficacia y seguridad. Nuestro trabajo se basa en evaluaciones rigurosas y fundamentadas en datos para asegurar que los beneficios justifiquen los riesgos.</w:t>
      </w:r>
      <w:r>
        <w:rPr>
          <w:rFonts w:eastAsia="Times New Roman" w:cs="Times New Roman"/>
          <w:color w:val="0D0D0D" w:themeColor="text1" w:themeTint="F2"/>
          <w:szCs w:val="20"/>
        </w:rPr>
        <w:t xml:space="preserve"> </w:t>
      </w:r>
      <w:r w:rsidRPr="00E30769">
        <w:rPr>
          <w:rFonts w:eastAsia="Times New Roman" w:cs="Times New Roman"/>
          <w:color w:val="0D0D0D" w:themeColor="text1" w:themeTint="F2"/>
          <w:szCs w:val="20"/>
        </w:rPr>
        <w:t>La MHRA es un organismo ejecutivo del Departamento de Salud y Asistencia Social.</w:t>
      </w:r>
    </w:p>
    <w:p w14:paraId="023401D8" w14:textId="77777777" w:rsidR="00C5628F" w:rsidRPr="00E30769" w:rsidRDefault="00C5628F" w:rsidP="00C5628F">
      <w:pPr>
        <w:rPr>
          <w:rFonts w:eastAsia="Times New Roman" w:cs="Times New Roman"/>
          <w:color w:val="0D0D0D" w:themeColor="text1" w:themeTint="F2"/>
          <w:szCs w:val="20"/>
        </w:rPr>
      </w:pPr>
    </w:p>
    <w:p w14:paraId="45E92F42" w14:textId="1DC6CBF3" w:rsidR="00E83A0B" w:rsidRPr="00E83A0B" w:rsidRDefault="00C5628F" w:rsidP="00E83A0B">
      <w:pPr>
        <w:rPr>
          <w:rFonts w:eastAsia="Times New Roman" w:cs="Times New Roman"/>
          <w:color w:val="0D0D0D" w:themeColor="text1" w:themeTint="F2"/>
          <w:szCs w:val="20"/>
        </w:rPr>
        <w:sectPr w:rsidR="00E83A0B" w:rsidRPr="00E83A0B" w:rsidSect="00E83A0B">
          <w:type w:val="continuous"/>
          <w:pgSz w:w="12240" w:h="15840" w:code="1"/>
          <w:pgMar w:top="720" w:right="720" w:bottom="720" w:left="720" w:header="288" w:footer="288" w:gutter="0"/>
          <w:cols w:num="2" w:space="288"/>
          <w:docGrid w:linePitch="360"/>
        </w:sectPr>
      </w:pPr>
      <w:r w:rsidRPr="00E30769">
        <w:rPr>
          <w:rFonts w:eastAsia="Times New Roman" w:cs="Times New Roman"/>
          <w:color w:val="0D0D0D" w:themeColor="text1" w:themeTint="F2"/>
          <w:szCs w:val="20"/>
        </w:rPr>
        <w:t>La FDA es responsable de proteger la salud pública en E</w:t>
      </w:r>
      <w:r>
        <w:rPr>
          <w:rFonts w:eastAsia="Times New Roman" w:cs="Times New Roman"/>
          <w:color w:val="0D0D0D" w:themeColor="text1" w:themeTint="F2"/>
          <w:szCs w:val="20"/>
        </w:rPr>
        <w:t>E</w:t>
      </w:r>
      <w:r w:rsidRPr="00E30769">
        <w:rPr>
          <w:rFonts w:eastAsia="Times New Roman" w:cs="Times New Roman"/>
          <w:color w:val="0D0D0D" w:themeColor="text1" w:themeTint="F2"/>
          <w:szCs w:val="20"/>
        </w:rPr>
        <w:t xml:space="preserve"> U</w:t>
      </w:r>
      <w:r>
        <w:rPr>
          <w:rFonts w:eastAsia="Times New Roman" w:cs="Times New Roman"/>
          <w:color w:val="0D0D0D" w:themeColor="text1" w:themeTint="F2"/>
          <w:szCs w:val="20"/>
        </w:rPr>
        <w:t>U</w:t>
      </w:r>
      <w:r w:rsidRPr="00E30769">
        <w:rPr>
          <w:rFonts w:eastAsia="Times New Roman" w:cs="Times New Roman"/>
          <w:color w:val="0D0D0D" w:themeColor="text1" w:themeTint="F2"/>
          <w:szCs w:val="20"/>
        </w:rPr>
        <w:t>, garantizando la seguridad, la eficacia y la inocuidad de los medicamentos para uso humano y veterinario, los productos biológicos y los dispositivos médicos.</w:t>
      </w:r>
    </w:p>
    <w:p w14:paraId="6B8B2C78" w14:textId="339FFCCF" w:rsidR="00FD457F" w:rsidRPr="00611227" w:rsidRDefault="00611227" w:rsidP="00E83A0B">
      <w:pPr>
        <w:jc w:val="center"/>
        <w:rPr>
          <w:rFonts w:cs="Times New Roman"/>
          <w:b/>
          <w:bCs/>
          <w:color w:val="000000" w:themeColor="text1"/>
          <w:szCs w:val="20"/>
        </w:rPr>
      </w:pPr>
      <w:r w:rsidRPr="00611227">
        <w:rPr>
          <w:rFonts w:cs="Times New Roman"/>
          <w:b/>
          <w:bCs/>
          <w:color w:val="000000" w:themeColor="text1"/>
          <w:szCs w:val="20"/>
        </w:rPr>
        <w:lastRenderedPageBreak/>
        <w:t xml:space="preserve">Iniciativa de colaboración </w:t>
      </w:r>
      <w:r w:rsidR="00320DD4">
        <w:rPr>
          <w:rFonts w:cs="Times New Roman"/>
          <w:b/>
          <w:bCs/>
          <w:color w:val="000000" w:themeColor="text1"/>
          <w:szCs w:val="20"/>
        </w:rPr>
        <w:t xml:space="preserve">entre EE UU y Reino Unido </w:t>
      </w:r>
      <w:r w:rsidRPr="00611227">
        <w:rPr>
          <w:rFonts w:cs="Times New Roman"/>
          <w:b/>
          <w:bCs/>
          <w:color w:val="000000" w:themeColor="text1"/>
          <w:szCs w:val="20"/>
        </w:rPr>
        <w:t>contribuye a definir la regulación sanitaria global</w:t>
      </w:r>
      <w:r w:rsidR="00C5628F">
        <w:rPr>
          <w:rFonts w:cs="Times New Roman"/>
          <w:b/>
          <w:bCs/>
          <w:color w:val="000000" w:themeColor="text1"/>
          <w:szCs w:val="20"/>
        </w:rPr>
        <w:t xml:space="preserve"> futura</w:t>
      </w:r>
    </w:p>
    <w:p w14:paraId="572F0C72" w14:textId="0DB56C21" w:rsidR="00825A25" w:rsidRPr="00611227" w:rsidRDefault="00825A25" w:rsidP="006C2547">
      <w:pPr>
        <w:jc w:val="center"/>
        <w:rPr>
          <w:rFonts w:cs="Times New Roman"/>
          <w:color w:val="000000" w:themeColor="text1"/>
          <w:szCs w:val="20"/>
        </w:rPr>
      </w:pPr>
      <w:r w:rsidRPr="00611227">
        <w:rPr>
          <w:rFonts w:cs="Times New Roman"/>
          <w:color w:val="000000" w:themeColor="text1"/>
          <w:szCs w:val="20"/>
        </w:rPr>
        <w:t>Salud y Fármacos</w:t>
      </w:r>
    </w:p>
    <w:p w14:paraId="55B5151A" w14:textId="09E3D19F" w:rsidR="00825A25" w:rsidRDefault="00611227" w:rsidP="006C2547">
      <w:pPr>
        <w:jc w:val="center"/>
        <w:rPr>
          <w:rFonts w:eastAsia="Times New Roman" w:cs="Times New Roman"/>
          <w:bCs/>
          <w:i/>
          <w:iCs/>
          <w:color w:val="000000" w:themeColor="text1"/>
          <w:szCs w:val="16"/>
          <w:lang w:val="es-ES"/>
        </w:rPr>
      </w:pPr>
      <w:r w:rsidRPr="00CA5ACC">
        <w:rPr>
          <w:rFonts w:cs="Times New Roman"/>
          <w:i/>
          <w:iCs/>
          <w:szCs w:val="20"/>
        </w:rPr>
        <w:t>Boletín Fármacos</w:t>
      </w:r>
      <w:r w:rsidRPr="00734AA9">
        <w:rPr>
          <w:rFonts w:cs="Times New Roman"/>
          <w:i/>
          <w:szCs w:val="20"/>
          <w:lang w:val="es-ES"/>
        </w:rPr>
        <w:t xml:space="preserve">: </w:t>
      </w:r>
      <w:r>
        <w:rPr>
          <w:rFonts w:cs="Times New Roman"/>
          <w:i/>
          <w:szCs w:val="20"/>
          <w:lang w:val="es-ES"/>
        </w:rPr>
        <w:t>Agencias Reguladoras</w:t>
      </w:r>
      <w:r w:rsidRPr="00A82C9C">
        <w:rPr>
          <w:rFonts w:eastAsia="Times New Roman" w:cs="Times New Roman"/>
          <w:bCs/>
          <w:i/>
          <w:iCs/>
          <w:color w:val="000000" w:themeColor="text1"/>
          <w:szCs w:val="16"/>
          <w:lang w:val="es-ES"/>
        </w:rPr>
        <w:t xml:space="preserve"> 202</w:t>
      </w:r>
      <w:r>
        <w:rPr>
          <w:rFonts w:eastAsia="Times New Roman" w:cs="Times New Roman"/>
          <w:bCs/>
          <w:i/>
          <w:iCs/>
          <w:color w:val="000000" w:themeColor="text1"/>
          <w:szCs w:val="16"/>
          <w:lang w:val="es-ES"/>
        </w:rPr>
        <w:t>6</w:t>
      </w:r>
      <w:r w:rsidRPr="00A82C9C">
        <w:rPr>
          <w:rFonts w:eastAsia="Times New Roman" w:cs="Times New Roman"/>
          <w:bCs/>
          <w:i/>
          <w:iCs/>
          <w:color w:val="000000" w:themeColor="text1"/>
          <w:szCs w:val="16"/>
          <w:lang w:val="es-ES"/>
        </w:rPr>
        <w:t>; 2</w:t>
      </w:r>
      <w:r>
        <w:rPr>
          <w:rFonts w:eastAsia="Times New Roman" w:cs="Times New Roman"/>
          <w:bCs/>
          <w:i/>
          <w:iCs/>
          <w:color w:val="000000" w:themeColor="text1"/>
          <w:szCs w:val="16"/>
          <w:lang w:val="es-ES"/>
        </w:rPr>
        <w:t>9</w:t>
      </w:r>
      <w:r w:rsidRPr="00A82C9C">
        <w:rPr>
          <w:rFonts w:eastAsia="Times New Roman" w:cs="Times New Roman"/>
          <w:bCs/>
          <w:i/>
          <w:iCs/>
          <w:color w:val="000000" w:themeColor="text1"/>
          <w:szCs w:val="16"/>
          <w:lang w:val="es-ES"/>
        </w:rPr>
        <w:t>(</w:t>
      </w:r>
      <w:r>
        <w:rPr>
          <w:rFonts w:eastAsia="Times New Roman" w:cs="Times New Roman"/>
          <w:bCs/>
          <w:i/>
          <w:iCs/>
          <w:color w:val="000000" w:themeColor="text1"/>
          <w:szCs w:val="16"/>
          <w:lang w:val="es-ES"/>
        </w:rPr>
        <w:t>3</w:t>
      </w:r>
      <w:r w:rsidRPr="00A82C9C">
        <w:rPr>
          <w:rFonts w:eastAsia="Times New Roman" w:cs="Times New Roman"/>
          <w:bCs/>
          <w:i/>
          <w:iCs/>
          <w:color w:val="000000" w:themeColor="text1"/>
          <w:szCs w:val="16"/>
          <w:lang w:val="es-ES"/>
        </w:rPr>
        <w:t>)</w:t>
      </w:r>
    </w:p>
    <w:p w14:paraId="4754BC8C" w14:textId="77777777" w:rsidR="00611227" w:rsidRDefault="00611227" w:rsidP="006C2547">
      <w:pPr>
        <w:jc w:val="center"/>
        <w:rPr>
          <w:rFonts w:eastAsia="Times New Roman" w:cs="Times New Roman"/>
          <w:bCs/>
          <w:i/>
          <w:iCs/>
          <w:color w:val="000000" w:themeColor="text1"/>
          <w:szCs w:val="16"/>
          <w:lang w:val="es-ES"/>
        </w:rPr>
      </w:pPr>
    </w:p>
    <w:p w14:paraId="6026EB14" w14:textId="77777777" w:rsidR="00E83A0B" w:rsidRDefault="00E83A0B" w:rsidP="00611227">
      <w:pPr>
        <w:rPr>
          <w:rFonts w:eastAsia="Times New Roman" w:cs="Times New Roman"/>
          <w:b/>
          <w:color w:val="000000" w:themeColor="text1"/>
          <w:sz w:val="18"/>
          <w:szCs w:val="14"/>
          <w:lang w:val="es-ES"/>
        </w:rPr>
        <w:sectPr w:rsidR="00E83A0B" w:rsidSect="00F25512">
          <w:type w:val="continuous"/>
          <w:pgSz w:w="12240" w:h="15840" w:code="1"/>
          <w:pgMar w:top="720" w:right="720" w:bottom="720" w:left="720" w:header="288" w:footer="288" w:gutter="0"/>
          <w:cols w:space="288"/>
          <w:docGrid w:linePitch="360"/>
        </w:sectPr>
      </w:pPr>
    </w:p>
    <w:p w14:paraId="51A49488" w14:textId="6E8ADC00" w:rsidR="00611227" w:rsidRPr="00BD15F1" w:rsidRDefault="00611227" w:rsidP="00611227">
      <w:pPr>
        <w:rPr>
          <w:rFonts w:eastAsia="Times New Roman" w:cs="Times New Roman"/>
          <w:b/>
          <w:color w:val="000000" w:themeColor="text1"/>
          <w:sz w:val="18"/>
          <w:szCs w:val="14"/>
          <w:lang w:val="es-ES"/>
        </w:rPr>
      </w:pPr>
      <w:r w:rsidRPr="00BD15F1">
        <w:rPr>
          <w:rFonts w:eastAsia="Times New Roman" w:cs="Times New Roman"/>
          <w:b/>
          <w:color w:val="000000" w:themeColor="text1"/>
          <w:sz w:val="18"/>
          <w:szCs w:val="14"/>
          <w:lang w:val="es-ES"/>
        </w:rPr>
        <w:t>Tags:</w:t>
      </w:r>
      <w:r w:rsidR="00595152" w:rsidRPr="00BD15F1">
        <w:rPr>
          <w:rFonts w:eastAsia="Times New Roman" w:cs="Times New Roman"/>
          <w:b/>
          <w:color w:val="000000" w:themeColor="text1"/>
          <w:sz w:val="18"/>
          <w:szCs w:val="14"/>
          <w:lang w:val="es-ES"/>
        </w:rPr>
        <w:t xml:space="preserve"> </w:t>
      </w:r>
      <w:r w:rsidR="00595152" w:rsidRPr="00BD15F1">
        <w:rPr>
          <w:rFonts w:cs="Times New Roman"/>
          <w:b/>
          <w:color w:val="000000" w:themeColor="text1"/>
          <w:sz w:val="18"/>
          <w:szCs w:val="18"/>
        </w:rPr>
        <w:t xml:space="preserve">iniciativa colaborativa, autoridades reguladoras, intercambio de conocimientos, supervisión global, Inteligencia Artificial y </w:t>
      </w:r>
      <w:proofErr w:type="spellStart"/>
      <w:r w:rsidR="00595152" w:rsidRPr="00BD15F1">
        <w:rPr>
          <w:rFonts w:cs="Times New Roman"/>
          <w:b/>
          <w:color w:val="000000" w:themeColor="text1"/>
          <w:sz w:val="18"/>
          <w:szCs w:val="18"/>
        </w:rPr>
        <w:t>farma</w:t>
      </w:r>
      <w:proofErr w:type="spellEnd"/>
      <w:r w:rsidR="00595152" w:rsidRPr="00BD15F1">
        <w:rPr>
          <w:rFonts w:cs="Times New Roman"/>
          <w:b/>
          <w:color w:val="000000" w:themeColor="text1"/>
          <w:sz w:val="18"/>
          <w:szCs w:val="18"/>
        </w:rPr>
        <w:t>, dispositivos médicos y regulación, innovación farmacéutica</w:t>
      </w:r>
    </w:p>
    <w:p w14:paraId="03371307" w14:textId="77777777" w:rsidR="00611227" w:rsidRPr="00611227" w:rsidRDefault="00611227" w:rsidP="00611227">
      <w:pPr>
        <w:rPr>
          <w:rFonts w:cs="Times New Roman"/>
          <w:b/>
          <w:bCs/>
          <w:color w:val="000000" w:themeColor="text1"/>
          <w:szCs w:val="20"/>
        </w:rPr>
      </w:pPr>
    </w:p>
    <w:p w14:paraId="18B94A2A" w14:textId="1C1EA115" w:rsidR="00825A25" w:rsidRPr="00825A25" w:rsidRDefault="00320DD4" w:rsidP="00825A25">
      <w:pPr>
        <w:rPr>
          <w:rFonts w:cs="Times New Roman"/>
          <w:color w:val="000000" w:themeColor="text1"/>
          <w:szCs w:val="20"/>
        </w:rPr>
      </w:pPr>
      <w:r>
        <w:rPr>
          <w:rFonts w:cs="Times New Roman"/>
          <w:color w:val="000000" w:themeColor="text1"/>
          <w:szCs w:val="20"/>
        </w:rPr>
        <w:t>L</w:t>
      </w:r>
      <w:r w:rsidR="00825A25" w:rsidRPr="00825A25">
        <w:rPr>
          <w:rFonts w:cs="Times New Roman"/>
          <w:color w:val="000000" w:themeColor="text1"/>
          <w:szCs w:val="20"/>
        </w:rPr>
        <w:t xml:space="preserve">a nueva iniciativa </w:t>
      </w:r>
      <w:r>
        <w:rPr>
          <w:rFonts w:cs="Times New Roman"/>
          <w:color w:val="000000" w:themeColor="text1"/>
          <w:szCs w:val="20"/>
        </w:rPr>
        <w:t>de colaboración</w:t>
      </w:r>
      <w:r w:rsidR="00595152">
        <w:rPr>
          <w:rFonts w:cs="Times New Roman"/>
          <w:color w:val="000000" w:themeColor="text1"/>
          <w:szCs w:val="20"/>
        </w:rPr>
        <w:t xml:space="preserve"> </w:t>
      </w:r>
      <w:r w:rsidR="00D01352">
        <w:rPr>
          <w:rFonts w:cs="Times New Roman"/>
          <w:color w:val="000000" w:themeColor="text1"/>
          <w:szCs w:val="20"/>
        </w:rPr>
        <w:t xml:space="preserve">entre las autoridades reguladoras de EE UU y el Reino Unido </w:t>
      </w:r>
      <w:r>
        <w:rPr>
          <w:rFonts w:cs="Times New Roman"/>
          <w:color w:val="000000" w:themeColor="text1"/>
          <w:szCs w:val="20"/>
        </w:rPr>
        <w:t>pretende</w:t>
      </w:r>
      <w:r w:rsidR="00825A25" w:rsidRPr="00825A25">
        <w:rPr>
          <w:rFonts w:cs="Times New Roman"/>
          <w:color w:val="000000" w:themeColor="text1"/>
          <w:szCs w:val="20"/>
        </w:rPr>
        <w:t xml:space="preserve"> </w:t>
      </w:r>
      <w:r w:rsidR="00D01352" w:rsidRPr="00825A25">
        <w:rPr>
          <w:rFonts w:cs="Times New Roman"/>
          <w:color w:val="000000" w:themeColor="text1"/>
          <w:szCs w:val="20"/>
        </w:rPr>
        <w:t>agilizar el intercambio de conocimientos</w:t>
      </w:r>
      <w:r w:rsidR="00D01352">
        <w:rPr>
          <w:rFonts w:cs="Times New Roman"/>
          <w:color w:val="000000" w:themeColor="text1"/>
          <w:szCs w:val="20"/>
        </w:rPr>
        <w:t xml:space="preserve"> y </w:t>
      </w:r>
      <w:r w:rsidR="00825A25" w:rsidRPr="00825A25">
        <w:rPr>
          <w:rFonts w:cs="Times New Roman"/>
          <w:color w:val="000000" w:themeColor="text1"/>
          <w:szCs w:val="20"/>
        </w:rPr>
        <w:t xml:space="preserve">mejorar la supervisión global de </w:t>
      </w:r>
      <w:r w:rsidR="00D01352">
        <w:rPr>
          <w:rFonts w:cs="Times New Roman"/>
          <w:color w:val="000000" w:themeColor="text1"/>
          <w:szCs w:val="20"/>
        </w:rPr>
        <w:t xml:space="preserve">la Inteligencia Artificial (IA), los </w:t>
      </w:r>
      <w:r w:rsidR="00825A25" w:rsidRPr="00825A25">
        <w:rPr>
          <w:rFonts w:cs="Times New Roman"/>
          <w:color w:val="000000" w:themeColor="text1"/>
          <w:szCs w:val="20"/>
        </w:rPr>
        <w:t xml:space="preserve">dispositivos médicos y </w:t>
      </w:r>
      <w:r w:rsidR="00D01352">
        <w:rPr>
          <w:rFonts w:cs="Times New Roman"/>
          <w:color w:val="000000" w:themeColor="text1"/>
          <w:szCs w:val="20"/>
        </w:rPr>
        <w:t xml:space="preserve">los nuevos </w:t>
      </w:r>
      <w:r w:rsidR="00825A25" w:rsidRPr="00825A25">
        <w:rPr>
          <w:rFonts w:cs="Times New Roman"/>
          <w:color w:val="000000" w:themeColor="text1"/>
          <w:szCs w:val="20"/>
        </w:rPr>
        <w:t>medicamentos.</w:t>
      </w:r>
    </w:p>
    <w:p w14:paraId="7812217E" w14:textId="77777777" w:rsidR="00FB62E7" w:rsidRDefault="00FB62E7" w:rsidP="00825A25">
      <w:pPr>
        <w:rPr>
          <w:rFonts w:cs="Times New Roman"/>
          <w:color w:val="000000" w:themeColor="text1"/>
          <w:szCs w:val="20"/>
        </w:rPr>
      </w:pPr>
    </w:p>
    <w:p w14:paraId="1D3F5B1B" w14:textId="4779F5FF" w:rsidR="00825A25" w:rsidRPr="00825A25" w:rsidRDefault="00320DD4" w:rsidP="00825A25">
      <w:pPr>
        <w:rPr>
          <w:rFonts w:cs="Times New Roman"/>
          <w:color w:val="000000" w:themeColor="text1"/>
          <w:szCs w:val="20"/>
        </w:rPr>
      </w:pPr>
      <w:r>
        <w:rPr>
          <w:rFonts w:cs="Times New Roman"/>
          <w:color w:val="000000" w:themeColor="text1"/>
          <w:szCs w:val="20"/>
        </w:rPr>
        <w:t xml:space="preserve">Los objetivos de desarrollar la estrategia mediante un acuerdo formal de </w:t>
      </w:r>
      <w:r w:rsidR="00825A25" w:rsidRPr="00825A25">
        <w:rPr>
          <w:rFonts w:cs="Times New Roman"/>
          <w:color w:val="000000" w:themeColor="text1"/>
          <w:szCs w:val="20"/>
        </w:rPr>
        <w:t>colabora</w:t>
      </w:r>
      <w:r>
        <w:rPr>
          <w:rFonts w:cs="Times New Roman"/>
          <w:color w:val="000000" w:themeColor="text1"/>
          <w:szCs w:val="20"/>
        </w:rPr>
        <w:t xml:space="preserve">ción </w:t>
      </w:r>
      <w:r w:rsidR="00825A25" w:rsidRPr="00825A25">
        <w:rPr>
          <w:rFonts w:cs="Times New Roman"/>
          <w:color w:val="000000" w:themeColor="text1"/>
          <w:szCs w:val="20"/>
        </w:rPr>
        <w:t>en</w:t>
      </w:r>
      <w:r w:rsidR="00FB62E7">
        <w:rPr>
          <w:rFonts w:cs="Times New Roman"/>
          <w:color w:val="000000" w:themeColor="text1"/>
          <w:szCs w:val="20"/>
        </w:rPr>
        <w:t xml:space="preserve">tre la FDA y la MHRA </w:t>
      </w:r>
      <w:r>
        <w:rPr>
          <w:rFonts w:cs="Times New Roman"/>
          <w:color w:val="000000" w:themeColor="text1"/>
          <w:szCs w:val="20"/>
        </w:rPr>
        <w:t xml:space="preserve">son: estar preparados para </w:t>
      </w:r>
      <w:r w:rsidR="00825A25" w:rsidRPr="00825A25">
        <w:rPr>
          <w:rFonts w:cs="Times New Roman"/>
          <w:color w:val="000000" w:themeColor="text1"/>
          <w:szCs w:val="20"/>
        </w:rPr>
        <w:t xml:space="preserve">responder </w:t>
      </w:r>
      <w:r w:rsidR="00FB62E7">
        <w:rPr>
          <w:rFonts w:cs="Times New Roman"/>
          <w:color w:val="000000" w:themeColor="text1"/>
          <w:szCs w:val="20"/>
        </w:rPr>
        <w:t>más</w:t>
      </w:r>
      <w:r w:rsidR="00825A25" w:rsidRPr="00825A25">
        <w:rPr>
          <w:rFonts w:cs="Times New Roman"/>
          <w:color w:val="000000" w:themeColor="text1"/>
          <w:szCs w:val="20"/>
        </w:rPr>
        <w:t xml:space="preserve"> r</w:t>
      </w:r>
      <w:r w:rsidR="00FB62E7">
        <w:rPr>
          <w:rFonts w:cs="Times New Roman"/>
          <w:color w:val="000000" w:themeColor="text1"/>
          <w:szCs w:val="20"/>
        </w:rPr>
        <w:t>á</w:t>
      </w:r>
      <w:r w:rsidR="00825A25" w:rsidRPr="00825A25">
        <w:rPr>
          <w:rFonts w:cs="Times New Roman"/>
          <w:color w:val="000000" w:themeColor="text1"/>
          <w:szCs w:val="20"/>
        </w:rPr>
        <w:t>pid</w:t>
      </w:r>
      <w:r>
        <w:rPr>
          <w:rFonts w:cs="Times New Roman"/>
          <w:color w:val="000000" w:themeColor="text1"/>
          <w:szCs w:val="20"/>
        </w:rPr>
        <w:t>amente</w:t>
      </w:r>
      <w:r w:rsidR="00825A25" w:rsidRPr="00825A25">
        <w:rPr>
          <w:rFonts w:cs="Times New Roman"/>
          <w:color w:val="000000" w:themeColor="text1"/>
          <w:szCs w:val="20"/>
        </w:rPr>
        <w:t xml:space="preserve"> a los avances científicos y tecnológicos, apoyar el desarrollo de productos seguros y eficaces para los pacientes de ambos países</w:t>
      </w:r>
      <w:r w:rsidR="00A54CE0">
        <w:rPr>
          <w:rFonts w:cs="Times New Roman"/>
          <w:color w:val="000000" w:themeColor="text1"/>
          <w:szCs w:val="20"/>
        </w:rPr>
        <w:t xml:space="preserve"> </w:t>
      </w:r>
      <w:r w:rsidR="00A54CE0" w:rsidRPr="00825A25">
        <w:rPr>
          <w:rFonts w:cs="Times New Roman"/>
          <w:color w:val="000000" w:themeColor="text1"/>
          <w:szCs w:val="20"/>
        </w:rPr>
        <w:t xml:space="preserve">y contribuir a </w:t>
      </w:r>
      <w:r>
        <w:rPr>
          <w:rFonts w:cs="Times New Roman"/>
          <w:color w:val="000000" w:themeColor="text1"/>
          <w:szCs w:val="20"/>
        </w:rPr>
        <w:t xml:space="preserve">definir </w:t>
      </w:r>
      <w:r w:rsidR="00A54CE0" w:rsidRPr="00825A25">
        <w:rPr>
          <w:rFonts w:cs="Times New Roman"/>
          <w:color w:val="000000" w:themeColor="text1"/>
          <w:szCs w:val="20"/>
        </w:rPr>
        <w:t>el futuro de la regulación sanitaria global</w:t>
      </w:r>
      <w:r w:rsidR="00825A25" w:rsidRPr="00825A25">
        <w:rPr>
          <w:rFonts w:cs="Times New Roman"/>
          <w:color w:val="000000" w:themeColor="text1"/>
          <w:szCs w:val="20"/>
        </w:rPr>
        <w:t>.</w:t>
      </w:r>
    </w:p>
    <w:p w14:paraId="4C752313" w14:textId="77777777" w:rsidR="00A54CE0" w:rsidRDefault="00A54CE0" w:rsidP="00825A25">
      <w:pPr>
        <w:rPr>
          <w:rFonts w:cs="Times New Roman"/>
          <w:color w:val="000000" w:themeColor="text1"/>
          <w:szCs w:val="20"/>
        </w:rPr>
      </w:pPr>
    </w:p>
    <w:p w14:paraId="12AA87B2" w14:textId="399ECC11" w:rsidR="00825A25" w:rsidRPr="00825A25" w:rsidRDefault="00A54CE0" w:rsidP="00825A25">
      <w:pPr>
        <w:rPr>
          <w:rFonts w:cs="Times New Roman"/>
          <w:color w:val="000000" w:themeColor="text1"/>
          <w:szCs w:val="20"/>
        </w:rPr>
      </w:pPr>
      <w:r>
        <w:rPr>
          <w:rFonts w:cs="Times New Roman"/>
          <w:color w:val="000000" w:themeColor="text1"/>
          <w:szCs w:val="20"/>
        </w:rPr>
        <w:t>E</w:t>
      </w:r>
      <w:r w:rsidR="00825A25" w:rsidRPr="00825A25">
        <w:rPr>
          <w:rFonts w:cs="Times New Roman"/>
          <w:color w:val="000000" w:themeColor="text1"/>
          <w:szCs w:val="20"/>
        </w:rPr>
        <w:t xml:space="preserve">l nombramiento de </w:t>
      </w:r>
      <w:r>
        <w:rPr>
          <w:rFonts w:cs="Times New Roman"/>
          <w:color w:val="000000" w:themeColor="text1"/>
          <w:szCs w:val="20"/>
        </w:rPr>
        <w:t xml:space="preserve">los </w:t>
      </w:r>
      <w:r w:rsidR="00320DD4">
        <w:rPr>
          <w:rFonts w:cs="Times New Roman"/>
          <w:color w:val="000000" w:themeColor="text1"/>
          <w:szCs w:val="20"/>
        </w:rPr>
        <w:t xml:space="preserve">funcionarios responsables de la iniciativa se anunció </w:t>
      </w:r>
      <w:r w:rsidRPr="00825A25">
        <w:rPr>
          <w:rFonts w:cs="Times New Roman"/>
          <w:color w:val="000000" w:themeColor="text1"/>
          <w:szCs w:val="20"/>
        </w:rPr>
        <w:t>durante la Reunión Anual Global celebrada del 14 al 18 de junio en Filadelfia</w:t>
      </w:r>
      <w:r w:rsidR="00825A25" w:rsidRPr="00825A25">
        <w:rPr>
          <w:rFonts w:cs="Times New Roman"/>
          <w:color w:val="000000" w:themeColor="text1"/>
          <w:szCs w:val="20"/>
        </w:rPr>
        <w:t>.</w:t>
      </w:r>
      <w:r w:rsidR="00C35E0C">
        <w:rPr>
          <w:rFonts w:cs="Times New Roman"/>
          <w:color w:val="000000" w:themeColor="text1"/>
          <w:szCs w:val="20"/>
        </w:rPr>
        <w:t xml:space="preserve"> </w:t>
      </w:r>
      <w:r w:rsidR="00C35E0C" w:rsidRPr="00825A25">
        <w:rPr>
          <w:rFonts w:cs="Times New Roman"/>
          <w:color w:val="000000" w:themeColor="text1"/>
          <w:szCs w:val="20"/>
        </w:rPr>
        <w:t xml:space="preserve">El </w:t>
      </w:r>
      <w:r w:rsidR="00320DD4">
        <w:rPr>
          <w:rFonts w:cs="Times New Roman"/>
          <w:color w:val="000000" w:themeColor="text1"/>
          <w:szCs w:val="20"/>
        </w:rPr>
        <w:t xml:space="preserve">lanzamiento de este </w:t>
      </w:r>
      <w:r w:rsidR="00C35E0C" w:rsidRPr="00825A25">
        <w:rPr>
          <w:rFonts w:cs="Times New Roman"/>
          <w:color w:val="000000" w:themeColor="text1"/>
          <w:szCs w:val="20"/>
        </w:rPr>
        <w:t xml:space="preserve">programa </w:t>
      </w:r>
      <w:r w:rsidR="00320DD4">
        <w:rPr>
          <w:rFonts w:cs="Times New Roman"/>
          <w:color w:val="000000" w:themeColor="text1"/>
          <w:szCs w:val="20"/>
        </w:rPr>
        <w:t xml:space="preserve">nuevo </w:t>
      </w:r>
      <w:r w:rsidR="00C35E0C" w:rsidRPr="00825A25">
        <w:rPr>
          <w:rFonts w:cs="Times New Roman"/>
          <w:color w:val="000000" w:themeColor="text1"/>
          <w:szCs w:val="20"/>
        </w:rPr>
        <w:t xml:space="preserve">coincide con la fase final del desarrollo de un nuevo marco regulatorio para la IA </w:t>
      </w:r>
      <w:r w:rsidR="00320DD4" w:rsidRPr="00825A25">
        <w:rPr>
          <w:rFonts w:cs="Times New Roman"/>
          <w:color w:val="000000" w:themeColor="text1"/>
          <w:szCs w:val="20"/>
        </w:rPr>
        <w:t>por parte de la MHRA</w:t>
      </w:r>
      <w:r w:rsidR="00C35E0C" w:rsidRPr="00825A25">
        <w:rPr>
          <w:rFonts w:cs="Times New Roman"/>
          <w:color w:val="000000" w:themeColor="text1"/>
          <w:szCs w:val="20"/>
        </w:rPr>
        <w:t>.</w:t>
      </w:r>
    </w:p>
    <w:p w14:paraId="6248AB90" w14:textId="62B0E2C7" w:rsidR="008E6613" w:rsidRDefault="008E6613" w:rsidP="00825A25">
      <w:pPr>
        <w:rPr>
          <w:rFonts w:cs="Times New Roman"/>
          <w:color w:val="000000" w:themeColor="text1"/>
          <w:szCs w:val="20"/>
        </w:rPr>
      </w:pPr>
    </w:p>
    <w:p w14:paraId="117B5F08" w14:textId="3FF91811" w:rsidR="004C0750" w:rsidRDefault="00825A25" w:rsidP="00825A25">
      <w:pPr>
        <w:rPr>
          <w:rFonts w:cs="Times New Roman"/>
          <w:color w:val="000000" w:themeColor="text1"/>
          <w:szCs w:val="20"/>
        </w:rPr>
      </w:pPr>
      <w:r w:rsidRPr="00825A25">
        <w:rPr>
          <w:rFonts w:cs="Times New Roman"/>
          <w:color w:val="000000" w:themeColor="text1"/>
          <w:szCs w:val="20"/>
        </w:rPr>
        <w:t xml:space="preserve">Lawrence </w:t>
      </w:r>
      <w:proofErr w:type="spellStart"/>
      <w:r w:rsidRPr="00825A25">
        <w:rPr>
          <w:rFonts w:cs="Times New Roman"/>
          <w:color w:val="000000" w:themeColor="text1"/>
          <w:szCs w:val="20"/>
        </w:rPr>
        <w:t>Tallon</w:t>
      </w:r>
      <w:proofErr w:type="spellEnd"/>
      <w:r w:rsidRPr="00825A25">
        <w:rPr>
          <w:rFonts w:cs="Times New Roman"/>
          <w:color w:val="000000" w:themeColor="text1"/>
          <w:szCs w:val="20"/>
        </w:rPr>
        <w:t xml:space="preserve">, </w:t>
      </w:r>
      <w:r w:rsidR="008E6613" w:rsidRPr="00825A25">
        <w:rPr>
          <w:rFonts w:cs="Times New Roman"/>
          <w:color w:val="000000" w:themeColor="text1"/>
          <w:szCs w:val="20"/>
        </w:rPr>
        <w:t>director ejecutivo de la MHRA</w:t>
      </w:r>
      <w:r w:rsidR="008E6613">
        <w:rPr>
          <w:rFonts w:cs="Times New Roman"/>
          <w:color w:val="000000" w:themeColor="text1"/>
          <w:szCs w:val="20"/>
        </w:rPr>
        <w:t xml:space="preserve"> mencionó que la</w:t>
      </w:r>
      <w:r w:rsidRPr="00825A25">
        <w:rPr>
          <w:rFonts w:cs="Times New Roman"/>
          <w:color w:val="000000" w:themeColor="text1"/>
          <w:szCs w:val="20"/>
        </w:rPr>
        <w:t xml:space="preserve"> armoniza</w:t>
      </w:r>
      <w:r w:rsidR="0035269F">
        <w:rPr>
          <w:rFonts w:cs="Times New Roman"/>
          <w:color w:val="000000" w:themeColor="text1"/>
          <w:szCs w:val="20"/>
        </w:rPr>
        <w:t xml:space="preserve">ción </w:t>
      </w:r>
      <w:r w:rsidR="00320DD4">
        <w:rPr>
          <w:rFonts w:cs="Times New Roman"/>
          <w:color w:val="000000" w:themeColor="text1"/>
          <w:szCs w:val="20"/>
        </w:rPr>
        <w:t xml:space="preserve">regulatoria </w:t>
      </w:r>
      <w:r w:rsidR="0035269F">
        <w:rPr>
          <w:rFonts w:cs="Times New Roman"/>
          <w:color w:val="000000" w:themeColor="text1"/>
          <w:szCs w:val="20"/>
        </w:rPr>
        <w:t>de</w:t>
      </w:r>
      <w:r w:rsidRPr="00825A25">
        <w:rPr>
          <w:rFonts w:cs="Times New Roman"/>
          <w:color w:val="000000" w:themeColor="text1"/>
          <w:szCs w:val="20"/>
        </w:rPr>
        <w:t xml:space="preserve"> la ciencia y la tecnología </w:t>
      </w:r>
      <w:r w:rsidR="00320DD4">
        <w:rPr>
          <w:rFonts w:cs="Times New Roman"/>
          <w:color w:val="000000" w:themeColor="text1"/>
          <w:szCs w:val="20"/>
        </w:rPr>
        <w:t>facilita que</w:t>
      </w:r>
      <w:r w:rsidRPr="00825A25">
        <w:rPr>
          <w:rFonts w:cs="Times New Roman"/>
          <w:color w:val="000000" w:themeColor="text1"/>
          <w:szCs w:val="20"/>
        </w:rPr>
        <w:t xml:space="preserve"> los desarrolladores de productos </w:t>
      </w:r>
      <w:r w:rsidR="0035269F">
        <w:rPr>
          <w:rFonts w:cs="Times New Roman"/>
          <w:color w:val="000000" w:themeColor="text1"/>
          <w:szCs w:val="20"/>
        </w:rPr>
        <w:t xml:space="preserve">farmacéuticos </w:t>
      </w:r>
      <w:r w:rsidR="00320DD4">
        <w:rPr>
          <w:rFonts w:cs="Times New Roman"/>
          <w:color w:val="000000" w:themeColor="text1"/>
          <w:szCs w:val="20"/>
        </w:rPr>
        <w:t>crucen</w:t>
      </w:r>
      <w:r w:rsidRPr="00825A25">
        <w:rPr>
          <w:rFonts w:cs="Times New Roman"/>
          <w:color w:val="000000" w:themeColor="text1"/>
          <w:szCs w:val="20"/>
        </w:rPr>
        <w:t xml:space="preserve"> el Atlántico en ambas direcciones</w:t>
      </w:r>
      <w:r w:rsidR="00320DD4">
        <w:rPr>
          <w:rFonts w:cs="Times New Roman"/>
          <w:color w:val="000000" w:themeColor="text1"/>
          <w:szCs w:val="20"/>
        </w:rPr>
        <w:t>,</w:t>
      </w:r>
      <w:r w:rsidR="0035269F">
        <w:rPr>
          <w:rFonts w:cs="Times New Roman"/>
          <w:color w:val="000000" w:themeColor="text1"/>
          <w:szCs w:val="20"/>
        </w:rPr>
        <w:t xml:space="preserve"> </w:t>
      </w:r>
      <w:r w:rsidR="00320DD4">
        <w:rPr>
          <w:rFonts w:cs="Times New Roman"/>
          <w:color w:val="000000" w:themeColor="text1"/>
          <w:szCs w:val="20"/>
        </w:rPr>
        <w:t xml:space="preserve">pues </w:t>
      </w:r>
      <w:r w:rsidR="0035269F">
        <w:rPr>
          <w:rFonts w:cs="Times New Roman"/>
          <w:color w:val="000000" w:themeColor="text1"/>
          <w:szCs w:val="20"/>
        </w:rPr>
        <w:t>las</w:t>
      </w:r>
      <w:r w:rsidRPr="00825A25">
        <w:rPr>
          <w:rFonts w:cs="Times New Roman"/>
          <w:color w:val="000000" w:themeColor="text1"/>
          <w:szCs w:val="20"/>
        </w:rPr>
        <w:t xml:space="preserve"> decisiones regulatorias </w:t>
      </w:r>
      <w:r w:rsidR="0035269F">
        <w:rPr>
          <w:rFonts w:cs="Times New Roman"/>
          <w:color w:val="000000" w:themeColor="text1"/>
          <w:szCs w:val="20"/>
        </w:rPr>
        <w:t xml:space="preserve">de ambas autoridades </w:t>
      </w:r>
      <w:r w:rsidR="00320DD4">
        <w:rPr>
          <w:rFonts w:cs="Times New Roman"/>
          <w:color w:val="000000" w:themeColor="text1"/>
          <w:szCs w:val="20"/>
        </w:rPr>
        <w:t xml:space="preserve">estarán alineadas, </w:t>
      </w:r>
      <w:r w:rsidR="0035269F">
        <w:rPr>
          <w:rFonts w:cs="Times New Roman"/>
          <w:color w:val="000000" w:themeColor="text1"/>
          <w:szCs w:val="20"/>
        </w:rPr>
        <w:t xml:space="preserve">para beneficio de ambos países. </w:t>
      </w:r>
    </w:p>
    <w:p w14:paraId="3337D924" w14:textId="77777777" w:rsidR="004C0750" w:rsidRDefault="004C0750" w:rsidP="00825A25">
      <w:pPr>
        <w:rPr>
          <w:rFonts w:cs="Times New Roman"/>
          <w:color w:val="000000" w:themeColor="text1"/>
          <w:szCs w:val="20"/>
        </w:rPr>
      </w:pPr>
    </w:p>
    <w:p w14:paraId="020BE1FE" w14:textId="2DCC60B7" w:rsidR="00825A25" w:rsidRPr="00825A25" w:rsidRDefault="004C0750" w:rsidP="00825A25">
      <w:pPr>
        <w:rPr>
          <w:rFonts w:cs="Times New Roman"/>
          <w:color w:val="000000" w:themeColor="text1"/>
          <w:szCs w:val="20"/>
        </w:rPr>
      </w:pPr>
      <w:r>
        <w:rPr>
          <w:rFonts w:cs="Times New Roman"/>
          <w:color w:val="000000" w:themeColor="text1"/>
          <w:szCs w:val="20"/>
        </w:rPr>
        <w:t>E</w:t>
      </w:r>
      <w:r w:rsidR="00825A25" w:rsidRPr="00825A25">
        <w:rPr>
          <w:rFonts w:cs="Times New Roman"/>
          <w:color w:val="000000" w:themeColor="text1"/>
          <w:szCs w:val="20"/>
        </w:rPr>
        <w:t>n abril de 2026</w:t>
      </w:r>
      <w:r w:rsidR="00320DD4">
        <w:rPr>
          <w:rFonts w:cs="Times New Roman"/>
          <w:color w:val="000000" w:themeColor="text1"/>
          <w:szCs w:val="20"/>
        </w:rPr>
        <w:t>, EE UU y el Reino Unido llegaron a un</w:t>
      </w:r>
      <w:r w:rsidRPr="00825A25">
        <w:rPr>
          <w:rFonts w:cs="Times New Roman"/>
          <w:color w:val="000000" w:themeColor="text1"/>
          <w:szCs w:val="20"/>
        </w:rPr>
        <w:t xml:space="preserve"> acuerdo comercial </w:t>
      </w:r>
      <w:r w:rsidR="00320DD4">
        <w:rPr>
          <w:rFonts w:cs="Times New Roman"/>
          <w:color w:val="000000" w:themeColor="text1"/>
          <w:szCs w:val="20"/>
        </w:rPr>
        <w:t xml:space="preserve">por el que, </w:t>
      </w:r>
      <w:r w:rsidR="00320DD4" w:rsidRPr="00825A25">
        <w:rPr>
          <w:rFonts w:cs="Times New Roman"/>
          <w:color w:val="000000" w:themeColor="text1"/>
          <w:szCs w:val="20"/>
        </w:rPr>
        <w:t>a cambio de que el Reino Unido aumentara en un 25% el precio neto que el NHS paga por los nuevos medicamentos</w:t>
      </w:r>
      <w:r w:rsidR="00320DD4">
        <w:rPr>
          <w:rFonts w:cs="Times New Roman"/>
          <w:color w:val="000000" w:themeColor="text1"/>
          <w:szCs w:val="20"/>
        </w:rPr>
        <w:t>,</w:t>
      </w:r>
      <w:r w:rsidR="00320DD4" w:rsidRPr="00825A25">
        <w:rPr>
          <w:rFonts w:cs="Times New Roman"/>
          <w:color w:val="000000" w:themeColor="text1"/>
          <w:szCs w:val="20"/>
        </w:rPr>
        <w:t xml:space="preserve"> </w:t>
      </w:r>
      <w:r w:rsidR="00825A25" w:rsidRPr="00825A25">
        <w:rPr>
          <w:rFonts w:cs="Times New Roman"/>
          <w:color w:val="000000" w:themeColor="text1"/>
          <w:szCs w:val="20"/>
        </w:rPr>
        <w:t>garantizó la exención de aranceles para las exportaciones de medicamentos del Reino Unido a E</w:t>
      </w:r>
      <w:r w:rsidR="00C35E0C">
        <w:rPr>
          <w:rFonts w:cs="Times New Roman"/>
          <w:color w:val="000000" w:themeColor="text1"/>
          <w:szCs w:val="20"/>
        </w:rPr>
        <w:t xml:space="preserve">E </w:t>
      </w:r>
      <w:r w:rsidR="00825A25" w:rsidRPr="00825A25">
        <w:rPr>
          <w:rFonts w:cs="Times New Roman"/>
          <w:color w:val="000000" w:themeColor="text1"/>
          <w:szCs w:val="20"/>
        </w:rPr>
        <w:t>U</w:t>
      </w:r>
      <w:r w:rsidR="00C35E0C">
        <w:rPr>
          <w:rFonts w:cs="Times New Roman"/>
          <w:color w:val="000000" w:themeColor="text1"/>
          <w:szCs w:val="20"/>
        </w:rPr>
        <w:t>U</w:t>
      </w:r>
      <w:r w:rsidR="00825A25" w:rsidRPr="00825A25">
        <w:rPr>
          <w:rFonts w:cs="Times New Roman"/>
          <w:color w:val="000000" w:themeColor="text1"/>
          <w:szCs w:val="20"/>
        </w:rPr>
        <w:t>.</w:t>
      </w:r>
    </w:p>
    <w:p w14:paraId="5B080373" w14:textId="77777777" w:rsidR="00320DD4" w:rsidRDefault="00320DD4" w:rsidP="00320DD4">
      <w:pPr>
        <w:rPr>
          <w:rFonts w:cs="Times New Roman"/>
          <w:color w:val="000000" w:themeColor="text1"/>
          <w:szCs w:val="20"/>
        </w:rPr>
      </w:pPr>
    </w:p>
    <w:p w14:paraId="6C9793E6" w14:textId="4810AD67" w:rsidR="00320DD4" w:rsidRDefault="00320DD4" w:rsidP="00320DD4">
      <w:pPr>
        <w:rPr>
          <w:rFonts w:cs="Times New Roman"/>
          <w:color w:val="000000" w:themeColor="text1"/>
          <w:szCs w:val="20"/>
        </w:rPr>
      </w:pPr>
      <w:r w:rsidRPr="00320DD4">
        <w:rPr>
          <w:rFonts w:cs="Times New Roman"/>
          <w:color w:val="000000" w:themeColor="text1"/>
          <w:szCs w:val="20"/>
        </w:rPr>
        <w:t>Para dar forma a est</w:t>
      </w:r>
      <w:r>
        <w:rPr>
          <w:rFonts w:cs="Times New Roman"/>
          <w:color w:val="000000" w:themeColor="text1"/>
          <w:szCs w:val="20"/>
        </w:rPr>
        <w:t>a nueva estrategia</w:t>
      </w:r>
      <w:r w:rsidRPr="00320DD4">
        <w:rPr>
          <w:rFonts w:cs="Times New Roman"/>
          <w:color w:val="000000" w:themeColor="text1"/>
          <w:szCs w:val="20"/>
        </w:rPr>
        <w:t xml:space="preserve"> —</w:t>
      </w:r>
      <w:r>
        <w:rPr>
          <w:rFonts w:cs="Times New Roman"/>
          <w:color w:val="000000" w:themeColor="text1"/>
          <w:szCs w:val="20"/>
        </w:rPr>
        <w:t xml:space="preserve">que sustituirá </w:t>
      </w:r>
      <w:r w:rsidRPr="00320DD4">
        <w:rPr>
          <w:rFonts w:cs="Times New Roman"/>
          <w:color w:val="000000" w:themeColor="text1"/>
          <w:szCs w:val="20"/>
        </w:rPr>
        <w:t xml:space="preserve">la normativa sobre productos sanitarios (MDR) que actualmente regula la IA en el ámbito sanitario del Reino Unido—, la MHRA creó la Comisión Nacional sobre la Regulación de la IA en la Atención Sanitaria. Los resultados finales de la consulta sobre la configuración de las políticas para el futuro normativo de esta tecnología se publicaron el 11 de junio. De las 761 respuestas individuales </w:t>
      </w:r>
      <w:r>
        <w:rPr>
          <w:rFonts w:cs="Times New Roman"/>
          <w:color w:val="000000" w:themeColor="text1"/>
          <w:szCs w:val="20"/>
        </w:rPr>
        <w:t>que se recibieron</w:t>
      </w:r>
      <w:r w:rsidRPr="00320DD4">
        <w:rPr>
          <w:rFonts w:cs="Times New Roman"/>
          <w:color w:val="000000" w:themeColor="text1"/>
          <w:szCs w:val="20"/>
        </w:rPr>
        <w:t xml:space="preserve"> —entre ellas organismos del NHS, el sector industrial y el ámbito académico—, el 50% señaló que el marco actual para la IA requería una revisión sustancial, mientras que el 21% abogó por una reforma integral.</w:t>
      </w:r>
    </w:p>
    <w:p w14:paraId="77598C34" w14:textId="77777777" w:rsidR="00825A25" w:rsidRPr="00825A25" w:rsidRDefault="00825A25" w:rsidP="00825A25">
      <w:pPr>
        <w:rPr>
          <w:rFonts w:cs="Times New Roman"/>
          <w:color w:val="000000" w:themeColor="text1"/>
          <w:szCs w:val="20"/>
        </w:rPr>
      </w:pPr>
    </w:p>
    <w:p w14:paraId="372664E6" w14:textId="34A3BA75" w:rsidR="00825A25" w:rsidRPr="00CE066E" w:rsidRDefault="00825A25" w:rsidP="00825A25">
      <w:pPr>
        <w:rPr>
          <w:rFonts w:cs="Times New Roman"/>
          <w:b/>
          <w:bCs/>
          <w:color w:val="000000" w:themeColor="text1"/>
          <w:sz w:val="18"/>
          <w:szCs w:val="18"/>
          <w:lang w:val="en-US"/>
        </w:rPr>
      </w:pPr>
      <w:r w:rsidRPr="00CE066E">
        <w:rPr>
          <w:rFonts w:cs="Times New Roman"/>
          <w:b/>
          <w:bCs/>
          <w:color w:val="000000" w:themeColor="text1"/>
          <w:sz w:val="18"/>
          <w:szCs w:val="18"/>
          <w:lang w:val="en-US"/>
        </w:rPr>
        <w:t>Fuente Original:</w:t>
      </w:r>
    </w:p>
    <w:p w14:paraId="6DB04728" w14:textId="21E78332" w:rsidR="00825A25" w:rsidRDefault="00B942A4" w:rsidP="00320DD4">
      <w:pPr>
        <w:ind w:left="180" w:hanging="180"/>
        <w:rPr>
          <w:rFonts w:cs="Times New Roman"/>
          <w:color w:val="000000" w:themeColor="text1"/>
          <w:sz w:val="18"/>
          <w:szCs w:val="18"/>
        </w:rPr>
      </w:pPr>
      <w:r w:rsidRPr="00B942A4">
        <w:rPr>
          <w:rFonts w:cs="Times New Roman"/>
          <w:color w:val="000000" w:themeColor="text1"/>
          <w:sz w:val="18"/>
          <w:szCs w:val="18"/>
          <w:lang w:val="en-US"/>
        </w:rPr>
        <w:t>1.</w:t>
      </w:r>
      <w:r w:rsidR="00825A25" w:rsidRPr="00B942A4">
        <w:rPr>
          <w:rFonts w:cs="Times New Roman"/>
          <w:color w:val="000000" w:themeColor="text1"/>
          <w:sz w:val="18"/>
          <w:szCs w:val="18"/>
          <w:lang w:val="en-US"/>
        </w:rPr>
        <w:t>R Law</w:t>
      </w:r>
      <w:r w:rsidRPr="00B942A4">
        <w:rPr>
          <w:rFonts w:cs="Times New Roman"/>
          <w:color w:val="000000" w:themeColor="text1"/>
          <w:sz w:val="18"/>
          <w:szCs w:val="18"/>
          <w:lang w:val="en-US"/>
        </w:rPr>
        <w:t xml:space="preserve">. </w:t>
      </w:r>
      <w:r w:rsidRPr="00B942A4">
        <w:rPr>
          <w:rFonts w:cs="Times New Roman"/>
          <w:sz w:val="18"/>
          <w:szCs w:val="18"/>
          <w:lang w:val="en-US"/>
        </w:rPr>
        <w:t xml:space="preserve">FDA and MHRA forge new regulatory collaboration initiative. </w:t>
      </w:r>
      <w:proofErr w:type="spellStart"/>
      <w:r w:rsidRPr="00B942A4">
        <w:rPr>
          <w:rFonts w:cs="Times New Roman"/>
          <w:i/>
          <w:iCs/>
          <w:sz w:val="18"/>
          <w:szCs w:val="18"/>
        </w:rPr>
        <w:t>Pharmaceutical</w:t>
      </w:r>
      <w:proofErr w:type="spellEnd"/>
      <w:r w:rsidRPr="00B942A4">
        <w:rPr>
          <w:rFonts w:cs="Times New Roman"/>
          <w:i/>
          <w:iCs/>
          <w:sz w:val="18"/>
          <w:szCs w:val="18"/>
        </w:rPr>
        <w:t xml:space="preserve"> </w:t>
      </w:r>
      <w:proofErr w:type="spellStart"/>
      <w:r w:rsidRPr="00B942A4">
        <w:rPr>
          <w:rFonts w:cs="Times New Roman"/>
          <w:i/>
          <w:iCs/>
          <w:sz w:val="18"/>
          <w:szCs w:val="18"/>
        </w:rPr>
        <w:t>Technology</w:t>
      </w:r>
      <w:proofErr w:type="spellEnd"/>
      <w:r w:rsidRPr="00B942A4">
        <w:rPr>
          <w:rFonts w:cs="Times New Roman"/>
          <w:i/>
          <w:iCs/>
          <w:sz w:val="18"/>
          <w:szCs w:val="18"/>
        </w:rPr>
        <w:t>,</w:t>
      </w:r>
      <w:r w:rsidR="00825A25" w:rsidRPr="00B942A4">
        <w:rPr>
          <w:rFonts w:cs="Times New Roman"/>
          <w:color w:val="000000" w:themeColor="text1"/>
          <w:sz w:val="18"/>
          <w:szCs w:val="18"/>
        </w:rPr>
        <w:t xml:space="preserve"> 16 de junio de 2026</w:t>
      </w:r>
      <w:r>
        <w:rPr>
          <w:rFonts w:cs="Times New Roman"/>
          <w:color w:val="000000" w:themeColor="text1"/>
          <w:sz w:val="18"/>
          <w:szCs w:val="18"/>
        </w:rPr>
        <w:t xml:space="preserve"> </w:t>
      </w:r>
      <w:hyperlink r:id="rId31" w:history="1">
        <w:r w:rsidRPr="001F29B1">
          <w:rPr>
            <w:rStyle w:val="Hipervnculo"/>
            <w:rFonts w:cs="Times New Roman"/>
            <w:sz w:val="18"/>
            <w:szCs w:val="18"/>
          </w:rPr>
          <w:t>https://www.pharmaceutical-technology.com/newsletters/fda-and-mhra-forge-new-regulatory-collaboration-initiative/</w:t>
        </w:r>
      </w:hyperlink>
    </w:p>
    <w:p w14:paraId="59723157" w14:textId="77777777" w:rsidR="00E83A0B" w:rsidRDefault="00E83A0B" w:rsidP="00825A25">
      <w:pPr>
        <w:rPr>
          <w:rFonts w:cs="Times New Roman"/>
          <w:b/>
          <w:bCs/>
          <w:color w:val="000000" w:themeColor="text1"/>
          <w:szCs w:val="20"/>
        </w:rPr>
        <w:sectPr w:rsidR="00E83A0B" w:rsidSect="00E83A0B">
          <w:type w:val="continuous"/>
          <w:pgSz w:w="12240" w:h="15840" w:code="1"/>
          <w:pgMar w:top="720" w:right="720" w:bottom="720" w:left="720" w:header="288" w:footer="288" w:gutter="0"/>
          <w:cols w:num="2" w:space="288"/>
          <w:docGrid w:linePitch="360"/>
        </w:sectPr>
      </w:pPr>
    </w:p>
    <w:p w14:paraId="0F055204" w14:textId="50153A80" w:rsidR="00825A25" w:rsidRDefault="00825A25" w:rsidP="00825A25">
      <w:pPr>
        <w:rPr>
          <w:rFonts w:cs="Times New Roman"/>
          <w:b/>
          <w:bCs/>
          <w:color w:val="000000" w:themeColor="text1"/>
          <w:szCs w:val="20"/>
        </w:rPr>
      </w:pPr>
    </w:p>
    <w:p w14:paraId="095C9860" w14:textId="77777777" w:rsidR="00825A25" w:rsidRDefault="00825A25" w:rsidP="006C2547">
      <w:pPr>
        <w:jc w:val="center"/>
        <w:rPr>
          <w:rFonts w:cs="Times New Roman"/>
          <w:b/>
          <w:bCs/>
          <w:color w:val="000000" w:themeColor="text1"/>
          <w:szCs w:val="20"/>
        </w:rPr>
      </w:pPr>
    </w:p>
    <w:p w14:paraId="2C45FF96" w14:textId="3029C8AE" w:rsidR="00577220" w:rsidRPr="006C2547" w:rsidRDefault="006C2547" w:rsidP="006C2547">
      <w:pPr>
        <w:jc w:val="center"/>
        <w:rPr>
          <w:rFonts w:cs="Times New Roman"/>
          <w:b/>
          <w:bCs/>
          <w:color w:val="000000" w:themeColor="text1"/>
          <w:szCs w:val="20"/>
        </w:rPr>
      </w:pPr>
      <w:r w:rsidRPr="006C2547">
        <w:rPr>
          <w:rFonts w:cs="Times New Roman"/>
          <w:b/>
          <w:bCs/>
          <w:color w:val="000000" w:themeColor="text1"/>
          <w:szCs w:val="20"/>
        </w:rPr>
        <w:t xml:space="preserve">Designación de </w:t>
      </w:r>
      <w:r w:rsidR="002214F6">
        <w:rPr>
          <w:rFonts w:cs="Times New Roman"/>
          <w:b/>
          <w:bCs/>
          <w:color w:val="000000" w:themeColor="text1"/>
          <w:szCs w:val="20"/>
        </w:rPr>
        <w:t>m</w:t>
      </w:r>
      <w:r w:rsidRPr="006C2547">
        <w:rPr>
          <w:rFonts w:cs="Times New Roman"/>
          <w:b/>
          <w:bCs/>
          <w:color w:val="000000" w:themeColor="text1"/>
          <w:szCs w:val="20"/>
        </w:rPr>
        <w:t xml:space="preserve">edicamento </w:t>
      </w:r>
      <w:r w:rsidR="002214F6">
        <w:rPr>
          <w:rFonts w:cs="Times New Roman"/>
          <w:b/>
          <w:bCs/>
          <w:color w:val="000000" w:themeColor="text1"/>
          <w:szCs w:val="20"/>
        </w:rPr>
        <w:t>h</w:t>
      </w:r>
      <w:r w:rsidRPr="006C2547">
        <w:rPr>
          <w:rFonts w:cs="Times New Roman"/>
          <w:b/>
          <w:bCs/>
          <w:color w:val="000000" w:themeColor="text1"/>
          <w:szCs w:val="20"/>
        </w:rPr>
        <w:t xml:space="preserve">uérfano para </w:t>
      </w:r>
      <w:r w:rsidR="00320DD4">
        <w:rPr>
          <w:rFonts w:cs="Times New Roman"/>
          <w:b/>
          <w:bCs/>
          <w:color w:val="000000" w:themeColor="text1"/>
          <w:szCs w:val="20"/>
        </w:rPr>
        <w:t xml:space="preserve">los </w:t>
      </w:r>
      <w:r w:rsidR="002214F6">
        <w:rPr>
          <w:rFonts w:cs="Times New Roman"/>
          <w:b/>
          <w:bCs/>
          <w:color w:val="000000" w:themeColor="text1"/>
          <w:szCs w:val="20"/>
        </w:rPr>
        <w:t>fármac</w:t>
      </w:r>
      <w:r w:rsidRPr="006C2547">
        <w:rPr>
          <w:rFonts w:cs="Times New Roman"/>
          <w:b/>
          <w:bCs/>
          <w:color w:val="000000" w:themeColor="text1"/>
          <w:szCs w:val="20"/>
        </w:rPr>
        <w:t xml:space="preserve">os </w:t>
      </w:r>
      <w:r w:rsidR="002214F6">
        <w:rPr>
          <w:rFonts w:cs="Times New Roman"/>
          <w:b/>
          <w:bCs/>
          <w:color w:val="000000" w:themeColor="text1"/>
          <w:szCs w:val="20"/>
        </w:rPr>
        <w:t>a</w:t>
      </w:r>
      <w:r w:rsidRPr="006C2547">
        <w:rPr>
          <w:rFonts w:cs="Times New Roman"/>
          <w:b/>
          <w:bCs/>
          <w:color w:val="000000" w:themeColor="text1"/>
          <w:szCs w:val="20"/>
        </w:rPr>
        <w:t>probados en EE UU y la UE: Un Análisis Comparativo</w:t>
      </w:r>
    </w:p>
    <w:p w14:paraId="0AB07172" w14:textId="368BF080" w:rsidR="00577220" w:rsidRPr="006C2547" w:rsidRDefault="00577220" w:rsidP="006C2547">
      <w:pPr>
        <w:jc w:val="center"/>
        <w:rPr>
          <w:rFonts w:cs="Times New Roman"/>
          <w:i/>
          <w:iCs/>
          <w:color w:val="000000" w:themeColor="text1"/>
          <w:szCs w:val="20"/>
          <w:lang w:val="en-US"/>
        </w:rPr>
      </w:pPr>
      <w:r w:rsidRPr="006C2547">
        <w:rPr>
          <w:rFonts w:cs="Times New Roman"/>
          <w:i/>
          <w:iCs/>
          <w:color w:val="000000" w:themeColor="text1"/>
          <w:szCs w:val="20"/>
          <w:lang w:val="en-US"/>
        </w:rPr>
        <w:t>(Orphan Designation for Drugs Approved in the United States and European Union: A</w:t>
      </w:r>
      <w:r w:rsidR="002334B2">
        <w:rPr>
          <w:rFonts w:cs="Times New Roman"/>
          <w:i/>
          <w:iCs/>
          <w:color w:val="000000" w:themeColor="text1"/>
          <w:szCs w:val="20"/>
          <w:lang w:val="en-US"/>
        </w:rPr>
        <w:t xml:space="preserve"> </w:t>
      </w:r>
      <w:r w:rsidRPr="006C2547">
        <w:rPr>
          <w:rFonts w:cs="Times New Roman"/>
          <w:i/>
          <w:iCs/>
          <w:color w:val="000000" w:themeColor="text1"/>
          <w:szCs w:val="20"/>
          <w:lang w:val="en-US"/>
        </w:rPr>
        <w:t>Comparative Analysis)</w:t>
      </w:r>
    </w:p>
    <w:p w14:paraId="56236B3A" w14:textId="481A77F9" w:rsidR="00577220" w:rsidRPr="00C07879" w:rsidRDefault="000B57E9" w:rsidP="006C2547">
      <w:pPr>
        <w:jc w:val="center"/>
        <w:rPr>
          <w:rFonts w:cs="Times New Roman"/>
          <w:color w:val="000000" w:themeColor="text1"/>
          <w:szCs w:val="20"/>
          <w:lang w:val="pt-BR"/>
        </w:rPr>
      </w:pPr>
      <w:r w:rsidRPr="00C07879">
        <w:rPr>
          <w:rFonts w:cs="Times New Roman"/>
          <w:color w:val="000000" w:themeColor="text1"/>
          <w:szCs w:val="20"/>
          <w:lang w:val="pt-BR"/>
        </w:rPr>
        <w:t xml:space="preserve">E </w:t>
      </w:r>
      <w:r w:rsidR="00577220" w:rsidRPr="00C07879">
        <w:rPr>
          <w:rFonts w:cs="Times New Roman"/>
          <w:color w:val="000000" w:themeColor="text1"/>
          <w:szCs w:val="20"/>
          <w:lang w:val="pt-BR"/>
        </w:rPr>
        <w:t xml:space="preserve">Costa, </w:t>
      </w:r>
      <w:r w:rsidRPr="00C07879">
        <w:rPr>
          <w:rFonts w:cs="Times New Roman"/>
          <w:color w:val="000000" w:themeColor="text1"/>
          <w:szCs w:val="20"/>
          <w:lang w:val="pt-BR"/>
        </w:rPr>
        <w:t xml:space="preserve">JS </w:t>
      </w:r>
      <w:r w:rsidR="00577220" w:rsidRPr="00C07879">
        <w:rPr>
          <w:rFonts w:cs="Times New Roman"/>
          <w:color w:val="000000" w:themeColor="text1"/>
          <w:szCs w:val="20"/>
          <w:lang w:val="pt-BR"/>
        </w:rPr>
        <w:t>Ross</w:t>
      </w:r>
      <w:r w:rsidR="00FD38B8">
        <w:rPr>
          <w:rFonts w:cs="Times New Roman"/>
          <w:color w:val="000000" w:themeColor="text1"/>
          <w:szCs w:val="20"/>
          <w:lang w:val="pt-BR"/>
        </w:rPr>
        <w:t xml:space="preserve"> y</w:t>
      </w:r>
      <w:r w:rsidR="00320DD4">
        <w:rPr>
          <w:rFonts w:cs="Times New Roman"/>
          <w:color w:val="000000" w:themeColor="text1"/>
          <w:szCs w:val="20"/>
          <w:lang w:val="pt-BR"/>
        </w:rPr>
        <w:t xml:space="preserve"> </w:t>
      </w:r>
      <w:r w:rsidRPr="00C07879">
        <w:rPr>
          <w:rFonts w:cs="Times New Roman"/>
          <w:color w:val="000000" w:themeColor="text1"/>
          <w:szCs w:val="20"/>
          <w:lang w:val="pt-BR"/>
        </w:rPr>
        <w:t xml:space="preserve">AS </w:t>
      </w:r>
      <w:proofErr w:type="spellStart"/>
      <w:r w:rsidR="00577220" w:rsidRPr="00C07879">
        <w:rPr>
          <w:rFonts w:cs="Times New Roman"/>
          <w:color w:val="000000" w:themeColor="text1"/>
          <w:szCs w:val="20"/>
          <w:lang w:val="pt-BR"/>
        </w:rPr>
        <w:t>Kesselheim</w:t>
      </w:r>
      <w:proofErr w:type="spellEnd"/>
    </w:p>
    <w:p w14:paraId="229A2805" w14:textId="6A7DB8F7" w:rsidR="00577220" w:rsidRPr="00C07879" w:rsidRDefault="00577220" w:rsidP="006C2547">
      <w:pPr>
        <w:jc w:val="center"/>
        <w:rPr>
          <w:rFonts w:cs="Times New Roman"/>
          <w:color w:val="000000" w:themeColor="text1"/>
          <w:szCs w:val="20"/>
          <w:lang w:val="en-US"/>
        </w:rPr>
      </w:pPr>
      <w:r w:rsidRPr="00577220">
        <w:rPr>
          <w:rFonts w:cs="Times New Roman"/>
          <w:i/>
          <w:iCs/>
          <w:color w:val="000000" w:themeColor="text1"/>
          <w:szCs w:val="20"/>
          <w:lang w:val="en-US"/>
        </w:rPr>
        <w:t xml:space="preserve">Clin </w:t>
      </w:r>
      <w:proofErr w:type="spellStart"/>
      <w:r w:rsidRPr="00577220">
        <w:rPr>
          <w:rFonts w:cs="Times New Roman"/>
          <w:i/>
          <w:iCs/>
          <w:color w:val="000000" w:themeColor="text1"/>
          <w:szCs w:val="20"/>
          <w:lang w:val="en-US"/>
        </w:rPr>
        <w:t>Pharmacol</w:t>
      </w:r>
      <w:proofErr w:type="spellEnd"/>
      <w:r w:rsidRPr="00577220">
        <w:rPr>
          <w:rFonts w:cs="Times New Roman"/>
          <w:i/>
          <w:iCs/>
          <w:color w:val="000000" w:themeColor="text1"/>
          <w:szCs w:val="20"/>
          <w:lang w:val="en-US"/>
        </w:rPr>
        <w:t xml:space="preserve"> </w:t>
      </w:r>
      <w:proofErr w:type="spellStart"/>
      <w:r w:rsidRPr="00577220">
        <w:rPr>
          <w:rFonts w:cs="Times New Roman"/>
          <w:i/>
          <w:iCs/>
          <w:color w:val="000000" w:themeColor="text1"/>
          <w:szCs w:val="20"/>
          <w:lang w:val="en-US"/>
        </w:rPr>
        <w:t>Ther</w:t>
      </w:r>
      <w:proofErr w:type="spellEnd"/>
      <w:r w:rsidRPr="00577220">
        <w:rPr>
          <w:rFonts w:cs="Times New Roman"/>
          <w:i/>
          <w:iCs/>
          <w:color w:val="000000" w:themeColor="text1"/>
          <w:szCs w:val="20"/>
          <w:lang w:val="en-US"/>
        </w:rPr>
        <w:t>,</w:t>
      </w:r>
      <w:r w:rsidRPr="00577220">
        <w:rPr>
          <w:rFonts w:cs="Times New Roman"/>
          <w:color w:val="000000" w:themeColor="text1"/>
          <w:szCs w:val="20"/>
          <w:lang w:val="en-US"/>
        </w:rPr>
        <w:t xml:space="preserve"> </w:t>
      </w:r>
      <w:r>
        <w:rPr>
          <w:rFonts w:cs="Times New Roman"/>
          <w:color w:val="000000" w:themeColor="text1"/>
          <w:szCs w:val="20"/>
          <w:lang w:val="en-US"/>
        </w:rPr>
        <w:t xml:space="preserve">2026; </w:t>
      </w:r>
      <w:r w:rsidRPr="00577220">
        <w:rPr>
          <w:rFonts w:cs="Times New Roman"/>
          <w:color w:val="000000" w:themeColor="text1"/>
          <w:szCs w:val="20"/>
          <w:lang w:val="en-US"/>
        </w:rPr>
        <w:t>120: 713-720.</w:t>
      </w:r>
      <w:r w:rsidR="002334B2">
        <w:rPr>
          <w:rFonts w:cs="Times New Roman"/>
          <w:color w:val="000000" w:themeColor="text1"/>
          <w:szCs w:val="20"/>
          <w:lang w:val="en-US"/>
        </w:rPr>
        <w:t xml:space="preserve"> </w:t>
      </w:r>
      <w:hyperlink r:id="rId32" w:history="1">
        <w:r w:rsidRPr="00C07879">
          <w:rPr>
            <w:rStyle w:val="Hipervnculo"/>
            <w:rFonts w:cs="Times New Roman"/>
            <w:szCs w:val="20"/>
            <w:lang w:val="en-US"/>
          </w:rPr>
          <w:t>https://doi.org/10.1002/cpt.70349</w:t>
        </w:r>
      </w:hyperlink>
    </w:p>
    <w:p w14:paraId="3739F0D6" w14:textId="77777777" w:rsidR="006C2547" w:rsidRDefault="006C2547" w:rsidP="006C2547">
      <w:pPr>
        <w:jc w:val="center"/>
      </w:pPr>
      <w:r>
        <w:rPr>
          <w:rFonts w:eastAsia="Times New Roman" w:cs="Times New Roman"/>
          <w:szCs w:val="20"/>
        </w:rPr>
        <w:t xml:space="preserve">Traducido por Salud y Fármacos, publicado en </w:t>
      </w:r>
      <w:r w:rsidRPr="00CA5ACC">
        <w:rPr>
          <w:rFonts w:cs="Times New Roman"/>
          <w:i/>
          <w:iCs/>
          <w:szCs w:val="20"/>
        </w:rPr>
        <w:t>Boletín Fármacos</w:t>
      </w:r>
      <w:r w:rsidRPr="00734AA9">
        <w:rPr>
          <w:rFonts w:cs="Times New Roman"/>
          <w:i/>
          <w:szCs w:val="20"/>
          <w:lang w:val="es-ES"/>
        </w:rPr>
        <w:t xml:space="preserve">: </w:t>
      </w:r>
      <w:r>
        <w:rPr>
          <w:rFonts w:cs="Times New Roman"/>
          <w:i/>
          <w:szCs w:val="20"/>
          <w:lang w:val="es-ES"/>
        </w:rPr>
        <w:t>Agencias Reguladoras</w:t>
      </w:r>
      <w:r w:rsidRPr="00A82C9C">
        <w:rPr>
          <w:rFonts w:eastAsia="Times New Roman" w:cs="Times New Roman"/>
          <w:bCs/>
          <w:i/>
          <w:iCs/>
          <w:color w:val="000000" w:themeColor="text1"/>
          <w:szCs w:val="16"/>
          <w:lang w:val="es-ES"/>
        </w:rPr>
        <w:t xml:space="preserve"> 202</w:t>
      </w:r>
      <w:r>
        <w:rPr>
          <w:rFonts w:eastAsia="Times New Roman" w:cs="Times New Roman"/>
          <w:bCs/>
          <w:i/>
          <w:iCs/>
          <w:color w:val="000000" w:themeColor="text1"/>
          <w:szCs w:val="16"/>
          <w:lang w:val="es-ES"/>
        </w:rPr>
        <w:t>6</w:t>
      </w:r>
      <w:r w:rsidRPr="00A82C9C">
        <w:rPr>
          <w:rFonts w:eastAsia="Times New Roman" w:cs="Times New Roman"/>
          <w:bCs/>
          <w:i/>
          <w:iCs/>
          <w:color w:val="000000" w:themeColor="text1"/>
          <w:szCs w:val="16"/>
          <w:lang w:val="es-ES"/>
        </w:rPr>
        <w:t>; 2</w:t>
      </w:r>
      <w:r>
        <w:rPr>
          <w:rFonts w:eastAsia="Times New Roman" w:cs="Times New Roman"/>
          <w:bCs/>
          <w:i/>
          <w:iCs/>
          <w:color w:val="000000" w:themeColor="text1"/>
          <w:szCs w:val="16"/>
          <w:lang w:val="es-ES"/>
        </w:rPr>
        <w:t>9</w:t>
      </w:r>
      <w:r w:rsidRPr="00A82C9C">
        <w:rPr>
          <w:rFonts w:eastAsia="Times New Roman" w:cs="Times New Roman"/>
          <w:bCs/>
          <w:i/>
          <w:iCs/>
          <w:color w:val="000000" w:themeColor="text1"/>
          <w:szCs w:val="16"/>
          <w:lang w:val="es-ES"/>
        </w:rPr>
        <w:t>(</w:t>
      </w:r>
      <w:r>
        <w:rPr>
          <w:rFonts w:eastAsia="Times New Roman" w:cs="Times New Roman"/>
          <w:bCs/>
          <w:i/>
          <w:iCs/>
          <w:color w:val="000000" w:themeColor="text1"/>
          <w:szCs w:val="16"/>
          <w:lang w:val="es-ES"/>
        </w:rPr>
        <w:t>3</w:t>
      </w:r>
      <w:r w:rsidRPr="00A82C9C">
        <w:rPr>
          <w:rFonts w:eastAsia="Times New Roman" w:cs="Times New Roman"/>
          <w:bCs/>
          <w:i/>
          <w:iCs/>
          <w:color w:val="000000" w:themeColor="text1"/>
          <w:szCs w:val="16"/>
          <w:lang w:val="es-ES"/>
        </w:rPr>
        <w:t>)</w:t>
      </w:r>
    </w:p>
    <w:p w14:paraId="44D911EA" w14:textId="77777777" w:rsidR="006C2547" w:rsidRDefault="006C2547" w:rsidP="006C2547">
      <w:pPr>
        <w:rPr>
          <w:color w:val="000000" w:themeColor="text1"/>
        </w:rPr>
      </w:pPr>
    </w:p>
    <w:p w14:paraId="614662B7" w14:textId="77777777" w:rsidR="00E83A0B" w:rsidRDefault="00E83A0B" w:rsidP="006C2547">
      <w:pPr>
        <w:rPr>
          <w:b/>
          <w:bCs/>
          <w:color w:val="000000" w:themeColor="text1"/>
          <w:sz w:val="18"/>
          <w:szCs w:val="22"/>
        </w:rPr>
        <w:sectPr w:rsidR="00E83A0B" w:rsidSect="00F25512">
          <w:type w:val="continuous"/>
          <w:pgSz w:w="12240" w:h="15840" w:code="1"/>
          <w:pgMar w:top="720" w:right="720" w:bottom="720" w:left="720" w:header="288" w:footer="288" w:gutter="0"/>
          <w:cols w:space="288"/>
          <w:docGrid w:linePitch="360"/>
        </w:sectPr>
      </w:pPr>
    </w:p>
    <w:p w14:paraId="5BF3B90E" w14:textId="3A7979E7" w:rsidR="00FD457F" w:rsidRPr="00A55A0F" w:rsidRDefault="006C2547" w:rsidP="006C2547">
      <w:pPr>
        <w:rPr>
          <w:rFonts w:cs="Times New Roman"/>
          <w:color w:val="000000" w:themeColor="text1"/>
          <w:szCs w:val="20"/>
        </w:rPr>
      </w:pPr>
      <w:r w:rsidRPr="00753CDC">
        <w:rPr>
          <w:b/>
          <w:bCs/>
          <w:color w:val="000000" w:themeColor="text1"/>
          <w:sz w:val="18"/>
          <w:szCs w:val="22"/>
        </w:rPr>
        <w:t>Tags:</w:t>
      </w:r>
      <w:r w:rsidR="00A55A0F">
        <w:rPr>
          <w:b/>
          <w:bCs/>
          <w:color w:val="000000" w:themeColor="text1"/>
          <w:sz w:val="18"/>
          <w:szCs w:val="22"/>
        </w:rPr>
        <w:t xml:space="preserve"> </w:t>
      </w:r>
      <w:r w:rsidR="00A55A0F" w:rsidRPr="000B57E9">
        <w:rPr>
          <w:rFonts w:cs="Times New Roman"/>
          <w:b/>
          <w:bCs/>
          <w:sz w:val="18"/>
          <w:szCs w:val="18"/>
        </w:rPr>
        <w:t>medicamentos y enfermedades raras, aprobaci</w:t>
      </w:r>
      <w:r w:rsidR="000B57E9" w:rsidRPr="000B57E9">
        <w:rPr>
          <w:rFonts w:cs="Times New Roman"/>
          <w:b/>
          <w:bCs/>
          <w:sz w:val="18"/>
          <w:szCs w:val="18"/>
        </w:rPr>
        <w:t>ón</w:t>
      </w:r>
      <w:r w:rsidR="00A55A0F" w:rsidRPr="000B57E9">
        <w:rPr>
          <w:rFonts w:cs="Times New Roman"/>
          <w:b/>
          <w:bCs/>
          <w:sz w:val="18"/>
          <w:szCs w:val="18"/>
        </w:rPr>
        <w:t xml:space="preserve"> de nuevos fármacos</w:t>
      </w:r>
      <w:r w:rsidR="000B57E9" w:rsidRPr="000B57E9">
        <w:rPr>
          <w:rFonts w:cs="Times New Roman"/>
          <w:b/>
          <w:bCs/>
          <w:sz w:val="18"/>
          <w:szCs w:val="18"/>
        </w:rPr>
        <w:t>, designación Medicamento Huérfano</w:t>
      </w:r>
    </w:p>
    <w:p w14:paraId="651D0208" w14:textId="77777777" w:rsidR="00577220" w:rsidRPr="00A55A0F" w:rsidRDefault="00577220" w:rsidP="00782294">
      <w:pPr>
        <w:rPr>
          <w:rFonts w:cs="Times New Roman"/>
          <w:color w:val="000000" w:themeColor="text1"/>
          <w:szCs w:val="20"/>
        </w:rPr>
      </w:pPr>
    </w:p>
    <w:p w14:paraId="70F607C4" w14:textId="77777777" w:rsidR="002214F6" w:rsidRPr="002214F6" w:rsidRDefault="002214F6" w:rsidP="002214F6">
      <w:pPr>
        <w:rPr>
          <w:rFonts w:cs="Times New Roman"/>
          <w:b/>
          <w:bCs/>
          <w:szCs w:val="20"/>
        </w:rPr>
      </w:pPr>
      <w:r w:rsidRPr="002214F6">
        <w:rPr>
          <w:rFonts w:cs="Times New Roman"/>
          <w:b/>
          <w:bCs/>
          <w:szCs w:val="20"/>
        </w:rPr>
        <w:t>Resumen</w:t>
      </w:r>
    </w:p>
    <w:p w14:paraId="2520992B" w14:textId="77777777" w:rsidR="00320DD4" w:rsidRDefault="002214F6" w:rsidP="002214F6">
      <w:pPr>
        <w:rPr>
          <w:rFonts w:cs="Times New Roman"/>
          <w:szCs w:val="20"/>
        </w:rPr>
      </w:pPr>
      <w:r w:rsidRPr="002214F6">
        <w:rPr>
          <w:rFonts w:cs="Times New Roman"/>
          <w:szCs w:val="20"/>
        </w:rPr>
        <w:t>Los medicamentos para enfermedades raras representan una parte significativa de las aprobaciones de nuevos fármacos, pero</w:t>
      </w:r>
      <w:r w:rsidR="00320DD4">
        <w:rPr>
          <w:rFonts w:cs="Times New Roman"/>
          <w:szCs w:val="20"/>
        </w:rPr>
        <w:t xml:space="preserve"> los criterios que utilizan</w:t>
      </w:r>
      <w:r w:rsidRPr="002214F6">
        <w:rPr>
          <w:rFonts w:cs="Times New Roman"/>
          <w:szCs w:val="20"/>
        </w:rPr>
        <w:t xml:space="preserve"> E</w:t>
      </w:r>
      <w:r>
        <w:rPr>
          <w:rFonts w:cs="Times New Roman"/>
          <w:szCs w:val="20"/>
        </w:rPr>
        <w:t xml:space="preserve">E </w:t>
      </w:r>
      <w:r w:rsidRPr="002214F6">
        <w:rPr>
          <w:rFonts w:cs="Times New Roman"/>
          <w:szCs w:val="20"/>
        </w:rPr>
        <w:t>U</w:t>
      </w:r>
      <w:r>
        <w:rPr>
          <w:rFonts w:cs="Times New Roman"/>
          <w:szCs w:val="20"/>
        </w:rPr>
        <w:t>U</w:t>
      </w:r>
      <w:r w:rsidRPr="002214F6">
        <w:rPr>
          <w:rFonts w:cs="Times New Roman"/>
          <w:szCs w:val="20"/>
        </w:rPr>
        <w:t xml:space="preserve"> y la Unión Europea (UE) para </w:t>
      </w:r>
      <w:r w:rsidR="00320DD4">
        <w:rPr>
          <w:rFonts w:cs="Times New Roman"/>
          <w:szCs w:val="20"/>
        </w:rPr>
        <w:t xml:space="preserve">otorgar </w:t>
      </w:r>
      <w:r w:rsidRPr="002214F6">
        <w:rPr>
          <w:rFonts w:cs="Times New Roman"/>
          <w:szCs w:val="20"/>
        </w:rPr>
        <w:t>la designación de Medicamento Huérfano</w:t>
      </w:r>
      <w:r w:rsidR="00320DD4">
        <w:rPr>
          <w:rFonts w:cs="Times New Roman"/>
          <w:szCs w:val="20"/>
        </w:rPr>
        <w:t xml:space="preserve"> son diferentes</w:t>
      </w:r>
      <w:r w:rsidRPr="002214F6">
        <w:rPr>
          <w:rFonts w:cs="Times New Roman"/>
          <w:szCs w:val="20"/>
        </w:rPr>
        <w:t xml:space="preserve">, lo que afecta las tasas </w:t>
      </w:r>
      <w:r w:rsidR="00320DD4">
        <w:rPr>
          <w:rFonts w:cs="Times New Roman"/>
          <w:szCs w:val="20"/>
        </w:rPr>
        <w:t>que se pagan al presentar la</w:t>
      </w:r>
      <w:r w:rsidRPr="002214F6">
        <w:rPr>
          <w:rFonts w:cs="Times New Roman"/>
          <w:szCs w:val="20"/>
        </w:rPr>
        <w:t xml:space="preserve"> solicitud y </w:t>
      </w:r>
      <w:r w:rsidR="00320DD4">
        <w:rPr>
          <w:rFonts w:cs="Times New Roman"/>
          <w:szCs w:val="20"/>
        </w:rPr>
        <w:t xml:space="preserve">la </w:t>
      </w:r>
      <w:r w:rsidRPr="002214F6">
        <w:rPr>
          <w:rFonts w:cs="Times New Roman"/>
          <w:szCs w:val="20"/>
        </w:rPr>
        <w:t xml:space="preserve">exclusividad </w:t>
      </w:r>
      <w:r w:rsidR="00320DD4">
        <w:rPr>
          <w:rFonts w:cs="Times New Roman"/>
          <w:szCs w:val="20"/>
        </w:rPr>
        <w:t>en el</w:t>
      </w:r>
      <w:r w:rsidRPr="002214F6">
        <w:rPr>
          <w:rFonts w:cs="Times New Roman"/>
          <w:szCs w:val="20"/>
        </w:rPr>
        <w:t xml:space="preserve"> mercado. </w:t>
      </w:r>
    </w:p>
    <w:p w14:paraId="2A435DE6" w14:textId="77777777" w:rsidR="00320DD4" w:rsidRDefault="00320DD4" w:rsidP="002214F6">
      <w:pPr>
        <w:rPr>
          <w:rFonts w:cs="Times New Roman"/>
          <w:szCs w:val="20"/>
        </w:rPr>
      </w:pPr>
    </w:p>
    <w:p w14:paraId="1822E65A" w14:textId="7E97C19B" w:rsidR="00F31C85" w:rsidRDefault="002214F6" w:rsidP="002214F6">
      <w:pPr>
        <w:rPr>
          <w:rFonts w:cs="Times New Roman"/>
          <w:szCs w:val="20"/>
        </w:rPr>
      </w:pPr>
      <w:r w:rsidRPr="002214F6">
        <w:rPr>
          <w:rFonts w:cs="Times New Roman"/>
          <w:szCs w:val="20"/>
        </w:rPr>
        <w:t>Este estudio transversal analizó las primeras aprobaciones de medicamentos para enfermedades raras en E</w:t>
      </w:r>
      <w:r w:rsidR="00F31C85">
        <w:rPr>
          <w:rFonts w:cs="Times New Roman"/>
          <w:szCs w:val="20"/>
        </w:rPr>
        <w:t>E</w:t>
      </w:r>
      <w:r w:rsidRPr="002214F6">
        <w:rPr>
          <w:rFonts w:cs="Times New Roman"/>
          <w:szCs w:val="20"/>
        </w:rPr>
        <w:t xml:space="preserve"> U</w:t>
      </w:r>
      <w:r w:rsidR="00F31C85">
        <w:rPr>
          <w:rFonts w:cs="Times New Roman"/>
          <w:szCs w:val="20"/>
        </w:rPr>
        <w:t>U</w:t>
      </w:r>
      <w:r w:rsidRPr="002214F6">
        <w:rPr>
          <w:rFonts w:cs="Times New Roman"/>
          <w:szCs w:val="20"/>
        </w:rPr>
        <w:t xml:space="preserve"> y la UE entre 2011 y 2020</w:t>
      </w:r>
      <w:r w:rsidR="00320DD4">
        <w:rPr>
          <w:rFonts w:cs="Times New Roman"/>
          <w:szCs w:val="20"/>
        </w:rPr>
        <w:t>,</w:t>
      </w:r>
      <w:r w:rsidRPr="002214F6">
        <w:rPr>
          <w:rFonts w:cs="Times New Roman"/>
          <w:szCs w:val="20"/>
        </w:rPr>
        <w:t xml:space="preserve"> </w:t>
      </w:r>
      <w:r w:rsidR="00320DD4">
        <w:rPr>
          <w:rFonts w:cs="Times New Roman"/>
          <w:szCs w:val="20"/>
        </w:rPr>
        <w:t xml:space="preserve">a partir de </w:t>
      </w:r>
      <w:r w:rsidR="00F31C85">
        <w:rPr>
          <w:rFonts w:cs="Times New Roman"/>
          <w:szCs w:val="20"/>
        </w:rPr>
        <w:t>la información</w:t>
      </w:r>
      <w:r w:rsidRPr="002214F6">
        <w:rPr>
          <w:rFonts w:cs="Times New Roman"/>
          <w:szCs w:val="20"/>
        </w:rPr>
        <w:t xml:space="preserve"> de las bases de datos d</w:t>
      </w:r>
      <w:r w:rsidR="00F31C85">
        <w:rPr>
          <w:rFonts w:cs="Times New Roman"/>
          <w:szCs w:val="20"/>
        </w:rPr>
        <w:t xml:space="preserve">e la </w:t>
      </w:r>
      <w:r w:rsidRPr="002214F6">
        <w:rPr>
          <w:rFonts w:cs="Times New Roman"/>
          <w:szCs w:val="20"/>
        </w:rPr>
        <w:t xml:space="preserve">FDA y la EMA, </w:t>
      </w:r>
      <w:r w:rsidR="00320DD4">
        <w:rPr>
          <w:rFonts w:cs="Times New Roman"/>
          <w:szCs w:val="20"/>
        </w:rPr>
        <w:t xml:space="preserve">y </w:t>
      </w:r>
      <w:r w:rsidRPr="002214F6">
        <w:rPr>
          <w:rFonts w:cs="Times New Roman"/>
          <w:szCs w:val="20"/>
        </w:rPr>
        <w:t>describ</w:t>
      </w:r>
      <w:r w:rsidR="00320DD4">
        <w:rPr>
          <w:rFonts w:cs="Times New Roman"/>
          <w:szCs w:val="20"/>
        </w:rPr>
        <w:t xml:space="preserve">e </w:t>
      </w:r>
      <w:r w:rsidRPr="002214F6">
        <w:rPr>
          <w:rFonts w:cs="Times New Roman"/>
          <w:szCs w:val="20"/>
        </w:rPr>
        <w:t xml:space="preserve">las similitudes y </w:t>
      </w:r>
      <w:r w:rsidR="00F31C85">
        <w:rPr>
          <w:rFonts w:cs="Times New Roman"/>
          <w:szCs w:val="20"/>
        </w:rPr>
        <w:t xml:space="preserve">las </w:t>
      </w:r>
      <w:r w:rsidRPr="002214F6">
        <w:rPr>
          <w:rFonts w:cs="Times New Roman"/>
          <w:szCs w:val="20"/>
        </w:rPr>
        <w:t xml:space="preserve">diferencias en la forma en que ambas regiones otorgan la designación de Medicamento Huérfano. </w:t>
      </w:r>
    </w:p>
    <w:p w14:paraId="2AA3105C" w14:textId="77777777" w:rsidR="00F31C85" w:rsidRDefault="00F31C85" w:rsidP="002214F6">
      <w:pPr>
        <w:rPr>
          <w:rFonts w:cs="Times New Roman"/>
          <w:szCs w:val="20"/>
        </w:rPr>
      </w:pPr>
    </w:p>
    <w:p w14:paraId="0CB2D545" w14:textId="77777777" w:rsidR="0085120F" w:rsidRDefault="002214F6" w:rsidP="002214F6">
      <w:pPr>
        <w:rPr>
          <w:rFonts w:cs="Times New Roman"/>
          <w:szCs w:val="20"/>
        </w:rPr>
      </w:pPr>
      <w:r w:rsidRPr="002214F6">
        <w:rPr>
          <w:rFonts w:cs="Times New Roman"/>
          <w:szCs w:val="20"/>
        </w:rPr>
        <w:t>De 344 aprobaciones de medicamentos para enfermedades raras, 336 (97,7%) fueron autorizadas por la FDA con la designación de Medicamento Huérfano, y 139 (40,4%) por la EMA con la misma designación</w:t>
      </w:r>
      <w:r w:rsidR="00744EAA">
        <w:rPr>
          <w:rFonts w:cs="Times New Roman"/>
          <w:szCs w:val="20"/>
        </w:rPr>
        <w:t>;</w:t>
      </w:r>
      <w:r w:rsidRPr="002214F6">
        <w:rPr>
          <w:rFonts w:cs="Times New Roman"/>
          <w:szCs w:val="20"/>
        </w:rPr>
        <w:t xml:space="preserve"> 131 (38,1%) </w:t>
      </w:r>
      <w:r w:rsidR="00744EAA">
        <w:rPr>
          <w:rFonts w:cs="Times New Roman"/>
          <w:szCs w:val="20"/>
        </w:rPr>
        <w:t xml:space="preserve">[de las </w:t>
      </w:r>
      <w:r w:rsidR="00744EAA" w:rsidRPr="002214F6">
        <w:rPr>
          <w:rFonts w:cs="Times New Roman"/>
          <w:szCs w:val="20"/>
        </w:rPr>
        <w:t>aprobaciones de medicamentos</w:t>
      </w:r>
      <w:r w:rsidR="00744EAA">
        <w:rPr>
          <w:rFonts w:cs="Times New Roman"/>
          <w:szCs w:val="20"/>
        </w:rPr>
        <w:t xml:space="preserve">] </w:t>
      </w:r>
      <w:r w:rsidRPr="002214F6">
        <w:rPr>
          <w:rFonts w:cs="Times New Roman"/>
          <w:szCs w:val="20"/>
        </w:rPr>
        <w:t xml:space="preserve">fueron autorizados con la designación de </w:t>
      </w:r>
      <w:r w:rsidRPr="002214F6">
        <w:rPr>
          <w:rFonts w:cs="Times New Roman"/>
          <w:szCs w:val="20"/>
        </w:rPr>
        <w:t xml:space="preserve">medicamento huérfano tanto por la FDA como por la EMA, mientras que 103 (29,9%) fueron aprobados en la UE sin esta designación. </w:t>
      </w:r>
    </w:p>
    <w:p w14:paraId="4C105DDA" w14:textId="77777777" w:rsidR="0085120F" w:rsidRDefault="0085120F" w:rsidP="002214F6">
      <w:pPr>
        <w:rPr>
          <w:rFonts w:cs="Times New Roman"/>
          <w:szCs w:val="20"/>
        </w:rPr>
      </w:pPr>
    </w:p>
    <w:p w14:paraId="13ED7166" w14:textId="77777777" w:rsidR="00C10FFE" w:rsidRDefault="002214F6" w:rsidP="002214F6">
      <w:pPr>
        <w:rPr>
          <w:rFonts w:cs="Times New Roman"/>
          <w:szCs w:val="20"/>
        </w:rPr>
      </w:pPr>
      <w:r w:rsidRPr="002214F6">
        <w:rPr>
          <w:rFonts w:cs="Times New Roman"/>
          <w:szCs w:val="20"/>
        </w:rPr>
        <w:t xml:space="preserve">Además, 110 (32,0%) </w:t>
      </w:r>
      <w:r w:rsidR="00320DD4">
        <w:rPr>
          <w:rFonts w:cs="Times New Roman"/>
          <w:szCs w:val="20"/>
        </w:rPr>
        <w:t>ob</w:t>
      </w:r>
      <w:r w:rsidRPr="002214F6">
        <w:rPr>
          <w:rFonts w:cs="Times New Roman"/>
          <w:szCs w:val="20"/>
        </w:rPr>
        <w:t xml:space="preserve">tuvieron </w:t>
      </w:r>
      <w:r w:rsidR="004B0748">
        <w:rPr>
          <w:rFonts w:cs="Times New Roman"/>
          <w:szCs w:val="20"/>
        </w:rPr>
        <w:t xml:space="preserve">la </w:t>
      </w:r>
      <w:r w:rsidRPr="002214F6">
        <w:rPr>
          <w:rFonts w:cs="Times New Roman"/>
          <w:szCs w:val="20"/>
        </w:rPr>
        <w:t xml:space="preserve">aprobación de una sola agencia, 102 (29,7%) por la FDA y 8 (2,3%) por la EMA. </w:t>
      </w:r>
    </w:p>
    <w:p w14:paraId="5B5DC5C9" w14:textId="77777777" w:rsidR="00C10FFE" w:rsidRDefault="00C10FFE" w:rsidP="002214F6">
      <w:pPr>
        <w:rPr>
          <w:rFonts w:cs="Times New Roman"/>
          <w:szCs w:val="20"/>
        </w:rPr>
      </w:pPr>
    </w:p>
    <w:p w14:paraId="4326DF83" w14:textId="17240197" w:rsidR="002A466F" w:rsidRDefault="002214F6" w:rsidP="002214F6">
      <w:pPr>
        <w:rPr>
          <w:rFonts w:cs="Times New Roman"/>
          <w:szCs w:val="20"/>
        </w:rPr>
      </w:pPr>
      <w:r w:rsidRPr="002214F6">
        <w:rPr>
          <w:rFonts w:cs="Times New Roman"/>
          <w:szCs w:val="20"/>
        </w:rPr>
        <w:t xml:space="preserve">Ambas agencias fueron más consistentes en otorgar designaciones de </w:t>
      </w:r>
      <w:r w:rsidR="00320DD4">
        <w:rPr>
          <w:rFonts w:cs="Times New Roman"/>
          <w:szCs w:val="20"/>
        </w:rPr>
        <w:t>M</w:t>
      </w:r>
      <w:r w:rsidRPr="002214F6">
        <w:rPr>
          <w:rFonts w:cs="Times New Roman"/>
          <w:szCs w:val="20"/>
        </w:rPr>
        <w:t xml:space="preserve">edicamento </w:t>
      </w:r>
      <w:r w:rsidR="00320DD4">
        <w:rPr>
          <w:rFonts w:cs="Times New Roman"/>
          <w:szCs w:val="20"/>
        </w:rPr>
        <w:t>H</w:t>
      </w:r>
      <w:r w:rsidRPr="002214F6">
        <w:rPr>
          <w:rFonts w:cs="Times New Roman"/>
          <w:szCs w:val="20"/>
        </w:rPr>
        <w:t xml:space="preserve">uérfano para terapias avanzadas (75,0%) y enfermedades genéticas (55,4%). Las aprobaciones de la EMA </w:t>
      </w:r>
      <w:r w:rsidR="00320DD4" w:rsidRPr="002214F6">
        <w:rPr>
          <w:rFonts w:cs="Times New Roman"/>
          <w:szCs w:val="20"/>
        </w:rPr>
        <w:t xml:space="preserve">para enfermedades tropicales </w:t>
      </w:r>
      <w:r w:rsidRPr="002214F6">
        <w:rPr>
          <w:rFonts w:cs="Times New Roman"/>
          <w:szCs w:val="20"/>
        </w:rPr>
        <w:t xml:space="preserve">fueron escasas (12,7%), </w:t>
      </w:r>
      <w:r w:rsidR="00320DD4">
        <w:rPr>
          <w:rFonts w:cs="Times New Roman"/>
          <w:szCs w:val="20"/>
        </w:rPr>
        <w:t xml:space="preserve">y la UE no otorgó </w:t>
      </w:r>
      <w:proofErr w:type="spellStart"/>
      <w:r w:rsidR="00320DD4">
        <w:rPr>
          <w:rFonts w:cs="Times New Roman"/>
          <w:szCs w:val="20"/>
        </w:rPr>
        <w:t>desingaciones</w:t>
      </w:r>
      <w:proofErr w:type="spellEnd"/>
      <w:r w:rsidR="00320DD4">
        <w:rPr>
          <w:rFonts w:cs="Times New Roman"/>
          <w:szCs w:val="20"/>
        </w:rPr>
        <w:t xml:space="preserve"> </w:t>
      </w:r>
      <w:r w:rsidRPr="002214F6">
        <w:rPr>
          <w:rFonts w:cs="Times New Roman"/>
          <w:szCs w:val="20"/>
        </w:rPr>
        <w:t xml:space="preserve">para enfermedades que no se consideran entidades distintas, como subconjuntos de cánceres o indicaciones pediátricas de enfermedades prevalentes. </w:t>
      </w:r>
    </w:p>
    <w:p w14:paraId="1365A9E1" w14:textId="77777777" w:rsidR="002A466F" w:rsidRDefault="002A466F" w:rsidP="002214F6">
      <w:pPr>
        <w:rPr>
          <w:rFonts w:cs="Times New Roman"/>
          <w:szCs w:val="20"/>
        </w:rPr>
      </w:pPr>
    </w:p>
    <w:p w14:paraId="6A4DBDD8" w14:textId="7AFCA19D" w:rsidR="00E83A0B" w:rsidRPr="00C10FFE" w:rsidRDefault="002214F6" w:rsidP="00782294">
      <w:pPr>
        <w:rPr>
          <w:rFonts w:cs="Times New Roman"/>
          <w:szCs w:val="20"/>
        </w:rPr>
        <w:sectPr w:rsidR="00E83A0B" w:rsidRPr="00C10FFE" w:rsidSect="00E83A0B">
          <w:type w:val="continuous"/>
          <w:pgSz w:w="12240" w:h="15840" w:code="1"/>
          <w:pgMar w:top="720" w:right="720" w:bottom="720" w:left="720" w:header="288" w:footer="288" w:gutter="0"/>
          <w:cols w:num="2" w:space="288"/>
          <w:docGrid w:linePitch="360"/>
        </w:sectPr>
      </w:pPr>
      <w:r w:rsidRPr="002214F6">
        <w:rPr>
          <w:rFonts w:cs="Times New Roman"/>
          <w:szCs w:val="20"/>
        </w:rPr>
        <w:t>Estos hallazgos reflejan las difer</w:t>
      </w:r>
      <w:r w:rsidR="003C1C71">
        <w:rPr>
          <w:rFonts w:cs="Times New Roman"/>
          <w:szCs w:val="20"/>
        </w:rPr>
        <w:t>encias regulatori</w:t>
      </w:r>
      <w:r w:rsidRPr="002214F6">
        <w:rPr>
          <w:rFonts w:cs="Times New Roman"/>
          <w:szCs w:val="20"/>
        </w:rPr>
        <w:t xml:space="preserve">as y </w:t>
      </w:r>
      <w:r w:rsidR="003C1C71">
        <w:rPr>
          <w:rFonts w:cs="Times New Roman"/>
          <w:szCs w:val="20"/>
        </w:rPr>
        <w:t xml:space="preserve">las </w:t>
      </w:r>
      <w:r w:rsidRPr="002214F6">
        <w:rPr>
          <w:rFonts w:cs="Times New Roman"/>
          <w:szCs w:val="20"/>
        </w:rPr>
        <w:t>prácticas entre E</w:t>
      </w:r>
      <w:r w:rsidR="004B0748">
        <w:rPr>
          <w:rFonts w:cs="Times New Roman"/>
          <w:szCs w:val="20"/>
        </w:rPr>
        <w:t>E</w:t>
      </w:r>
      <w:r w:rsidRPr="002214F6">
        <w:rPr>
          <w:rFonts w:cs="Times New Roman"/>
          <w:szCs w:val="20"/>
        </w:rPr>
        <w:t xml:space="preserve"> U</w:t>
      </w:r>
      <w:r w:rsidR="004B0748">
        <w:rPr>
          <w:rFonts w:cs="Times New Roman"/>
          <w:szCs w:val="20"/>
        </w:rPr>
        <w:t>U</w:t>
      </w:r>
      <w:r w:rsidRPr="002214F6">
        <w:rPr>
          <w:rFonts w:cs="Times New Roman"/>
          <w:szCs w:val="20"/>
        </w:rPr>
        <w:t xml:space="preserve"> y la UE. Los </w:t>
      </w:r>
      <w:r w:rsidR="00320DD4">
        <w:rPr>
          <w:rFonts w:cs="Times New Roman"/>
          <w:szCs w:val="20"/>
        </w:rPr>
        <w:t xml:space="preserve">que definen las </w:t>
      </w:r>
      <w:r w:rsidRPr="002214F6">
        <w:rPr>
          <w:rFonts w:cs="Times New Roman"/>
          <w:szCs w:val="20"/>
        </w:rPr>
        <w:t>polític</w:t>
      </w:r>
      <w:r w:rsidR="00320DD4">
        <w:rPr>
          <w:rFonts w:cs="Times New Roman"/>
          <w:szCs w:val="20"/>
        </w:rPr>
        <w:t>a</w:t>
      </w:r>
      <w:r w:rsidRPr="002214F6">
        <w:rPr>
          <w:rFonts w:cs="Times New Roman"/>
          <w:szCs w:val="20"/>
        </w:rPr>
        <w:t xml:space="preserve">s </w:t>
      </w:r>
      <w:r w:rsidR="00320DD4">
        <w:rPr>
          <w:rFonts w:cs="Times New Roman"/>
          <w:szCs w:val="20"/>
        </w:rPr>
        <w:t>para</w:t>
      </w:r>
      <w:r w:rsidRPr="002214F6">
        <w:rPr>
          <w:rFonts w:cs="Times New Roman"/>
          <w:szCs w:val="20"/>
        </w:rPr>
        <w:t xml:space="preserve"> mejorar la aprobación de medicamentos para enfermedades raras podrían priorizar los incentivos para el desarrollo de tratamientos para enfermedades verdaderamente raras</w:t>
      </w:r>
      <w:r w:rsidR="00320DD4">
        <w:rPr>
          <w:rFonts w:cs="Times New Roman"/>
          <w:szCs w:val="20"/>
        </w:rPr>
        <w:t>,</w:t>
      </w:r>
      <w:r w:rsidRPr="002214F6">
        <w:rPr>
          <w:rFonts w:cs="Times New Roman"/>
          <w:szCs w:val="20"/>
        </w:rPr>
        <w:t xml:space="preserve"> en lugar de subconjuntos de </w:t>
      </w:r>
      <w:r w:rsidR="00320DD4">
        <w:rPr>
          <w:rFonts w:cs="Times New Roman"/>
          <w:szCs w:val="20"/>
        </w:rPr>
        <w:t xml:space="preserve">problemas </w:t>
      </w:r>
      <w:r w:rsidRPr="002214F6">
        <w:rPr>
          <w:rFonts w:cs="Times New Roman"/>
          <w:szCs w:val="20"/>
        </w:rPr>
        <w:t xml:space="preserve">más </w:t>
      </w:r>
      <w:r w:rsidR="00320DD4">
        <w:rPr>
          <w:rFonts w:cs="Times New Roman"/>
          <w:szCs w:val="20"/>
        </w:rPr>
        <w:t>frecuentes</w:t>
      </w:r>
      <w:r w:rsidRPr="002214F6">
        <w:rPr>
          <w:rFonts w:cs="Times New Roman"/>
          <w:szCs w:val="20"/>
        </w:rPr>
        <w:t xml:space="preserve"> para las que ya se han establecido incentivos, o crear vías que aborden los desafíos científicos y sociales</w:t>
      </w:r>
      <w:r w:rsidR="00C10FFE">
        <w:rPr>
          <w:rFonts w:cs="Times New Roman"/>
          <w:szCs w:val="20"/>
        </w:rPr>
        <w:t>.</w:t>
      </w:r>
    </w:p>
    <w:p w14:paraId="0CCFB751" w14:textId="048E9A4E" w:rsidR="00125BDC" w:rsidRPr="00073DA9" w:rsidRDefault="00014E10" w:rsidP="00C10FFE">
      <w:pPr>
        <w:jc w:val="center"/>
        <w:rPr>
          <w:rFonts w:cs="Times New Roman"/>
          <w:b/>
          <w:bCs/>
          <w:color w:val="000000" w:themeColor="text1"/>
          <w:sz w:val="24"/>
        </w:rPr>
      </w:pPr>
      <w:r w:rsidRPr="00B3173D">
        <w:rPr>
          <w:rFonts w:cs="Times New Roman"/>
          <w:b/>
          <w:bCs/>
          <w:color w:val="000000" w:themeColor="text1"/>
          <w:sz w:val="24"/>
        </w:rPr>
        <w:lastRenderedPageBreak/>
        <w:t>América Latina</w:t>
      </w:r>
    </w:p>
    <w:p w14:paraId="0B02AA76" w14:textId="32B53F54" w:rsidR="002730DC" w:rsidRDefault="002730DC" w:rsidP="00073504">
      <w:pPr>
        <w:jc w:val="center"/>
      </w:pPr>
    </w:p>
    <w:p w14:paraId="115F5037" w14:textId="77777777" w:rsidR="00320DD4" w:rsidRPr="000658A6" w:rsidRDefault="00320DD4" w:rsidP="00320DD4">
      <w:pPr>
        <w:jc w:val="center"/>
        <w:rPr>
          <w:b/>
          <w:bCs/>
          <w:lang w:eastAsia="es-CO"/>
        </w:rPr>
      </w:pPr>
      <w:r>
        <w:rPr>
          <w:lang w:eastAsia="es-CO"/>
        </w:rPr>
        <w:t xml:space="preserve">Argentina. </w:t>
      </w:r>
      <w:r w:rsidRPr="000658A6">
        <w:rPr>
          <w:b/>
          <w:bCs/>
          <w:lang w:eastAsia="es-CO"/>
        </w:rPr>
        <w:t>ANMAT facilita la importación de productos necesarios para el desarrollo de estudios clínicos</w:t>
      </w:r>
    </w:p>
    <w:p w14:paraId="109505A8" w14:textId="5D83EAB8" w:rsidR="00320DD4" w:rsidRDefault="00320DD4" w:rsidP="00320DD4">
      <w:pPr>
        <w:jc w:val="center"/>
        <w:rPr>
          <w:lang w:eastAsia="es-CO"/>
        </w:rPr>
      </w:pPr>
      <w:r w:rsidRPr="000658A6">
        <w:rPr>
          <w:i/>
          <w:iCs/>
          <w:lang w:eastAsia="es-CO"/>
        </w:rPr>
        <w:t>Administración Nacional de Medicamentos, Alimentos y Tecnología Médica (ANMAT),</w:t>
      </w:r>
      <w:r>
        <w:rPr>
          <w:lang w:eastAsia="es-CO"/>
        </w:rPr>
        <w:t xml:space="preserve"> 24 de abril del 2026</w:t>
      </w:r>
    </w:p>
    <w:p w14:paraId="4006AFEF" w14:textId="77777777" w:rsidR="00320DD4" w:rsidRDefault="00B00DA4" w:rsidP="00320DD4">
      <w:pPr>
        <w:jc w:val="center"/>
        <w:rPr>
          <w:lang w:eastAsia="es-CO"/>
        </w:rPr>
      </w:pPr>
      <w:hyperlink r:id="rId33" w:history="1">
        <w:r w:rsidR="00320DD4" w:rsidRPr="001F29B1">
          <w:rPr>
            <w:rStyle w:val="Hipervnculo"/>
            <w:lang w:eastAsia="es-CO"/>
          </w:rPr>
          <w:t>https://www.argentina.gob.ar/noticias/anmat-facilita-la-importacion-de-productos-necesarios-para-el-desarrollo-de-estudios</w:t>
        </w:r>
      </w:hyperlink>
    </w:p>
    <w:p w14:paraId="5B983C9D" w14:textId="77777777" w:rsidR="00320DD4" w:rsidRDefault="00320DD4" w:rsidP="00320DD4">
      <w:pPr>
        <w:rPr>
          <w:lang w:eastAsia="es-CO"/>
        </w:rPr>
      </w:pPr>
    </w:p>
    <w:p w14:paraId="1B08B25A" w14:textId="77777777" w:rsidR="00C10FFE" w:rsidRDefault="00C10FFE" w:rsidP="00320DD4">
      <w:pPr>
        <w:rPr>
          <w:lang w:eastAsia="es-CO"/>
        </w:rPr>
        <w:sectPr w:rsidR="00C10FFE" w:rsidSect="00F25512">
          <w:type w:val="continuous"/>
          <w:pgSz w:w="12240" w:h="15840" w:code="1"/>
          <w:pgMar w:top="720" w:right="720" w:bottom="720" w:left="720" w:header="288" w:footer="288" w:gutter="0"/>
          <w:cols w:space="288"/>
          <w:docGrid w:linePitch="360"/>
        </w:sectPr>
      </w:pPr>
    </w:p>
    <w:p w14:paraId="7A5A363D" w14:textId="19CE5111" w:rsidR="00320DD4" w:rsidRPr="000658A6" w:rsidRDefault="00320DD4" w:rsidP="00320DD4">
      <w:pPr>
        <w:rPr>
          <w:lang w:eastAsia="es-CO"/>
        </w:rPr>
      </w:pPr>
      <w:r w:rsidRPr="000658A6">
        <w:rPr>
          <w:lang w:eastAsia="es-CO"/>
        </w:rPr>
        <w:t xml:space="preserve">La Administración Nacional de Medicamentos, Alimentos y Tecnología Médica </w:t>
      </w:r>
      <w:r w:rsidR="00C10FFE">
        <w:rPr>
          <w:lang w:eastAsia="es-CO"/>
        </w:rPr>
        <w:t xml:space="preserve">(ANMAT) </w:t>
      </w:r>
      <w:r w:rsidRPr="000658A6">
        <w:rPr>
          <w:lang w:eastAsia="es-CO"/>
        </w:rPr>
        <w:t>implementará una alternativa orientada a</w:t>
      </w:r>
      <w:r>
        <w:rPr>
          <w:lang w:eastAsia="es-CO"/>
        </w:rPr>
        <w:t xml:space="preserve"> </w:t>
      </w:r>
      <w:r w:rsidRPr="000658A6">
        <w:rPr>
          <w:lang w:eastAsia="es-CO"/>
        </w:rPr>
        <w:t>agilizar los plazos vinculados a la importación de los productos necesarios para el desarrollo de los estudios clínicos.</w:t>
      </w:r>
      <w:r>
        <w:rPr>
          <w:lang w:eastAsia="es-CO"/>
        </w:rPr>
        <w:t xml:space="preserve"> </w:t>
      </w:r>
      <w:r w:rsidRPr="000658A6">
        <w:rPr>
          <w:lang w:eastAsia="es-CO"/>
        </w:rPr>
        <w:t xml:space="preserve">La medida busca reducir </w:t>
      </w:r>
      <w:r>
        <w:rPr>
          <w:lang w:eastAsia="es-CO"/>
        </w:rPr>
        <w:t xml:space="preserve">los </w:t>
      </w:r>
      <w:r w:rsidRPr="000658A6">
        <w:rPr>
          <w:lang w:eastAsia="es-CO"/>
        </w:rPr>
        <w:t>tiempos manteniendo los estándares de calidad, seguridad y eficacia.</w:t>
      </w:r>
    </w:p>
    <w:p w14:paraId="71DFAEE1" w14:textId="77777777" w:rsidR="00320DD4" w:rsidRPr="000658A6" w:rsidRDefault="00320DD4" w:rsidP="00320DD4">
      <w:pPr>
        <w:rPr>
          <w:lang w:eastAsia="es-CO"/>
        </w:rPr>
      </w:pPr>
    </w:p>
    <w:p w14:paraId="2D44DD28" w14:textId="77777777" w:rsidR="00320DD4" w:rsidRDefault="00320DD4" w:rsidP="00320DD4">
      <w:pPr>
        <w:rPr>
          <w:lang w:eastAsia="es-CO"/>
        </w:rPr>
      </w:pPr>
      <w:r w:rsidRPr="000658A6">
        <w:rPr>
          <w:lang w:eastAsia="es-CO"/>
        </w:rPr>
        <w:t>A partir de la fecha se admitirá la posibilidad de</w:t>
      </w:r>
      <w:r>
        <w:rPr>
          <w:lang w:eastAsia="es-CO"/>
        </w:rPr>
        <w:t xml:space="preserve"> </w:t>
      </w:r>
      <w:r w:rsidRPr="000658A6">
        <w:rPr>
          <w:lang w:eastAsia="es-CO"/>
        </w:rPr>
        <w:t>presentar el formulario de importación denominado “12 puntos” junto con la constancia del inicio del expediente</w:t>
      </w:r>
      <w:r>
        <w:rPr>
          <w:lang w:eastAsia="es-CO"/>
        </w:rPr>
        <w:t xml:space="preserve"> </w:t>
      </w:r>
      <w:r w:rsidRPr="000658A6">
        <w:rPr>
          <w:lang w:eastAsia="es-CO"/>
        </w:rPr>
        <w:t>correspondiente al estudio clínico, en lugar de presentarlo con la disposición autorizante.</w:t>
      </w:r>
    </w:p>
    <w:p w14:paraId="45E52544" w14:textId="77777777" w:rsidR="00320DD4" w:rsidRPr="000658A6" w:rsidRDefault="00320DD4" w:rsidP="00320DD4">
      <w:pPr>
        <w:rPr>
          <w:lang w:eastAsia="es-CO"/>
        </w:rPr>
      </w:pPr>
    </w:p>
    <w:p w14:paraId="02D38476" w14:textId="77777777" w:rsidR="00320DD4" w:rsidRPr="000658A6" w:rsidRDefault="00320DD4" w:rsidP="00320DD4">
      <w:pPr>
        <w:rPr>
          <w:lang w:eastAsia="es-CO"/>
        </w:rPr>
      </w:pPr>
      <w:r w:rsidRPr="000658A6">
        <w:rPr>
          <w:lang w:eastAsia="es-CO"/>
        </w:rPr>
        <w:t>Esta medida permite</w:t>
      </w:r>
      <w:r>
        <w:rPr>
          <w:lang w:eastAsia="es-CO"/>
        </w:rPr>
        <w:t xml:space="preserve"> </w:t>
      </w:r>
      <w:r w:rsidRPr="000658A6">
        <w:rPr>
          <w:lang w:eastAsia="es-CO"/>
        </w:rPr>
        <w:t>reducir los tiempos</w:t>
      </w:r>
      <w:r>
        <w:rPr>
          <w:lang w:eastAsia="es-CO"/>
        </w:rPr>
        <w:t xml:space="preserve"> </w:t>
      </w:r>
      <w:r w:rsidRPr="000658A6">
        <w:rPr>
          <w:lang w:eastAsia="es-CO"/>
        </w:rPr>
        <w:t>implicados en el desarrollo de los estudios clínicos, en particular el ingreso de los insumos necesarios para realizarlos,</w:t>
      </w:r>
      <w:r>
        <w:rPr>
          <w:lang w:eastAsia="es-CO"/>
        </w:rPr>
        <w:t xml:space="preserve"> </w:t>
      </w:r>
      <w:r w:rsidRPr="000658A6">
        <w:rPr>
          <w:lang w:eastAsia="es-CO"/>
        </w:rPr>
        <w:t>manteniendo los altos niveles de calidad y seguridad en el proceso de aprobación.</w:t>
      </w:r>
    </w:p>
    <w:p w14:paraId="078D65C8" w14:textId="77777777" w:rsidR="00320DD4" w:rsidRPr="000658A6" w:rsidRDefault="00320DD4" w:rsidP="00320DD4">
      <w:pPr>
        <w:rPr>
          <w:lang w:eastAsia="es-CO"/>
        </w:rPr>
      </w:pPr>
    </w:p>
    <w:p w14:paraId="56866500" w14:textId="77777777" w:rsidR="00320DD4" w:rsidRDefault="00320DD4" w:rsidP="00320DD4">
      <w:pPr>
        <w:rPr>
          <w:lang w:eastAsia="es-CO"/>
        </w:rPr>
      </w:pPr>
      <w:r w:rsidRPr="000658A6">
        <w:rPr>
          <w:lang w:eastAsia="es-CO"/>
        </w:rPr>
        <w:t>Estas modificaciones se enmarcan en el plan de simplificación de trámites y actualización normativa que el Instituto Nacional de Medicamentos viene impulsando, con la intención de fortalecer el desarrollo de estudios clínicos en el país.</w:t>
      </w:r>
    </w:p>
    <w:p w14:paraId="7CDD9C6F" w14:textId="77777777" w:rsidR="00320DD4" w:rsidRDefault="00320DD4" w:rsidP="00320DD4">
      <w:pPr>
        <w:rPr>
          <w:lang w:eastAsia="es-CO"/>
        </w:rPr>
      </w:pPr>
    </w:p>
    <w:p w14:paraId="5CC7515F" w14:textId="77777777" w:rsidR="00320DD4" w:rsidRDefault="00320DD4" w:rsidP="00320DD4">
      <w:pPr>
        <w:rPr>
          <w:lang w:eastAsia="es-CO"/>
        </w:rPr>
      </w:pPr>
      <w:r w:rsidRPr="00526C37">
        <w:rPr>
          <w:b/>
          <w:bCs/>
          <w:lang w:eastAsia="es-CO"/>
        </w:rPr>
        <w:t>Comentario de Salud y Fármacos:</w:t>
      </w:r>
      <w:r>
        <w:rPr>
          <w:lang w:eastAsia="es-CO"/>
        </w:rPr>
        <w:t xml:space="preserve"> </w:t>
      </w:r>
      <w:r w:rsidRPr="00526C37">
        <w:rPr>
          <w:lang w:eastAsia="es-CO"/>
        </w:rPr>
        <w:t>E</w:t>
      </w:r>
      <w:r>
        <w:rPr>
          <w:lang w:eastAsia="es-CO"/>
        </w:rPr>
        <w:t>ste cambio de la ANMAT</w:t>
      </w:r>
      <w:r w:rsidRPr="00526C37">
        <w:rPr>
          <w:lang w:eastAsia="es-CO"/>
        </w:rPr>
        <w:t xml:space="preserve"> no modifica los requisitos técnicos del producto ni los estándares de Buenas Prácticas Clínicas, sino el momento en que</w:t>
      </w:r>
      <w:r>
        <w:rPr>
          <w:lang w:eastAsia="es-CO"/>
        </w:rPr>
        <w:t xml:space="preserve"> se puede presentar</w:t>
      </w:r>
      <w:r w:rsidRPr="00526C37">
        <w:rPr>
          <w:lang w:eastAsia="es-CO"/>
        </w:rPr>
        <w:t xml:space="preserve"> la documentación </w:t>
      </w:r>
      <w:r>
        <w:rPr>
          <w:lang w:eastAsia="es-CO"/>
        </w:rPr>
        <w:t xml:space="preserve">para la </w:t>
      </w:r>
      <w:r w:rsidRPr="00526C37">
        <w:rPr>
          <w:lang w:eastAsia="es-CO"/>
        </w:rPr>
        <w:t xml:space="preserve">importación </w:t>
      </w:r>
      <w:r>
        <w:rPr>
          <w:lang w:eastAsia="es-CO"/>
        </w:rPr>
        <w:t>del producto experimental</w:t>
      </w:r>
      <w:r w:rsidRPr="00526C37">
        <w:rPr>
          <w:lang w:eastAsia="es-CO"/>
        </w:rPr>
        <w:t xml:space="preserve">, lo que impacta directamente en los plazos de llegada de </w:t>
      </w:r>
      <w:r>
        <w:rPr>
          <w:lang w:eastAsia="es-CO"/>
        </w:rPr>
        <w:t xml:space="preserve">insumos </w:t>
      </w:r>
      <w:r w:rsidRPr="00526C37">
        <w:rPr>
          <w:lang w:eastAsia="es-CO"/>
        </w:rPr>
        <w:t>a</w:t>
      </w:r>
      <w:r>
        <w:rPr>
          <w:lang w:eastAsia="es-CO"/>
        </w:rPr>
        <w:t xml:space="preserve"> los</w:t>
      </w:r>
      <w:r w:rsidRPr="00526C37">
        <w:rPr>
          <w:lang w:eastAsia="es-CO"/>
        </w:rPr>
        <w:t xml:space="preserve"> centros de investigación públicos y privados</w:t>
      </w:r>
      <w:r>
        <w:rPr>
          <w:lang w:eastAsia="es-CO"/>
        </w:rPr>
        <w:t xml:space="preserve"> [1]</w:t>
      </w:r>
      <w:r w:rsidRPr="00526C37">
        <w:rPr>
          <w:lang w:eastAsia="es-CO"/>
        </w:rPr>
        <w:t>.</w:t>
      </w:r>
    </w:p>
    <w:p w14:paraId="65899DE0" w14:textId="77777777" w:rsidR="00320DD4" w:rsidRDefault="00320DD4" w:rsidP="00320DD4">
      <w:pPr>
        <w:rPr>
          <w:lang w:eastAsia="es-CO"/>
        </w:rPr>
      </w:pPr>
    </w:p>
    <w:p w14:paraId="6B7A7795" w14:textId="77777777" w:rsidR="00320DD4" w:rsidRPr="00526C37" w:rsidRDefault="00320DD4" w:rsidP="00320DD4">
      <w:pPr>
        <w:rPr>
          <w:lang w:eastAsia="es-CO"/>
        </w:rPr>
      </w:pPr>
      <w:r w:rsidRPr="009A14C7">
        <w:rPr>
          <w:lang w:eastAsia="es-CO"/>
        </w:rPr>
        <w:t>En la práctica, esto permite adelantar la tramitación de importación de medicamentos de investigación, placebos, dispositivos, kits de laboratorio y otros insumos críticos mientras avanza la evaluación regulatoria del protocolo, reduciendo cuellos de botella logísticos sin saltearse el control científico y ético del estudio.</w:t>
      </w:r>
    </w:p>
    <w:p w14:paraId="544A8DD5" w14:textId="77777777" w:rsidR="00320DD4" w:rsidRDefault="00320DD4" w:rsidP="00320DD4">
      <w:pPr>
        <w:rPr>
          <w:b/>
          <w:bCs/>
          <w:lang w:eastAsia="es-CO"/>
        </w:rPr>
      </w:pPr>
    </w:p>
    <w:p w14:paraId="4B300436" w14:textId="77777777" w:rsidR="00320DD4" w:rsidRDefault="00320DD4" w:rsidP="00320DD4">
      <w:pPr>
        <w:rPr>
          <w:lang w:eastAsia="es-CO"/>
        </w:rPr>
      </w:pPr>
      <w:r>
        <w:rPr>
          <w:lang w:eastAsia="es-CO"/>
        </w:rPr>
        <w:t>La agencia argentina</w:t>
      </w:r>
      <w:r w:rsidRPr="00526C37">
        <w:rPr>
          <w:lang w:eastAsia="es-CO"/>
        </w:rPr>
        <w:t xml:space="preserve"> viene flexibilizando el régimen de importación de productos médicos</w:t>
      </w:r>
      <w:r>
        <w:rPr>
          <w:lang w:eastAsia="es-CO"/>
        </w:rPr>
        <w:t xml:space="preserve"> con medidas como</w:t>
      </w:r>
      <w:r w:rsidRPr="00526C37">
        <w:rPr>
          <w:lang w:eastAsia="es-CO"/>
        </w:rPr>
        <w:t xml:space="preserve"> la actualización de</w:t>
      </w:r>
      <w:r>
        <w:rPr>
          <w:lang w:eastAsia="es-CO"/>
        </w:rPr>
        <w:t xml:space="preserve"> los</w:t>
      </w:r>
      <w:r w:rsidRPr="00526C37">
        <w:rPr>
          <w:lang w:eastAsia="es-CO"/>
        </w:rPr>
        <w:t xml:space="preserve"> requisitos de calidad para </w:t>
      </w:r>
      <w:r>
        <w:rPr>
          <w:lang w:eastAsia="es-CO"/>
        </w:rPr>
        <w:t xml:space="preserve">una </w:t>
      </w:r>
      <w:r w:rsidRPr="00526C37">
        <w:rPr>
          <w:lang w:eastAsia="es-CO"/>
        </w:rPr>
        <w:t>importación simplificada desde países con altos estándares</w:t>
      </w:r>
      <w:r>
        <w:rPr>
          <w:lang w:eastAsia="es-CO"/>
        </w:rPr>
        <w:t>,</w:t>
      </w:r>
      <w:r w:rsidRPr="00526C37">
        <w:rPr>
          <w:lang w:eastAsia="es-CO"/>
        </w:rPr>
        <w:t xml:space="preserve"> y </w:t>
      </w:r>
      <w:r>
        <w:rPr>
          <w:lang w:eastAsia="es-CO"/>
        </w:rPr>
        <w:t xml:space="preserve">con </w:t>
      </w:r>
      <w:r w:rsidRPr="00526C37">
        <w:rPr>
          <w:lang w:eastAsia="es-CO"/>
        </w:rPr>
        <w:t xml:space="preserve">ajustes </w:t>
      </w:r>
      <w:r>
        <w:rPr>
          <w:lang w:eastAsia="es-CO"/>
        </w:rPr>
        <w:t>al reglamento</w:t>
      </w:r>
      <w:r w:rsidRPr="00526C37">
        <w:rPr>
          <w:lang w:eastAsia="es-CO"/>
        </w:rPr>
        <w:t xml:space="preserve"> de vencimiento de insumos para evitar </w:t>
      </w:r>
      <w:r>
        <w:rPr>
          <w:lang w:eastAsia="es-CO"/>
        </w:rPr>
        <w:t>el desperdicio de recursos en los trámites de</w:t>
      </w:r>
      <w:r w:rsidRPr="00526C37">
        <w:rPr>
          <w:lang w:eastAsia="es-CO"/>
        </w:rPr>
        <w:t xml:space="preserve"> aduana</w:t>
      </w:r>
      <w:r>
        <w:rPr>
          <w:lang w:eastAsia="es-CO"/>
        </w:rPr>
        <w:t xml:space="preserve"> [1]</w:t>
      </w:r>
      <w:r w:rsidRPr="00526C37">
        <w:rPr>
          <w:lang w:eastAsia="es-CO"/>
        </w:rPr>
        <w:t>.</w:t>
      </w:r>
    </w:p>
    <w:p w14:paraId="0C1E71AC" w14:textId="77777777" w:rsidR="00320DD4" w:rsidRDefault="00320DD4" w:rsidP="00320DD4">
      <w:pPr>
        <w:rPr>
          <w:lang w:eastAsia="es-CO"/>
        </w:rPr>
      </w:pPr>
      <w:r w:rsidRPr="00526C37">
        <w:rPr>
          <w:lang w:eastAsia="es-CO"/>
        </w:rPr>
        <w:t xml:space="preserve"> </w:t>
      </w:r>
    </w:p>
    <w:p w14:paraId="06FB9619" w14:textId="77777777" w:rsidR="00320DD4" w:rsidRDefault="00320DD4" w:rsidP="00320DD4">
      <w:pPr>
        <w:rPr>
          <w:lang w:eastAsia="es-CO"/>
        </w:rPr>
      </w:pPr>
      <w:r>
        <w:rPr>
          <w:lang w:eastAsia="es-CO"/>
        </w:rPr>
        <w:t>L</w:t>
      </w:r>
      <w:r w:rsidRPr="00526C37">
        <w:rPr>
          <w:lang w:eastAsia="es-CO"/>
        </w:rPr>
        <w:t>a posibilidad de iniciar ant</w:t>
      </w:r>
      <w:r>
        <w:rPr>
          <w:lang w:eastAsia="es-CO"/>
        </w:rPr>
        <w:t>icipadamente</w:t>
      </w:r>
      <w:r w:rsidRPr="00526C37">
        <w:rPr>
          <w:lang w:eastAsia="es-CO"/>
        </w:rPr>
        <w:t xml:space="preserve"> los trámites de importación con el formulario “12 puntos” y la constancia de</w:t>
      </w:r>
      <w:r>
        <w:rPr>
          <w:lang w:eastAsia="es-CO"/>
        </w:rPr>
        <w:t>l</w:t>
      </w:r>
      <w:r w:rsidRPr="00526C37">
        <w:rPr>
          <w:lang w:eastAsia="es-CO"/>
        </w:rPr>
        <w:t xml:space="preserve"> expediente acorta</w:t>
      </w:r>
      <w:r>
        <w:rPr>
          <w:lang w:eastAsia="es-CO"/>
        </w:rPr>
        <w:t xml:space="preserve"> los</w:t>
      </w:r>
      <w:r w:rsidRPr="00526C37">
        <w:rPr>
          <w:lang w:eastAsia="es-CO"/>
        </w:rPr>
        <w:t xml:space="preserve"> tiempos de </w:t>
      </w:r>
      <w:proofErr w:type="spellStart"/>
      <w:r w:rsidRPr="00526C37">
        <w:rPr>
          <w:lang w:eastAsia="es-CO"/>
        </w:rPr>
        <w:t>start</w:t>
      </w:r>
      <w:proofErr w:type="spellEnd"/>
      <w:r w:rsidRPr="00526C37">
        <w:rPr>
          <w:lang w:eastAsia="es-CO"/>
        </w:rPr>
        <w:noBreakHyphen/>
        <w:t xml:space="preserve">up de </w:t>
      </w:r>
      <w:r>
        <w:rPr>
          <w:lang w:eastAsia="es-CO"/>
        </w:rPr>
        <w:t>los ensay</w:t>
      </w:r>
      <w:r w:rsidRPr="00526C37">
        <w:rPr>
          <w:lang w:eastAsia="es-CO"/>
        </w:rPr>
        <w:t xml:space="preserve">os </w:t>
      </w:r>
      <w:r>
        <w:rPr>
          <w:lang w:eastAsia="es-CO"/>
        </w:rPr>
        <w:t>se viabiliza p</w:t>
      </w:r>
      <w:r w:rsidRPr="00526C37">
        <w:rPr>
          <w:lang w:eastAsia="es-CO"/>
        </w:rPr>
        <w:t xml:space="preserve">ara sponsors, </w:t>
      </w:r>
      <w:proofErr w:type="spellStart"/>
      <w:r w:rsidRPr="00526C37">
        <w:rPr>
          <w:lang w:eastAsia="es-CO"/>
        </w:rPr>
        <w:t>CROs</w:t>
      </w:r>
      <w:proofErr w:type="spellEnd"/>
      <w:r w:rsidRPr="00526C37">
        <w:rPr>
          <w:lang w:eastAsia="es-CO"/>
        </w:rPr>
        <w:t>, hospitales y redes de investigación clínica que operan en la Argentina</w:t>
      </w:r>
      <w:r>
        <w:rPr>
          <w:lang w:eastAsia="es-CO"/>
        </w:rPr>
        <w:t xml:space="preserve"> [1].</w:t>
      </w:r>
    </w:p>
    <w:p w14:paraId="7CBA02E9" w14:textId="77777777" w:rsidR="00320DD4" w:rsidRDefault="00320DD4" w:rsidP="00320DD4">
      <w:pPr>
        <w:rPr>
          <w:lang w:eastAsia="es-CO"/>
        </w:rPr>
      </w:pPr>
    </w:p>
    <w:p w14:paraId="070EAFF1" w14:textId="77777777" w:rsidR="00320DD4" w:rsidRPr="004510B9" w:rsidRDefault="00320DD4" w:rsidP="00320DD4">
      <w:pPr>
        <w:rPr>
          <w:b/>
          <w:bCs/>
          <w:sz w:val="18"/>
          <w:szCs w:val="22"/>
          <w:lang w:eastAsia="es-CO"/>
        </w:rPr>
      </w:pPr>
      <w:r w:rsidRPr="004510B9">
        <w:rPr>
          <w:b/>
          <w:bCs/>
          <w:sz w:val="18"/>
          <w:szCs w:val="22"/>
          <w:lang w:eastAsia="es-CO"/>
        </w:rPr>
        <w:t xml:space="preserve">Referencia: </w:t>
      </w:r>
    </w:p>
    <w:p w14:paraId="495512D5" w14:textId="77777777" w:rsidR="00C10FFE" w:rsidRDefault="00320DD4" w:rsidP="00320DD4">
      <w:pPr>
        <w:ind w:left="180" w:hanging="180"/>
        <w:rPr>
          <w:rStyle w:val="Hipervnculo"/>
          <w:sz w:val="18"/>
          <w:szCs w:val="22"/>
          <w:lang w:eastAsia="es-CO"/>
        </w:rPr>
        <w:sectPr w:rsidR="00C10FFE" w:rsidSect="00C10FFE">
          <w:type w:val="continuous"/>
          <w:pgSz w:w="12240" w:h="15840" w:code="1"/>
          <w:pgMar w:top="720" w:right="720" w:bottom="720" w:left="720" w:header="288" w:footer="288" w:gutter="0"/>
          <w:cols w:num="2" w:space="288"/>
          <w:docGrid w:linePitch="360"/>
        </w:sectPr>
      </w:pPr>
      <w:r w:rsidRPr="004510B9">
        <w:rPr>
          <w:sz w:val="18"/>
          <w:szCs w:val="22"/>
          <w:lang w:eastAsia="es-CO"/>
        </w:rPr>
        <w:t>1.</w:t>
      </w:r>
      <w:r w:rsidRPr="004510B9">
        <w:rPr>
          <w:rFonts w:ascii="Source Sans Pro" w:eastAsia="Times New Roman" w:hAnsi="Source Sans Pro" w:cs="Times New Roman"/>
          <w:bCs/>
          <w:color w:val="000000"/>
          <w:kern w:val="36"/>
          <w:sz w:val="72"/>
          <w:szCs w:val="72"/>
          <w:lang w:eastAsia="es-CO"/>
          <w14:ligatures w14:val="none"/>
        </w:rPr>
        <w:t xml:space="preserve"> </w:t>
      </w:r>
      <w:r w:rsidRPr="004510B9">
        <w:rPr>
          <w:sz w:val="18"/>
          <w:szCs w:val="22"/>
          <w:lang w:eastAsia="es-CO"/>
        </w:rPr>
        <w:t xml:space="preserve">ANMAT acelera la importación para estudios clínicos: flexibiliza el formulario “12 puntos” sin bajar la vara regulatoria. </w:t>
      </w:r>
      <w:r w:rsidRPr="004510B9">
        <w:rPr>
          <w:i/>
          <w:iCs/>
          <w:sz w:val="18"/>
          <w:szCs w:val="22"/>
          <w:lang w:eastAsia="es-CO"/>
        </w:rPr>
        <w:t xml:space="preserve">Cure </w:t>
      </w:r>
      <w:proofErr w:type="spellStart"/>
      <w:r w:rsidRPr="004510B9">
        <w:rPr>
          <w:i/>
          <w:iCs/>
          <w:sz w:val="18"/>
          <w:szCs w:val="22"/>
          <w:lang w:eastAsia="es-CO"/>
        </w:rPr>
        <w:t>Compass</w:t>
      </w:r>
      <w:proofErr w:type="spellEnd"/>
      <w:r w:rsidRPr="004510B9">
        <w:rPr>
          <w:b/>
          <w:bCs/>
          <w:i/>
          <w:iCs/>
          <w:sz w:val="18"/>
          <w:szCs w:val="22"/>
          <w:lang w:eastAsia="es-CO"/>
        </w:rPr>
        <w:t>,</w:t>
      </w:r>
      <w:r w:rsidRPr="004510B9">
        <w:rPr>
          <w:b/>
          <w:bCs/>
          <w:sz w:val="18"/>
          <w:szCs w:val="22"/>
          <w:lang w:eastAsia="es-CO"/>
        </w:rPr>
        <w:t xml:space="preserve"> </w:t>
      </w:r>
      <w:r w:rsidRPr="004510B9">
        <w:rPr>
          <w:sz w:val="18"/>
          <w:szCs w:val="22"/>
          <w:lang w:eastAsia="es-CO"/>
        </w:rPr>
        <w:t xml:space="preserve">2 de mayo de 2026 </w:t>
      </w:r>
      <w:hyperlink r:id="rId34" w:history="1">
        <w:r w:rsidRPr="004510B9">
          <w:rPr>
            <w:rStyle w:val="Hipervnculo"/>
            <w:sz w:val="18"/>
            <w:szCs w:val="22"/>
            <w:lang w:eastAsia="es-CO"/>
          </w:rPr>
          <w:t>https://curecompass.com.ar/anmat-acelera-la-importacion-para-estudios-clinicos-flexibiliza-el-formulario-12-puntos-sin-bajar-la-vara-regulatoria/</w:t>
        </w:r>
      </w:hyperlink>
    </w:p>
    <w:p w14:paraId="6E4B57C6" w14:textId="5B733419" w:rsidR="00320DD4" w:rsidRDefault="00320DD4" w:rsidP="00C10FFE"/>
    <w:p w14:paraId="6DA295F2" w14:textId="77777777" w:rsidR="00320DD4" w:rsidRDefault="00320DD4" w:rsidP="00073504">
      <w:pPr>
        <w:jc w:val="center"/>
      </w:pPr>
    </w:p>
    <w:p w14:paraId="03126737" w14:textId="4C5AC24C" w:rsidR="00050CDB" w:rsidRDefault="00800A12" w:rsidP="00800A12">
      <w:pPr>
        <w:jc w:val="center"/>
        <w:rPr>
          <w:rFonts w:eastAsia="Times New Roman" w:cs="Times New Roman"/>
          <w:b/>
          <w:bCs/>
          <w:szCs w:val="20"/>
        </w:rPr>
      </w:pPr>
      <w:r>
        <w:rPr>
          <w:lang w:eastAsia="es-CO"/>
        </w:rPr>
        <w:t xml:space="preserve">Brasil. </w:t>
      </w:r>
      <w:r w:rsidRPr="00C86F03">
        <w:rPr>
          <w:rFonts w:eastAsia="Times New Roman" w:cs="Times New Roman"/>
          <w:b/>
          <w:bCs/>
          <w:szCs w:val="20"/>
        </w:rPr>
        <w:t xml:space="preserve">Análisis del impacto regulatorio en la vigilancia sanitaria brasileña: </w:t>
      </w:r>
    </w:p>
    <w:p w14:paraId="6D878022" w14:textId="7CC45AE0" w:rsidR="00800A12" w:rsidRPr="002B593E" w:rsidRDefault="00800A12" w:rsidP="00800A12">
      <w:pPr>
        <w:jc w:val="center"/>
        <w:rPr>
          <w:rFonts w:eastAsia="Times New Roman" w:cs="Times New Roman"/>
          <w:b/>
          <w:bCs/>
          <w:szCs w:val="20"/>
        </w:rPr>
      </w:pPr>
      <w:r w:rsidRPr="00C86F03">
        <w:rPr>
          <w:rFonts w:eastAsia="Times New Roman" w:cs="Times New Roman"/>
          <w:b/>
          <w:bCs/>
          <w:szCs w:val="20"/>
        </w:rPr>
        <w:t>Un</w:t>
      </w:r>
      <w:r>
        <w:rPr>
          <w:rFonts w:eastAsia="Times New Roman" w:cs="Times New Roman"/>
          <w:b/>
          <w:bCs/>
          <w:szCs w:val="20"/>
        </w:rPr>
        <w:t>a</w:t>
      </w:r>
      <w:r w:rsidRPr="00C86F03">
        <w:rPr>
          <w:rFonts w:eastAsia="Times New Roman" w:cs="Times New Roman"/>
          <w:b/>
          <w:bCs/>
          <w:szCs w:val="20"/>
        </w:rPr>
        <w:t xml:space="preserve"> e</w:t>
      </w:r>
      <w:r>
        <w:rPr>
          <w:rFonts w:eastAsia="Times New Roman" w:cs="Times New Roman"/>
          <w:b/>
          <w:bCs/>
          <w:szCs w:val="20"/>
        </w:rPr>
        <w:t>valuació</w:t>
      </w:r>
      <w:r w:rsidRPr="00C86F03">
        <w:rPr>
          <w:rFonts w:eastAsia="Times New Roman" w:cs="Times New Roman"/>
          <w:b/>
          <w:bCs/>
          <w:szCs w:val="20"/>
        </w:rPr>
        <w:t xml:space="preserve">n de las </w:t>
      </w:r>
      <w:proofErr w:type="spellStart"/>
      <w:r w:rsidRPr="00C86F03">
        <w:rPr>
          <w:rFonts w:eastAsia="Times New Roman" w:cs="Times New Roman"/>
          <w:b/>
          <w:bCs/>
          <w:szCs w:val="20"/>
        </w:rPr>
        <w:t>metodol</w:t>
      </w:r>
      <w:r w:rsidR="00320DD4">
        <w:rPr>
          <w:rFonts w:eastAsia="Times New Roman" w:cs="Times New Roman"/>
          <w:b/>
          <w:bCs/>
          <w:szCs w:val="20"/>
        </w:rPr>
        <w:t>o</w:t>
      </w:r>
      <w:r w:rsidRPr="00C86F03">
        <w:rPr>
          <w:rFonts w:eastAsia="Times New Roman" w:cs="Times New Roman"/>
          <w:b/>
          <w:bCs/>
          <w:szCs w:val="20"/>
        </w:rPr>
        <w:t>gi</w:t>
      </w:r>
      <w:r w:rsidR="00320DD4">
        <w:rPr>
          <w:rFonts w:eastAsia="Times New Roman" w:cs="Times New Roman"/>
          <w:b/>
          <w:bCs/>
          <w:szCs w:val="20"/>
        </w:rPr>
        <w:t>as</w:t>
      </w:r>
      <w:proofErr w:type="spellEnd"/>
      <w:r w:rsidRPr="00C86F03">
        <w:rPr>
          <w:rFonts w:eastAsia="Times New Roman" w:cs="Times New Roman"/>
          <w:b/>
          <w:bCs/>
          <w:szCs w:val="20"/>
        </w:rPr>
        <w:t xml:space="preserve"> de </w:t>
      </w:r>
      <w:proofErr w:type="spellStart"/>
      <w:r w:rsidRPr="00C86F03">
        <w:rPr>
          <w:rFonts w:eastAsia="Times New Roman" w:cs="Times New Roman"/>
          <w:b/>
          <w:bCs/>
          <w:szCs w:val="20"/>
        </w:rPr>
        <w:t>Anvisa</w:t>
      </w:r>
      <w:proofErr w:type="spellEnd"/>
    </w:p>
    <w:p w14:paraId="024B8BE5" w14:textId="77777777" w:rsidR="00800A12" w:rsidRPr="006E4A25" w:rsidRDefault="00800A12" w:rsidP="00800A12">
      <w:pPr>
        <w:jc w:val="center"/>
        <w:rPr>
          <w:bCs/>
          <w:i/>
          <w:iCs/>
          <w:szCs w:val="20"/>
          <w:lang w:val="en-US"/>
        </w:rPr>
      </w:pPr>
      <w:r w:rsidRPr="006E4A25">
        <w:rPr>
          <w:bCs/>
          <w:i/>
          <w:iCs/>
          <w:szCs w:val="20"/>
          <w:lang w:val="en-US"/>
        </w:rPr>
        <w:t>(</w:t>
      </w:r>
      <w:r w:rsidRPr="006E4A25">
        <w:rPr>
          <w:i/>
          <w:iCs/>
          <w:lang w:val="en-US"/>
        </w:rPr>
        <w:t xml:space="preserve">Regulatory Impact Analysis in Brazilian Health Surveillance: An Examination of </w:t>
      </w:r>
      <w:proofErr w:type="spellStart"/>
      <w:r w:rsidRPr="006E4A25">
        <w:rPr>
          <w:i/>
          <w:iCs/>
          <w:lang w:val="en-US"/>
        </w:rPr>
        <w:t>Anvisa's</w:t>
      </w:r>
      <w:proofErr w:type="spellEnd"/>
      <w:r w:rsidRPr="006E4A25">
        <w:rPr>
          <w:i/>
          <w:iCs/>
          <w:lang w:val="en-US"/>
        </w:rPr>
        <w:t xml:space="preserve"> Methodological Practices</w:t>
      </w:r>
      <w:r w:rsidRPr="006E4A25">
        <w:rPr>
          <w:bCs/>
          <w:i/>
          <w:iCs/>
          <w:szCs w:val="20"/>
          <w:lang w:val="en-US"/>
        </w:rPr>
        <w:t>)</w:t>
      </w:r>
    </w:p>
    <w:p w14:paraId="27428744" w14:textId="5FC06086" w:rsidR="00800A12" w:rsidRPr="006E4A25" w:rsidRDefault="00050CDB" w:rsidP="00800A12">
      <w:pPr>
        <w:jc w:val="center"/>
        <w:rPr>
          <w:bCs/>
          <w:szCs w:val="20"/>
          <w:lang w:val="en-US"/>
        </w:rPr>
      </w:pPr>
      <w:r>
        <w:rPr>
          <w:lang w:val="en-US"/>
        </w:rPr>
        <w:t>J</w:t>
      </w:r>
      <w:r w:rsidR="00F472B8">
        <w:rPr>
          <w:lang w:val="en-US"/>
        </w:rPr>
        <w:t xml:space="preserve"> </w:t>
      </w:r>
      <w:r w:rsidR="00800A12" w:rsidRPr="006E4A25">
        <w:rPr>
          <w:lang w:val="en-US"/>
        </w:rPr>
        <w:t>Heinen</w:t>
      </w:r>
    </w:p>
    <w:p w14:paraId="3E4C0297" w14:textId="77777777" w:rsidR="00800A12" w:rsidRPr="006E4A25" w:rsidRDefault="00800A12" w:rsidP="00800A12">
      <w:pPr>
        <w:jc w:val="center"/>
        <w:rPr>
          <w:lang w:val="en-US"/>
        </w:rPr>
      </w:pPr>
      <w:r w:rsidRPr="006E4A25">
        <w:rPr>
          <w:i/>
          <w:iCs/>
          <w:lang w:val="en-US"/>
        </w:rPr>
        <w:t>Athens Journal of Law</w:t>
      </w:r>
      <w:r w:rsidRPr="006E4A25">
        <w:rPr>
          <w:lang w:val="en-US"/>
        </w:rPr>
        <w:t xml:space="preserve"> 2026; 12:1-19 </w:t>
      </w:r>
      <w:hyperlink r:id="rId35" w:history="1">
        <w:r w:rsidRPr="006E4A25">
          <w:rPr>
            <w:rStyle w:val="Hipervnculo"/>
            <w:lang w:val="en-US"/>
          </w:rPr>
          <w:t>https://doi.org/10.30958/ajl.X-Y-Z</w:t>
        </w:r>
      </w:hyperlink>
    </w:p>
    <w:p w14:paraId="050C1EE5" w14:textId="77777777" w:rsidR="00800A12" w:rsidRPr="006E4A25" w:rsidRDefault="00B00DA4" w:rsidP="00800A12">
      <w:pPr>
        <w:jc w:val="center"/>
        <w:rPr>
          <w:bCs/>
          <w:szCs w:val="20"/>
          <w:lang w:val="en-US"/>
        </w:rPr>
      </w:pPr>
      <w:hyperlink r:id="rId36" w:history="1">
        <w:r w:rsidR="00800A12" w:rsidRPr="006E4A25">
          <w:rPr>
            <w:rStyle w:val="Hipervnculo"/>
            <w:bCs/>
            <w:szCs w:val="20"/>
            <w:lang w:val="en-US"/>
          </w:rPr>
          <w:t>https://www.athensjournals.gr/law/2026-7096-AJL-Heinen-02.pdf</w:t>
        </w:r>
      </w:hyperlink>
    </w:p>
    <w:p w14:paraId="3D09E7F8" w14:textId="77777777" w:rsidR="00800A12" w:rsidRDefault="00800A12" w:rsidP="00800A12">
      <w:pPr>
        <w:jc w:val="center"/>
      </w:pPr>
      <w:r>
        <w:rPr>
          <w:rFonts w:eastAsia="Times New Roman" w:cs="Times New Roman"/>
          <w:szCs w:val="20"/>
        </w:rPr>
        <w:t xml:space="preserve">Traducido por Salud y Fármacos, publicado en </w:t>
      </w:r>
      <w:r w:rsidRPr="00CA5ACC">
        <w:rPr>
          <w:rFonts w:cs="Times New Roman"/>
          <w:i/>
          <w:iCs/>
          <w:szCs w:val="20"/>
        </w:rPr>
        <w:t xml:space="preserve">Boletín Fármacos: </w:t>
      </w:r>
      <w:r>
        <w:rPr>
          <w:rFonts w:cs="Times New Roman"/>
          <w:i/>
          <w:iCs/>
          <w:szCs w:val="20"/>
        </w:rPr>
        <w:t>Agencias Reguladoras</w:t>
      </w:r>
      <w:r w:rsidRPr="00A82C9C">
        <w:rPr>
          <w:rFonts w:eastAsia="Times New Roman" w:cs="Times New Roman"/>
          <w:bCs/>
          <w:i/>
          <w:iCs/>
          <w:color w:val="000000" w:themeColor="text1"/>
          <w:szCs w:val="16"/>
          <w:lang w:val="es-ES"/>
        </w:rPr>
        <w:t xml:space="preserve"> 202</w:t>
      </w:r>
      <w:r>
        <w:rPr>
          <w:rFonts w:eastAsia="Times New Roman" w:cs="Times New Roman"/>
          <w:bCs/>
          <w:i/>
          <w:iCs/>
          <w:color w:val="000000" w:themeColor="text1"/>
          <w:szCs w:val="16"/>
          <w:lang w:val="es-ES"/>
        </w:rPr>
        <w:t>6</w:t>
      </w:r>
      <w:r w:rsidRPr="00A82C9C">
        <w:rPr>
          <w:rFonts w:eastAsia="Times New Roman" w:cs="Times New Roman"/>
          <w:bCs/>
          <w:i/>
          <w:iCs/>
          <w:color w:val="000000" w:themeColor="text1"/>
          <w:szCs w:val="16"/>
          <w:lang w:val="es-ES"/>
        </w:rPr>
        <w:t>; 2</w:t>
      </w:r>
      <w:r>
        <w:rPr>
          <w:rFonts w:eastAsia="Times New Roman" w:cs="Times New Roman"/>
          <w:bCs/>
          <w:i/>
          <w:iCs/>
          <w:color w:val="000000" w:themeColor="text1"/>
          <w:szCs w:val="16"/>
          <w:lang w:val="es-ES"/>
        </w:rPr>
        <w:t>9</w:t>
      </w:r>
      <w:r w:rsidRPr="00A82C9C">
        <w:rPr>
          <w:rFonts w:eastAsia="Times New Roman" w:cs="Times New Roman"/>
          <w:bCs/>
          <w:i/>
          <w:iCs/>
          <w:color w:val="000000" w:themeColor="text1"/>
          <w:szCs w:val="16"/>
          <w:lang w:val="es-ES"/>
        </w:rPr>
        <w:t>(</w:t>
      </w:r>
      <w:r>
        <w:rPr>
          <w:rFonts w:eastAsia="Times New Roman" w:cs="Times New Roman"/>
          <w:bCs/>
          <w:i/>
          <w:iCs/>
          <w:color w:val="000000" w:themeColor="text1"/>
          <w:szCs w:val="16"/>
          <w:lang w:val="es-ES"/>
        </w:rPr>
        <w:t>3</w:t>
      </w:r>
      <w:r w:rsidRPr="00A82C9C">
        <w:rPr>
          <w:rFonts w:eastAsia="Times New Roman" w:cs="Times New Roman"/>
          <w:bCs/>
          <w:i/>
          <w:iCs/>
          <w:color w:val="000000" w:themeColor="text1"/>
          <w:szCs w:val="16"/>
          <w:lang w:val="es-ES"/>
        </w:rPr>
        <w:t>)</w:t>
      </w:r>
    </w:p>
    <w:p w14:paraId="4014F873" w14:textId="77777777" w:rsidR="00800A12" w:rsidRDefault="00800A12" w:rsidP="00800A12">
      <w:pPr>
        <w:jc w:val="center"/>
        <w:rPr>
          <w:bCs/>
          <w:szCs w:val="20"/>
        </w:rPr>
      </w:pPr>
    </w:p>
    <w:p w14:paraId="32A0A496" w14:textId="77777777" w:rsidR="00C10FFE" w:rsidRDefault="00C10FFE" w:rsidP="00800A12">
      <w:pPr>
        <w:rPr>
          <w:b/>
          <w:sz w:val="18"/>
          <w:szCs w:val="18"/>
        </w:rPr>
        <w:sectPr w:rsidR="00C10FFE" w:rsidSect="00F25512">
          <w:type w:val="continuous"/>
          <w:pgSz w:w="12240" w:h="15840" w:code="1"/>
          <w:pgMar w:top="720" w:right="720" w:bottom="720" w:left="720" w:header="288" w:footer="288" w:gutter="0"/>
          <w:cols w:space="288"/>
          <w:docGrid w:linePitch="360"/>
        </w:sectPr>
      </w:pPr>
    </w:p>
    <w:p w14:paraId="7F8C2811" w14:textId="7243EB23" w:rsidR="00800A12" w:rsidRPr="00C86F03" w:rsidRDefault="00800A12" w:rsidP="00800A12">
      <w:pPr>
        <w:rPr>
          <w:rFonts w:cs="Times New Roman"/>
          <w:b/>
          <w:bCs/>
          <w:color w:val="FF0000"/>
          <w:sz w:val="18"/>
          <w:szCs w:val="18"/>
        </w:rPr>
      </w:pPr>
      <w:r w:rsidRPr="002B593E">
        <w:rPr>
          <w:b/>
          <w:sz w:val="18"/>
          <w:szCs w:val="18"/>
        </w:rPr>
        <w:t>Tags:</w:t>
      </w:r>
      <w:r>
        <w:rPr>
          <w:b/>
          <w:sz w:val="18"/>
          <w:szCs w:val="18"/>
        </w:rPr>
        <w:t xml:space="preserve"> </w:t>
      </w:r>
      <w:r w:rsidRPr="00C86F03">
        <w:rPr>
          <w:b/>
          <w:bCs/>
          <w:sz w:val="18"/>
          <w:szCs w:val="22"/>
        </w:rPr>
        <w:t>Análisis de impacto regulatorio; ANVISA; análisis costo-beneficio; eficiencia; regulación en salud; OECD</w:t>
      </w:r>
    </w:p>
    <w:p w14:paraId="3EEA21A4" w14:textId="77777777" w:rsidR="00800A12" w:rsidRDefault="00800A12" w:rsidP="00800A12">
      <w:pPr>
        <w:rPr>
          <w:rFonts w:cs="Times New Roman"/>
          <w:b/>
          <w:bCs/>
          <w:color w:val="FF0000"/>
          <w:szCs w:val="20"/>
        </w:rPr>
      </w:pPr>
    </w:p>
    <w:p w14:paraId="7CFBB10E" w14:textId="77777777" w:rsidR="00800A12" w:rsidRPr="00C86F03" w:rsidRDefault="00800A12" w:rsidP="00800A12">
      <w:pPr>
        <w:rPr>
          <w:b/>
          <w:bCs/>
        </w:rPr>
      </w:pPr>
      <w:r w:rsidRPr="00C86F03">
        <w:rPr>
          <w:b/>
          <w:bCs/>
        </w:rPr>
        <w:t>Resumen</w:t>
      </w:r>
    </w:p>
    <w:p w14:paraId="5EC457C0" w14:textId="7F3E2354" w:rsidR="00800A12" w:rsidRDefault="00800A12" w:rsidP="00800A12">
      <w:pPr>
        <w:rPr>
          <w:rFonts w:cs="Times New Roman"/>
          <w:szCs w:val="20"/>
        </w:rPr>
      </w:pPr>
      <w:r w:rsidRPr="00C86F03">
        <w:rPr>
          <w:rFonts w:cs="Times New Roman"/>
          <w:szCs w:val="20"/>
        </w:rPr>
        <w:t xml:space="preserve">Este artículo analiza </w:t>
      </w:r>
      <w:r w:rsidR="00320DD4">
        <w:rPr>
          <w:rFonts w:cs="Times New Roman"/>
          <w:szCs w:val="20"/>
        </w:rPr>
        <w:t xml:space="preserve">el método que </w:t>
      </w:r>
      <w:r w:rsidR="00320DD4" w:rsidRPr="00C86F03">
        <w:rPr>
          <w:rFonts w:cs="Times New Roman"/>
          <w:szCs w:val="20"/>
        </w:rPr>
        <w:t xml:space="preserve">la Agencia Nacional de Vigilancia Sanitaria (ANVISA) </w:t>
      </w:r>
      <w:r w:rsidR="00320DD4">
        <w:rPr>
          <w:rFonts w:cs="Times New Roman"/>
          <w:szCs w:val="20"/>
        </w:rPr>
        <w:t xml:space="preserve">utiliza para la toma </w:t>
      </w:r>
      <w:r w:rsidRPr="00C86F03">
        <w:rPr>
          <w:rFonts w:cs="Times New Roman"/>
          <w:szCs w:val="20"/>
        </w:rPr>
        <w:t>de decisiones desde la perspectiva de l</w:t>
      </w:r>
      <w:r>
        <w:rPr>
          <w:rFonts w:cs="Times New Roman"/>
          <w:szCs w:val="20"/>
        </w:rPr>
        <w:t>o</w:t>
      </w:r>
      <w:r w:rsidRPr="00C86F03">
        <w:rPr>
          <w:rFonts w:cs="Times New Roman"/>
          <w:szCs w:val="20"/>
        </w:rPr>
        <w:t>s</w:t>
      </w:r>
      <w:r>
        <w:rPr>
          <w:rFonts w:cs="Times New Roman"/>
          <w:szCs w:val="20"/>
        </w:rPr>
        <w:t xml:space="preserve"> lineamientos</w:t>
      </w:r>
      <w:r w:rsidRPr="00C86F03">
        <w:rPr>
          <w:rFonts w:cs="Times New Roman"/>
          <w:szCs w:val="20"/>
        </w:rPr>
        <w:t xml:space="preserve"> de la OCDE para el Análisis Costo-Beneficio. </w:t>
      </w:r>
    </w:p>
    <w:p w14:paraId="2D674FB8" w14:textId="6F6EA2B4" w:rsidR="00800A12" w:rsidRDefault="00800A12" w:rsidP="00800A12">
      <w:pPr>
        <w:rPr>
          <w:rFonts w:cs="Times New Roman"/>
          <w:szCs w:val="20"/>
        </w:rPr>
      </w:pPr>
    </w:p>
    <w:p w14:paraId="6DA6A789" w14:textId="3F476F40" w:rsidR="00320DD4" w:rsidRDefault="00320DD4" w:rsidP="00320DD4">
      <w:pPr>
        <w:rPr>
          <w:rFonts w:cs="Times New Roman"/>
          <w:szCs w:val="20"/>
        </w:rPr>
      </w:pPr>
      <w:r>
        <w:rPr>
          <w:rFonts w:cs="Times New Roman"/>
          <w:szCs w:val="20"/>
        </w:rPr>
        <w:t>El</w:t>
      </w:r>
      <w:r w:rsidRPr="00C86F03">
        <w:rPr>
          <w:rFonts w:cs="Times New Roman"/>
          <w:szCs w:val="20"/>
        </w:rPr>
        <w:t xml:space="preserve"> análisis documental sistemático de los Informes de Análisis de Impacto Regulatorio elaborados entre 2022 y 2025</w:t>
      </w:r>
      <w:r>
        <w:rPr>
          <w:rFonts w:cs="Times New Roman"/>
          <w:szCs w:val="20"/>
        </w:rPr>
        <w:t xml:space="preserve"> </w:t>
      </w:r>
      <w:r w:rsidRPr="00C86F03">
        <w:rPr>
          <w:rFonts w:cs="Times New Roman"/>
          <w:szCs w:val="20"/>
        </w:rPr>
        <w:t>demuestra que la agencia opera bajo una lógica técnico-regulatoria que prioriza las m</w:t>
      </w:r>
      <w:r>
        <w:rPr>
          <w:rFonts w:cs="Times New Roman"/>
          <w:szCs w:val="20"/>
        </w:rPr>
        <w:t>ediciones de</w:t>
      </w:r>
      <w:r w:rsidRPr="00C86F03">
        <w:rPr>
          <w:rFonts w:cs="Times New Roman"/>
          <w:szCs w:val="20"/>
        </w:rPr>
        <w:t xml:space="preserve"> proce</w:t>
      </w:r>
      <w:r>
        <w:rPr>
          <w:rFonts w:cs="Times New Roman"/>
          <w:szCs w:val="20"/>
        </w:rPr>
        <w:t>so</w:t>
      </w:r>
      <w:r w:rsidRPr="00C86F03">
        <w:rPr>
          <w:rFonts w:cs="Times New Roman"/>
          <w:szCs w:val="20"/>
        </w:rPr>
        <w:t xml:space="preserve"> y cualitativas</w:t>
      </w:r>
      <w:r>
        <w:rPr>
          <w:rFonts w:cs="Times New Roman"/>
          <w:szCs w:val="20"/>
        </w:rPr>
        <w:t>, por encima</w:t>
      </w:r>
      <w:r w:rsidRPr="00C86F03">
        <w:rPr>
          <w:rFonts w:cs="Times New Roman"/>
          <w:szCs w:val="20"/>
        </w:rPr>
        <w:t xml:space="preserve"> </w:t>
      </w:r>
      <w:r>
        <w:rPr>
          <w:rFonts w:cs="Times New Roman"/>
          <w:szCs w:val="20"/>
        </w:rPr>
        <w:t>de</w:t>
      </w:r>
      <w:r w:rsidRPr="00C86F03">
        <w:rPr>
          <w:rFonts w:cs="Times New Roman"/>
          <w:szCs w:val="20"/>
        </w:rPr>
        <w:t xml:space="preserve"> la valoración económica del bienestar social. </w:t>
      </w:r>
    </w:p>
    <w:p w14:paraId="291DA8C9" w14:textId="71E0ED60" w:rsidR="00320DD4" w:rsidRDefault="00320DD4" w:rsidP="00800A12">
      <w:pPr>
        <w:rPr>
          <w:rFonts w:cs="Times New Roman"/>
          <w:szCs w:val="20"/>
        </w:rPr>
      </w:pPr>
    </w:p>
    <w:p w14:paraId="6B109E26" w14:textId="77777777" w:rsidR="00320DD4" w:rsidRDefault="00320DD4" w:rsidP="00320DD4">
      <w:pPr>
        <w:rPr>
          <w:rFonts w:cs="Times New Roman"/>
          <w:szCs w:val="20"/>
        </w:rPr>
      </w:pPr>
      <w:r w:rsidRPr="00C86F03">
        <w:rPr>
          <w:rFonts w:cs="Times New Roman"/>
          <w:szCs w:val="20"/>
        </w:rPr>
        <w:t xml:space="preserve">La ausencia sistemática de indicadores como el Valor Actual Neto, la Tasa Interna de Retorno Social y la monetización de las </w:t>
      </w:r>
      <w:r w:rsidRPr="00C86F03">
        <w:rPr>
          <w:rFonts w:cs="Times New Roman"/>
          <w:szCs w:val="20"/>
        </w:rPr>
        <w:t xml:space="preserve">externalidades revela una divergencia estructural entre la práctica institucional y el estándar científico </w:t>
      </w:r>
      <w:r>
        <w:rPr>
          <w:rFonts w:cs="Times New Roman"/>
          <w:szCs w:val="20"/>
        </w:rPr>
        <w:t>de la</w:t>
      </w:r>
      <w:r w:rsidRPr="00C86F03">
        <w:rPr>
          <w:rFonts w:cs="Times New Roman"/>
          <w:szCs w:val="20"/>
        </w:rPr>
        <w:t xml:space="preserve"> eficiencia</w:t>
      </w:r>
      <w:r>
        <w:rPr>
          <w:rFonts w:cs="Times New Roman"/>
          <w:szCs w:val="20"/>
        </w:rPr>
        <w:t xml:space="preserve"> en la asignación (o eficiencia asignativa),</w:t>
      </w:r>
      <w:r w:rsidRPr="00C86F03">
        <w:rPr>
          <w:rFonts w:cs="Times New Roman"/>
          <w:szCs w:val="20"/>
        </w:rPr>
        <w:t xml:space="preserve"> que se promueve a nivel nacional e internacional. Se argumenta que la agencia utiliza la «incertidumbre científica», </w:t>
      </w:r>
      <w:r>
        <w:rPr>
          <w:rFonts w:cs="Times New Roman"/>
          <w:szCs w:val="20"/>
        </w:rPr>
        <w:t>y la invoca</w:t>
      </w:r>
      <w:r w:rsidRPr="00C86F03">
        <w:rPr>
          <w:rFonts w:cs="Times New Roman"/>
          <w:szCs w:val="20"/>
        </w:rPr>
        <w:t xml:space="preserve"> repetidamente como una barrera metodológica para justificar la inercia cuantitativa</w:t>
      </w:r>
      <w:r>
        <w:rPr>
          <w:rFonts w:cs="Times New Roman"/>
          <w:szCs w:val="20"/>
        </w:rPr>
        <w:t>,</w:t>
      </w:r>
      <w:r w:rsidRPr="00C86F03">
        <w:rPr>
          <w:rFonts w:cs="Times New Roman"/>
          <w:szCs w:val="20"/>
        </w:rPr>
        <w:t xml:space="preserve"> cuando podría ser objeto de modelos estocásticos y análisis de sensibilidad rigurosos. </w:t>
      </w:r>
    </w:p>
    <w:p w14:paraId="778FFD68" w14:textId="77777777" w:rsidR="00320DD4" w:rsidRDefault="00320DD4" w:rsidP="00320DD4">
      <w:pPr>
        <w:rPr>
          <w:rFonts w:cs="Times New Roman"/>
          <w:szCs w:val="20"/>
        </w:rPr>
      </w:pPr>
    </w:p>
    <w:p w14:paraId="69F9644F" w14:textId="77777777" w:rsidR="00320DD4" w:rsidRDefault="00320DD4" w:rsidP="00320DD4">
      <w:pPr>
        <w:rPr>
          <w:rFonts w:cs="Times New Roman"/>
          <w:szCs w:val="20"/>
        </w:rPr>
      </w:pPr>
      <w:r w:rsidRPr="00C86F03">
        <w:rPr>
          <w:rFonts w:cs="Times New Roman"/>
          <w:szCs w:val="20"/>
        </w:rPr>
        <w:t xml:space="preserve">El artículo concluye que </w:t>
      </w:r>
      <w:r>
        <w:rPr>
          <w:rFonts w:cs="Times New Roman"/>
          <w:szCs w:val="20"/>
        </w:rPr>
        <w:t xml:space="preserve">la </w:t>
      </w:r>
      <w:r w:rsidRPr="00C86F03">
        <w:rPr>
          <w:rFonts w:cs="Times New Roman"/>
          <w:szCs w:val="20"/>
        </w:rPr>
        <w:t>ANVISA podría ampliar sus criterios analíticos para incorporar el análisis de costo-beneficio previsto en el artículo 7, apartado II, del Decreto n.º 10.411/2020</w:t>
      </w:r>
      <w:r>
        <w:rPr>
          <w:rFonts w:cs="Times New Roman"/>
          <w:szCs w:val="20"/>
        </w:rPr>
        <w:t xml:space="preserve"> [1]</w:t>
      </w:r>
      <w:r w:rsidRPr="00C86F03">
        <w:rPr>
          <w:rFonts w:cs="Times New Roman"/>
          <w:szCs w:val="20"/>
        </w:rPr>
        <w:t>, acercándolo así al paradigma de evidencia regulatoria exigido por las organizaciones multilaterales y la literatura especializada de vanguardia.</w:t>
      </w:r>
    </w:p>
    <w:p w14:paraId="5CFF6B38" w14:textId="77777777" w:rsidR="00320DD4" w:rsidRDefault="00320DD4" w:rsidP="00800A12">
      <w:pPr>
        <w:rPr>
          <w:rFonts w:cs="Times New Roman"/>
          <w:szCs w:val="20"/>
        </w:rPr>
      </w:pPr>
    </w:p>
    <w:p w14:paraId="1EE1E87B" w14:textId="77777777" w:rsidR="00800A12" w:rsidRPr="00041141" w:rsidRDefault="00800A12" w:rsidP="00800A12">
      <w:pPr>
        <w:rPr>
          <w:rFonts w:cs="Times New Roman"/>
          <w:b/>
          <w:bCs/>
          <w:sz w:val="18"/>
          <w:szCs w:val="18"/>
        </w:rPr>
      </w:pPr>
      <w:r w:rsidRPr="00041141">
        <w:rPr>
          <w:rFonts w:cs="Times New Roman"/>
          <w:b/>
          <w:bCs/>
          <w:sz w:val="18"/>
          <w:szCs w:val="18"/>
        </w:rPr>
        <w:t>Referencia:</w:t>
      </w:r>
    </w:p>
    <w:p w14:paraId="5BA06B48" w14:textId="77777777" w:rsidR="00800A12" w:rsidRPr="00041141" w:rsidRDefault="00800A12" w:rsidP="002478D5">
      <w:pPr>
        <w:pStyle w:val="Prrafodelista"/>
        <w:numPr>
          <w:ilvl w:val="0"/>
          <w:numId w:val="15"/>
        </w:numPr>
        <w:ind w:left="180" w:hanging="180"/>
        <w:rPr>
          <w:rFonts w:cs="Times New Roman"/>
          <w:sz w:val="18"/>
          <w:szCs w:val="18"/>
        </w:rPr>
      </w:pPr>
      <w:r w:rsidRPr="00041141">
        <w:rPr>
          <w:rFonts w:cs="Times New Roman"/>
          <w:sz w:val="18"/>
          <w:szCs w:val="18"/>
        </w:rPr>
        <w:lastRenderedPageBreak/>
        <w:t xml:space="preserve">Gobierno de Brasil. Decreto N°10.411 del 30 de junio de 2020, ¨Reglamenta el análisis del impacto regulatorio, según lo dispuesto en el artículo 5 de la Ley </w:t>
      </w:r>
      <w:proofErr w:type="spellStart"/>
      <w:r w:rsidRPr="00041141">
        <w:rPr>
          <w:rFonts w:cs="Times New Roman"/>
          <w:sz w:val="18"/>
          <w:szCs w:val="18"/>
        </w:rPr>
        <w:t>N°</w:t>
      </w:r>
      <w:proofErr w:type="spellEnd"/>
      <w:r w:rsidRPr="00041141">
        <w:rPr>
          <w:rFonts w:cs="Times New Roman"/>
          <w:sz w:val="18"/>
          <w:szCs w:val="18"/>
        </w:rPr>
        <w:t xml:space="preserve"> 13.874 del 20 de septiembre de 2019, y el </w:t>
      </w:r>
      <w:r w:rsidRPr="00041141">
        <w:rPr>
          <w:rFonts w:cs="Times New Roman"/>
          <w:sz w:val="18"/>
          <w:szCs w:val="18"/>
        </w:rPr>
        <w:t xml:space="preserve">artículo 6 de la Ley </w:t>
      </w:r>
      <w:proofErr w:type="spellStart"/>
      <w:r w:rsidRPr="00041141">
        <w:rPr>
          <w:rFonts w:cs="Times New Roman"/>
          <w:sz w:val="18"/>
          <w:szCs w:val="18"/>
        </w:rPr>
        <w:t>N°</w:t>
      </w:r>
      <w:proofErr w:type="spellEnd"/>
      <w:r w:rsidRPr="00041141">
        <w:rPr>
          <w:rFonts w:cs="Times New Roman"/>
          <w:sz w:val="18"/>
          <w:szCs w:val="18"/>
        </w:rPr>
        <w:t xml:space="preserve"> 13.848, del 25 de junio de 2019. Disponible en: </w:t>
      </w:r>
      <w:hyperlink r:id="rId37" w:history="1">
        <w:r w:rsidRPr="00041141">
          <w:rPr>
            <w:rStyle w:val="Hipervnculo"/>
            <w:rFonts w:cs="Times New Roman"/>
            <w:sz w:val="18"/>
            <w:szCs w:val="18"/>
          </w:rPr>
          <w:t>https://www2.camara.leg.br/legin/fed/decret/2020/decreto-10411-30-junho-2020-790371-norma-pe.html</w:t>
        </w:r>
      </w:hyperlink>
    </w:p>
    <w:p w14:paraId="6A56D9A7" w14:textId="77777777" w:rsidR="00C10FFE" w:rsidRDefault="00C10FFE" w:rsidP="00320DD4">
      <w:pPr>
        <w:ind w:left="180" w:hanging="180"/>
        <w:jc w:val="center"/>
        <w:rPr>
          <w:lang w:eastAsia="es-CO"/>
        </w:rPr>
        <w:sectPr w:rsidR="00C10FFE" w:rsidSect="00C10FFE">
          <w:type w:val="continuous"/>
          <w:pgSz w:w="12240" w:h="15840" w:code="1"/>
          <w:pgMar w:top="720" w:right="720" w:bottom="720" w:left="720" w:header="288" w:footer="288" w:gutter="0"/>
          <w:cols w:num="2" w:space="288"/>
          <w:docGrid w:linePitch="360"/>
        </w:sectPr>
      </w:pPr>
    </w:p>
    <w:p w14:paraId="3BB9DE44" w14:textId="57D6E688" w:rsidR="00800A12" w:rsidRDefault="00800A12" w:rsidP="00320DD4">
      <w:pPr>
        <w:ind w:left="180" w:hanging="180"/>
        <w:jc w:val="center"/>
        <w:rPr>
          <w:lang w:eastAsia="es-CO"/>
        </w:rPr>
      </w:pPr>
    </w:p>
    <w:p w14:paraId="1A481EE9" w14:textId="77777777" w:rsidR="00800A12" w:rsidRDefault="00800A12" w:rsidP="005D5200">
      <w:pPr>
        <w:jc w:val="center"/>
        <w:rPr>
          <w:lang w:eastAsia="es-CO"/>
        </w:rPr>
      </w:pPr>
    </w:p>
    <w:p w14:paraId="3361223D" w14:textId="649098F0" w:rsidR="00D17869" w:rsidRPr="00024398" w:rsidRDefault="005D5200" w:rsidP="005D5200">
      <w:pPr>
        <w:jc w:val="center"/>
        <w:rPr>
          <w:lang w:eastAsia="es-CO"/>
        </w:rPr>
      </w:pPr>
      <w:r>
        <w:rPr>
          <w:lang w:eastAsia="es-CO"/>
        </w:rPr>
        <w:t xml:space="preserve">Brasil. </w:t>
      </w:r>
      <w:r w:rsidR="00D17869" w:rsidRPr="005D5200">
        <w:rPr>
          <w:b/>
          <w:bCs/>
          <w:lang w:eastAsia="es-CO"/>
        </w:rPr>
        <w:t xml:space="preserve">El Ministerio de Salud suspende temporalmente la estrategia de vacunación de </w:t>
      </w:r>
      <w:proofErr w:type="spellStart"/>
      <w:r w:rsidR="00D17869" w:rsidRPr="005D5200">
        <w:rPr>
          <w:b/>
          <w:bCs/>
          <w:lang w:eastAsia="es-CO"/>
        </w:rPr>
        <w:t>Butantan</w:t>
      </w:r>
      <w:proofErr w:type="spellEnd"/>
      <w:r w:rsidR="00D17869" w:rsidRPr="005D5200">
        <w:rPr>
          <w:b/>
          <w:bCs/>
          <w:lang w:eastAsia="es-CO"/>
        </w:rPr>
        <w:t xml:space="preserve"> contra el dengue</w:t>
      </w:r>
    </w:p>
    <w:p w14:paraId="306B47AB" w14:textId="77777777" w:rsidR="00D17869" w:rsidRPr="00903DF7" w:rsidRDefault="00D17869" w:rsidP="00D17869">
      <w:pPr>
        <w:shd w:val="clear" w:color="auto" w:fill="FFFFFF"/>
        <w:jc w:val="center"/>
        <w:textAlignment w:val="baseline"/>
        <w:outlineLvl w:val="0"/>
        <w:rPr>
          <w:rFonts w:eastAsia="Times New Roman" w:cs="Times New Roman"/>
          <w:i/>
          <w:iCs/>
          <w:kern w:val="36"/>
          <w:szCs w:val="20"/>
          <w:lang w:val="pt-BR" w:eastAsia="es-CO"/>
        </w:rPr>
      </w:pPr>
      <w:r w:rsidRPr="00903DF7">
        <w:rPr>
          <w:rFonts w:eastAsia="Times New Roman" w:cs="Times New Roman"/>
          <w:i/>
          <w:iCs/>
          <w:kern w:val="36"/>
          <w:szCs w:val="20"/>
          <w:lang w:val="pt-BR" w:eastAsia="es-CO"/>
        </w:rPr>
        <w:t>(Ministério da Saúde descontinua temporariamente estratégia atual de vacinação do Butantan contra dengue)</w:t>
      </w:r>
    </w:p>
    <w:p w14:paraId="1EA925DE" w14:textId="77777777" w:rsidR="00D17869" w:rsidRPr="00903DF7" w:rsidRDefault="00D17869" w:rsidP="00D17869">
      <w:pPr>
        <w:shd w:val="clear" w:color="auto" w:fill="FFFFFF"/>
        <w:jc w:val="center"/>
        <w:textAlignment w:val="baseline"/>
        <w:outlineLvl w:val="0"/>
        <w:rPr>
          <w:rFonts w:eastAsia="Times New Roman" w:cs="Times New Roman"/>
          <w:color w:val="EE0000"/>
          <w:kern w:val="36"/>
          <w:szCs w:val="20"/>
          <w:lang w:val="pt-BR" w:eastAsia="es-CO"/>
        </w:rPr>
      </w:pPr>
      <w:r w:rsidRPr="00903DF7">
        <w:rPr>
          <w:rFonts w:eastAsia="Times New Roman" w:cs="Times New Roman"/>
          <w:i/>
          <w:iCs/>
          <w:kern w:val="36"/>
          <w:szCs w:val="20"/>
          <w:lang w:val="pt-BR" w:eastAsia="es-CO"/>
        </w:rPr>
        <w:t xml:space="preserve">Agencia Nacional de </w:t>
      </w:r>
      <w:proofErr w:type="spellStart"/>
      <w:r w:rsidRPr="00903DF7">
        <w:rPr>
          <w:rFonts w:eastAsia="Times New Roman" w:cs="Times New Roman"/>
          <w:i/>
          <w:iCs/>
          <w:kern w:val="36"/>
          <w:szCs w:val="20"/>
          <w:lang w:val="pt-BR" w:eastAsia="es-CO"/>
        </w:rPr>
        <w:t>Vigilancia</w:t>
      </w:r>
      <w:proofErr w:type="spellEnd"/>
      <w:r w:rsidRPr="00903DF7">
        <w:rPr>
          <w:rFonts w:eastAsia="Times New Roman" w:cs="Times New Roman"/>
          <w:i/>
          <w:iCs/>
          <w:kern w:val="36"/>
          <w:szCs w:val="20"/>
          <w:lang w:val="pt-BR" w:eastAsia="es-CO"/>
        </w:rPr>
        <w:t xml:space="preserve"> </w:t>
      </w:r>
      <w:proofErr w:type="spellStart"/>
      <w:r w:rsidRPr="00903DF7">
        <w:rPr>
          <w:rFonts w:eastAsia="Times New Roman" w:cs="Times New Roman"/>
          <w:i/>
          <w:iCs/>
          <w:kern w:val="36"/>
          <w:szCs w:val="20"/>
          <w:lang w:val="pt-BR" w:eastAsia="es-CO"/>
        </w:rPr>
        <w:t>Sanitaria</w:t>
      </w:r>
      <w:proofErr w:type="spellEnd"/>
      <w:r w:rsidRPr="00903DF7">
        <w:rPr>
          <w:rFonts w:eastAsia="Times New Roman" w:cs="Times New Roman"/>
          <w:i/>
          <w:iCs/>
          <w:kern w:val="36"/>
          <w:szCs w:val="20"/>
          <w:lang w:val="pt-BR" w:eastAsia="es-CO"/>
        </w:rPr>
        <w:t xml:space="preserve"> (ANVISA), </w:t>
      </w:r>
      <w:proofErr w:type="spellStart"/>
      <w:r w:rsidRPr="00903DF7">
        <w:rPr>
          <w:rFonts w:eastAsia="Times New Roman" w:cs="Times New Roman"/>
          <w:kern w:val="36"/>
          <w:szCs w:val="20"/>
          <w:lang w:val="pt-BR" w:eastAsia="es-CO"/>
        </w:rPr>
        <w:t>junio</w:t>
      </w:r>
      <w:proofErr w:type="spellEnd"/>
      <w:r w:rsidRPr="00903DF7">
        <w:rPr>
          <w:rFonts w:eastAsia="Times New Roman" w:cs="Times New Roman"/>
          <w:kern w:val="36"/>
          <w:szCs w:val="20"/>
          <w:lang w:val="pt-BR" w:eastAsia="es-CO"/>
        </w:rPr>
        <w:t xml:space="preserve"> de 2026</w:t>
      </w:r>
    </w:p>
    <w:p w14:paraId="5A1E78B5" w14:textId="1B289B77" w:rsidR="00D17869" w:rsidRPr="00903DF7" w:rsidRDefault="00B00DA4" w:rsidP="00D17869">
      <w:pPr>
        <w:shd w:val="clear" w:color="auto" w:fill="FFFFFF"/>
        <w:jc w:val="center"/>
        <w:textAlignment w:val="baseline"/>
        <w:outlineLvl w:val="0"/>
        <w:rPr>
          <w:rFonts w:eastAsia="Times New Roman" w:cs="Times New Roman"/>
          <w:kern w:val="36"/>
          <w:szCs w:val="20"/>
          <w:lang w:val="pt-BR" w:eastAsia="es-CO"/>
        </w:rPr>
      </w:pPr>
      <w:hyperlink r:id="rId38" w:history="1">
        <w:r w:rsidR="00D17869" w:rsidRPr="00903DF7">
          <w:rPr>
            <w:rStyle w:val="Hipervnculo"/>
            <w:rFonts w:eastAsia="Times New Roman" w:cs="Times New Roman"/>
            <w:kern w:val="36"/>
            <w:szCs w:val="20"/>
            <w:lang w:val="pt-BR" w:eastAsia="es-CO"/>
          </w:rPr>
          <w:t>https://antigo.anvisa.gov.br/informacoes-tecnicas13/-/asset_publisher/R6VaZWsQDDzS/content/-farmacovigilancia-descontinuidade-temporaria-da-estrategia-de-vacinacao-com-a-vacina-butantan-dv-contra-dengue-tetravalente-atenuada-dose-</w:t>
        </w:r>
        <w:r w:rsidR="00F472B8">
          <w:rPr>
            <w:rStyle w:val="Hipervnculo"/>
            <w:rFonts w:eastAsia="Times New Roman" w:cs="Times New Roman"/>
            <w:kern w:val="36"/>
            <w:szCs w:val="20"/>
            <w:lang w:val="pt-BR" w:eastAsia="es-CO"/>
          </w:rPr>
          <w:t>única</w:t>
        </w:r>
        <w:r w:rsidR="00D17869" w:rsidRPr="00903DF7">
          <w:rPr>
            <w:rStyle w:val="Hipervnculo"/>
            <w:rFonts w:eastAsia="Times New Roman" w:cs="Times New Roman"/>
            <w:kern w:val="36"/>
            <w:szCs w:val="20"/>
            <w:lang w:val="pt-BR" w:eastAsia="es-CO"/>
          </w:rPr>
          <w:t>-/33868</w:t>
        </w:r>
      </w:hyperlink>
    </w:p>
    <w:p w14:paraId="5E09A765" w14:textId="54620F83" w:rsidR="00D17869" w:rsidRDefault="00D17869" w:rsidP="00D17869">
      <w:pPr>
        <w:jc w:val="center"/>
      </w:pPr>
      <w:r>
        <w:rPr>
          <w:rFonts w:eastAsia="Times New Roman" w:cs="Times New Roman"/>
          <w:szCs w:val="20"/>
        </w:rPr>
        <w:t xml:space="preserve">Traducido por Salud y Fármacos, publicado en </w:t>
      </w:r>
      <w:r w:rsidRPr="00CA5ACC">
        <w:rPr>
          <w:rFonts w:cs="Times New Roman"/>
          <w:i/>
          <w:iCs/>
          <w:szCs w:val="20"/>
        </w:rPr>
        <w:t>Boletín Fármacos:</w:t>
      </w:r>
      <w:r>
        <w:rPr>
          <w:rFonts w:cs="Times New Roman"/>
          <w:i/>
          <w:iCs/>
          <w:szCs w:val="20"/>
        </w:rPr>
        <w:t xml:space="preserve"> </w:t>
      </w:r>
      <w:r w:rsidR="005D5200">
        <w:rPr>
          <w:rFonts w:eastAsia="Times New Roman" w:cs="Times New Roman"/>
          <w:bCs/>
          <w:i/>
          <w:iCs/>
          <w:color w:val="000000" w:themeColor="text1"/>
          <w:szCs w:val="16"/>
          <w:lang w:val="es-ES"/>
        </w:rPr>
        <w:t>Age</w:t>
      </w:r>
      <w:r>
        <w:rPr>
          <w:rFonts w:eastAsia="Times New Roman" w:cs="Times New Roman"/>
          <w:bCs/>
          <w:i/>
          <w:iCs/>
          <w:color w:val="000000" w:themeColor="text1"/>
          <w:szCs w:val="16"/>
          <w:lang w:val="es-ES"/>
        </w:rPr>
        <w:t>ncia</w:t>
      </w:r>
      <w:r w:rsidR="005D5200">
        <w:rPr>
          <w:rFonts w:eastAsia="Times New Roman" w:cs="Times New Roman"/>
          <w:bCs/>
          <w:i/>
          <w:iCs/>
          <w:color w:val="000000" w:themeColor="text1"/>
          <w:szCs w:val="16"/>
          <w:lang w:val="es-ES"/>
        </w:rPr>
        <w:t>s Reguladoras</w:t>
      </w:r>
      <w:r w:rsidRPr="00A82C9C">
        <w:rPr>
          <w:rFonts w:eastAsia="Times New Roman" w:cs="Times New Roman"/>
          <w:bCs/>
          <w:i/>
          <w:iCs/>
          <w:color w:val="000000" w:themeColor="text1"/>
          <w:szCs w:val="16"/>
          <w:lang w:val="es-ES"/>
        </w:rPr>
        <w:t xml:space="preserve"> 202</w:t>
      </w:r>
      <w:r>
        <w:rPr>
          <w:rFonts w:eastAsia="Times New Roman" w:cs="Times New Roman"/>
          <w:bCs/>
          <w:i/>
          <w:iCs/>
          <w:color w:val="000000" w:themeColor="text1"/>
          <w:szCs w:val="16"/>
          <w:lang w:val="es-ES"/>
        </w:rPr>
        <w:t>6</w:t>
      </w:r>
      <w:r w:rsidRPr="00A82C9C">
        <w:rPr>
          <w:rFonts w:eastAsia="Times New Roman" w:cs="Times New Roman"/>
          <w:bCs/>
          <w:i/>
          <w:iCs/>
          <w:color w:val="000000" w:themeColor="text1"/>
          <w:szCs w:val="16"/>
          <w:lang w:val="es-ES"/>
        </w:rPr>
        <w:t>; 2</w:t>
      </w:r>
      <w:r>
        <w:rPr>
          <w:rFonts w:eastAsia="Times New Roman" w:cs="Times New Roman"/>
          <w:bCs/>
          <w:i/>
          <w:iCs/>
          <w:color w:val="000000" w:themeColor="text1"/>
          <w:szCs w:val="16"/>
          <w:lang w:val="es-ES"/>
        </w:rPr>
        <w:t>9</w:t>
      </w:r>
      <w:r w:rsidRPr="00A82C9C">
        <w:rPr>
          <w:rFonts w:eastAsia="Times New Roman" w:cs="Times New Roman"/>
          <w:bCs/>
          <w:i/>
          <w:iCs/>
          <w:color w:val="000000" w:themeColor="text1"/>
          <w:szCs w:val="16"/>
          <w:lang w:val="es-ES"/>
        </w:rPr>
        <w:t>(</w:t>
      </w:r>
      <w:r>
        <w:rPr>
          <w:rFonts w:eastAsia="Times New Roman" w:cs="Times New Roman"/>
          <w:bCs/>
          <w:i/>
          <w:iCs/>
          <w:color w:val="000000" w:themeColor="text1"/>
          <w:szCs w:val="16"/>
          <w:lang w:val="es-ES"/>
        </w:rPr>
        <w:t>3</w:t>
      </w:r>
      <w:r w:rsidRPr="00A82C9C">
        <w:rPr>
          <w:rFonts w:eastAsia="Times New Roman" w:cs="Times New Roman"/>
          <w:bCs/>
          <w:i/>
          <w:iCs/>
          <w:color w:val="000000" w:themeColor="text1"/>
          <w:szCs w:val="16"/>
          <w:lang w:val="es-ES"/>
        </w:rPr>
        <w:t>)</w:t>
      </w:r>
    </w:p>
    <w:p w14:paraId="298BD1B9" w14:textId="77777777" w:rsidR="00C87184" w:rsidRDefault="00C87184" w:rsidP="005D5200">
      <w:pPr>
        <w:rPr>
          <w:color w:val="EE0000"/>
          <w:highlight w:val="yellow"/>
        </w:rPr>
      </w:pPr>
    </w:p>
    <w:p w14:paraId="1DC9A865" w14:textId="77777777" w:rsidR="00C10FFE" w:rsidRDefault="00C10FFE" w:rsidP="00816445">
      <w:pPr>
        <w:shd w:val="clear" w:color="auto" w:fill="FFFFFF"/>
        <w:textAlignment w:val="baseline"/>
        <w:outlineLvl w:val="0"/>
        <w:rPr>
          <w:b/>
          <w:bCs/>
          <w:color w:val="000000" w:themeColor="text1"/>
          <w:sz w:val="18"/>
          <w:szCs w:val="22"/>
        </w:rPr>
        <w:sectPr w:rsidR="00C10FFE" w:rsidSect="00F25512">
          <w:type w:val="continuous"/>
          <w:pgSz w:w="12240" w:h="15840" w:code="1"/>
          <w:pgMar w:top="720" w:right="720" w:bottom="720" w:left="720" w:header="288" w:footer="288" w:gutter="0"/>
          <w:cols w:space="288"/>
          <w:docGrid w:linePitch="360"/>
        </w:sectPr>
      </w:pPr>
    </w:p>
    <w:p w14:paraId="47073B60" w14:textId="20E8CB3D" w:rsidR="00816445" w:rsidRDefault="00816445" w:rsidP="00816445">
      <w:pPr>
        <w:shd w:val="clear" w:color="auto" w:fill="FFFFFF"/>
        <w:textAlignment w:val="baseline"/>
        <w:outlineLvl w:val="0"/>
        <w:rPr>
          <w:rFonts w:eastAsia="Times New Roman" w:cs="Times New Roman"/>
          <w:kern w:val="36"/>
          <w:szCs w:val="20"/>
          <w:lang w:eastAsia="es-CO"/>
        </w:rPr>
      </w:pPr>
      <w:r w:rsidRPr="00753CDC">
        <w:rPr>
          <w:b/>
          <w:bCs/>
          <w:color w:val="000000" w:themeColor="text1"/>
          <w:sz w:val="18"/>
          <w:szCs w:val="22"/>
        </w:rPr>
        <w:t>Tags:</w:t>
      </w:r>
      <w:r>
        <w:rPr>
          <w:b/>
          <w:bCs/>
          <w:color w:val="000000" w:themeColor="text1"/>
          <w:sz w:val="18"/>
          <w:szCs w:val="22"/>
        </w:rPr>
        <w:t xml:space="preserve"> </w:t>
      </w:r>
      <w:r w:rsidRPr="000E5228">
        <w:rPr>
          <w:rFonts w:eastAsia="Times New Roman" w:cs="Times New Roman"/>
          <w:b/>
          <w:bCs/>
          <w:kern w:val="36"/>
          <w:sz w:val="18"/>
          <w:szCs w:val="18"/>
          <w:lang w:eastAsia="es-CO"/>
        </w:rPr>
        <w:t>vacuna contra el dengue</w:t>
      </w:r>
      <w:r w:rsidRPr="00147C45">
        <w:rPr>
          <w:rFonts w:eastAsia="Times New Roman" w:cs="Times New Roman"/>
          <w:b/>
          <w:bCs/>
          <w:kern w:val="36"/>
          <w:sz w:val="18"/>
          <w:szCs w:val="18"/>
          <w:lang w:eastAsia="es-CO"/>
        </w:rPr>
        <w:t>,</w:t>
      </w:r>
      <w:r w:rsidRPr="000E5228">
        <w:rPr>
          <w:rFonts w:eastAsia="Times New Roman" w:cs="Times New Roman"/>
          <w:b/>
          <w:bCs/>
          <w:kern w:val="36"/>
          <w:sz w:val="18"/>
          <w:szCs w:val="18"/>
          <w:lang w:eastAsia="es-CO"/>
        </w:rPr>
        <w:t xml:space="preserve"> </w:t>
      </w:r>
      <w:proofErr w:type="spellStart"/>
      <w:r w:rsidRPr="000E5228">
        <w:rPr>
          <w:rFonts w:eastAsia="Times New Roman" w:cs="Times New Roman"/>
          <w:b/>
          <w:bCs/>
          <w:kern w:val="36"/>
          <w:sz w:val="18"/>
          <w:szCs w:val="18"/>
          <w:lang w:eastAsia="es-CO"/>
        </w:rPr>
        <w:t>Butantan</w:t>
      </w:r>
      <w:proofErr w:type="spellEnd"/>
      <w:r w:rsidRPr="000E5228">
        <w:rPr>
          <w:rFonts w:eastAsia="Times New Roman" w:cs="Times New Roman"/>
          <w:b/>
          <w:bCs/>
          <w:kern w:val="36"/>
          <w:sz w:val="18"/>
          <w:szCs w:val="18"/>
          <w:lang w:eastAsia="es-CO"/>
        </w:rPr>
        <w:t>-DV</w:t>
      </w:r>
      <w:r w:rsidRPr="00147C45">
        <w:rPr>
          <w:rFonts w:eastAsia="Times New Roman" w:cs="Times New Roman"/>
          <w:b/>
          <w:bCs/>
          <w:kern w:val="36"/>
          <w:sz w:val="18"/>
          <w:szCs w:val="18"/>
          <w:lang w:eastAsia="es-CO"/>
        </w:rPr>
        <w:t xml:space="preserve">, seguridad de vacuna </w:t>
      </w:r>
      <w:proofErr w:type="spellStart"/>
      <w:r w:rsidRPr="000E5228">
        <w:rPr>
          <w:rFonts w:eastAsia="Times New Roman" w:cs="Times New Roman"/>
          <w:b/>
          <w:bCs/>
          <w:kern w:val="36"/>
          <w:sz w:val="18"/>
          <w:szCs w:val="18"/>
          <w:lang w:eastAsia="es-CO"/>
        </w:rPr>
        <w:t>Butantan</w:t>
      </w:r>
      <w:proofErr w:type="spellEnd"/>
      <w:r w:rsidRPr="000E5228">
        <w:rPr>
          <w:rFonts w:eastAsia="Times New Roman" w:cs="Times New Roman"/>
          <w:b/>
          <w:bCs/>
          <w:kern w:val="36"/>
          <w:sz w:val="18"/>
          <w:szCs w:val="18"/>
          <w:lang w:eastAsia="es-CO"/>
        </w:rPr>
        <w:t>-DV</w:t>
      </w:r>
      <w:r w:rsidRPr="00147C45">
        <w:rPr>
          <w:rFonts w:eastAsia="Times New Roman" w:cs="Times New Roman"/>
          <w:b/>
          <w:bCs/>
          <w:kern w:val="36"/>
          <w:sz w:val="18"/>
          <w:szCs w:val="18"/>
          <w:lang w:eastAsia="es-CO"/>
        </w:rPr>
        <w:t>, Dengue en Brasil</w:t>
      </w:r>
      <w:r>
        <w:rPr>
          <w:rFonts w:eastAsia="Times New Roman" w:cs="Times New Roman"/>
          <w:b/>
          <w:bCs/>
          <w:kern w:val="36"/>
          <w:sz w:val="18"/>
          <w:szCs w:val="18"/>
          <w:lang w:eastAsia="es-CO"/>
        </w:rPr>
        <w:t>, muertes y vacuna contra dengue</w:t>
      </w:r>
    </w:p>
    <w:p w14:paraId="7B7DBC92" w14:textId="77777777" w:rsidR="00816445" w:rsidRDefault="00816445" w:rsidP="00816445">
      <w:pPr>
        <w:shd w:val="clear" w:color="auto" w:fill="FFFFFF"/>
        <w:jc w:val="center"/>
        <w:textAlignment w:val="baseline"/>
        <w:outlineLvl w:val="0"/>
        <w:rPr>
          <w:rFonts w:eastAsia="Times New Roman" w:cs="Times New Roman"/>
          <w:kern w:val="36"/>
          <w:szCs w:val="20"/>
          <w:lang w:eastAsia="es-CO"/>
        </w:rPr>
      </w:pPr>
    </w:p>
    <w:p w14:paraId="21B8200E" w14:textId="77777777" w:rsidR="00816445" w:rsidRPr="005A65CE" w:rsidRDefault="00816445" w:rsidP="00816445">
      <w:pPr>
        <w:shd w:val="clear" w:color="auto" w:fill="FFFFFF"/>
        <w:textAlignment w:val="baseline"/>
        <w:outlineLvl w:val="0"/>
        <w:rPr>
          <w:rFonts w:eastAsia="Times New Roman" w:cs="Times New Roman"/>
          <w:b/>
          <w:bCs/>
          <w:kern w:val="36"/>
          <w:szCs w:val="20"/>
          <w:lang w:eastAsia="es-CO"/>
        </w:rPr>
      </w:pPr>
      <w:r w:rsidRPr="005A65CE">
        <w:rPr>
          <w:rFonts w:eastAsia="Times New Roman" w:cs="Times New Roman"/>
          <w:b/>
          <w:bCs/>
          <w:kern w:val="36"/>
          <w:szCs w:val="20"/>
          <w:lang w:eastAsia="es-CO"/>
        </w:rPr>
        <w:t>Identificación del producto o caso:</w:t>
      </w:r>
    </w:p>
    <w:p w14:paraId="2FB28C08" w14:textId="77777777" w:rsidR="00816445" w:rsidRPr="005A65CE" w:rsidRDefault="00816445" w:rsidP="00816445">
      <w:pPr>
        <w:shd w:val="clear" w:color="auto" w:fill="FFFFFF"/>
        <w:textAlignment w:val="baseline"/>
        <w:outlineLvl w:val="0"/>
        <w:rPr>
          <w:rFonts w:eastAsia="Times New Roman" w:cs="Times New Roman"/>
          <w:kern w:val="36"/>
          <w:szCs w:val="20"/>
          <w:lang w:eastAsia="es-CO"/>
        </w:rPr>
      </w:pPr>
      <w:r w:rsidRPr="005A65CE">
        <w:rPr>
          <w:rFonts w:eastAsia="Times New Roman" w:cs="Times New Roman"/>
          <w:kern w:val="36"/>
          <w:szCs w:val="20"/>
          <w:lang w:eastAsia="es-CO"/>
        </w:rPr>
        <w:t xml:space="preserve">Vacuna </w:t>
      </w:r>
      <w:proofErr w:type="spellStart"/>
      <w:r w:rsidRPr="005A65CE">
        <w:rPr>
          <w:rFonts w:eastAsia="Times New Roman" w:cs="Times New Roman"/>
          <w:kern w:val="36"/>
          <w:szCs w:val="20"/>
          <w:lang w:eastAsia="es-CO"/>
        </w:rPr>
        <w:t>Butantan</w:t>
      </w:r>
      <w:proofErr w:type="spellEnd"/>
      <w:r w:rsidRPr="005A65CE">
        <w:rPr>
          <w:rFonts w:eastAsia="Times New Roman" w:cs="Times New Roman"/>
          <w:kern w:val="36"/>
          <w:szCs w:val="20"/>
          <w:lang w:eastAsia="es-CO"/>
        </w:rPr>
        <w:t>-DV® (vacuna atenuada contra el dengue tipos 1, 2, 3 y 4)</w:t>
      </w:r>
      <w:r>
        <w:rPr>
          <w:rFonts w:eastAsia="Times New Roman" w:cs="Times New Roman"/>
          <w:kern w:val="36"/>
          <w:szCs w:val="20"/>
          <w:lang w:eastAsia="es-CO"/>
        </w:rPr>
        <w:t>,</w:t>
      </w:r>
      <w:r w:rsidRPr="005A65CE">
        <w:rPr>
          <w:rFonts w:eastAsia="Times New Roman" w:cs="Times New Roman"/>
          <w:kern w:val="36"/>
          <w:szCs w:val="20"/>
          <w:lang w:eastAsia="es-CO"/>
        </w:rPr>
        <w:t xml:space="preserve"> registrada por el Instituto </w:t>
      </w:r>
      <w:proofErr w:type="spellStart"/>
      <w:r w:rsidRPr="005A65CE">
        <w:rPr>
          <w:rFonts w:eastAsia="Times New Roman" w:cs="Times New Roman"/>
          <w:kern w:val="36"/>
          <w:szCs w:val="20"/>
          <w:lang w:eastAsia="es-CO"/>
        </w:rPr>
        <w:t>Butantan</w:t>
      </w:r>
      <w:proofErr w:type="spellEnd"/>
      <w:r w:rsidRPr="005A65CE">
        <w:rPr>
          <w:rFonts w:eastAsia="Times New Roman" w:cs="Times New Roman"/>
          <w:kern w:val="36"/>
          <w:szCs w:val="20"/>
          <w:lang w:eastAsia="es-CO"/>
        </w:rPr>
        <w:t>.</w:t>
      </w:r>
    </w:p>
    <w:p w14:paraId="6FB2EBAA" w14:textId="77777777" w:rsidR="00816445" w:rsidRDefault="00816445" w:rsidP="00816445">
      <w:pPr>
        <w:shd w:val="clear" w:color="auto" w:fill="FFFFFF"/>
        <w:textAlignment w:val="baseline"/>
        <w:outlineLvl w:val="0"/>
        <w:rPr>
          <w:rFonts w:eastAsia="Times New Roman" w:cs="Times New Roman"/>
          <w:b/>
          <w:bCs/>
          <w:color w:val="EE0000"/>
          <w:kern w:val="36"/>
          <w:szCs w:val="20"/>
          <w:lang w:eastAsia="es-CO"/>
        </w:rPr>
      </w:pPr>
    </w:p>
    <w:p w14:paraId="4D5D6FA6" w14:textId="18569B1B" w:rsidR="00816445" w:rsidRPr="005A65CE" w:rsidRDefault="00816445" w:rsidP="00816445">
      <w:pPr>
        <w:shd w:val="clear" w:color="auto" w:fill="FFFFFF"/>
        <w:textAlignment w:val="baseline"/>
        <w:outlineLvl w:val="0"/>
        <w:rPr>
          <w:rFonts w:eastAsia="Times New Roman" w:cs="Times New Roman"/>
          <w:kern w:val="36"/>
          <w:szCs w:val="20"/>
          <w:lang w:eastAsia="es-CO"/>
        </w:rPr>
      </w:pPr>
      <w:r w:rsidRPr="005A65CE">
        <w:rPr>
          <w:rFonts w:eastAsia="Times New Roman" w:cs="Times New Roman"/>
          <w:b/>
          <w:bCs/>
          <w:kern w:val="36"/>
          <w:szCs w:val="20"/>
          <w:lang w:eastAsia="es-CO"/>
        </w:rPr>
        <w:t>Resumen</w:t>
      </w:r>
      <w:r w:rsidR="00C87184">
        <w:rPr>
          <w:rFonts w:eastAsia="Times New Roman" w:cs="Times New Roman"/>
          <w:b/>
          <w:bCs/>
          <w:kern w:val="36"/>
          <w:szCs w:val="20"/>
          <w:lang w:eastAsia="es-CO"/>
        </w:rPr>
        <w:t xml:space="preserve">. </w:t>
      </w:r>
      <w:r w:rsidRPr="005A65CE">
        <w:rPr>
          <w:rFonts w:eastAsia="Times New Roman" w:cs="Times New Roman"/>
          <w:kern w:val="36"/>
          <w:szCs w:val="20"/>
          <w:lang w:eastAsia="es-CO"/>
        </w:rPr>
        <w:t xml:space="preserve">Se suspende temporalmente la estrategia de vacunación con la vacuna contra el dengue </w:t>
      </w:r>
      <w:proofErr w:type="spellStart"/>
      <w:r w:rsidRPr="005A65CE">
        <w:rPr>
          <w:rFonts w:eastAsia="Times New Roman" w:cs="Times New Roman"/>
          <w:kern w:val="36"/>
          <w:szCs w:val="20"/>
          <w:lang w:eastAsia="es-CO"/>
        </w:rPr>
        <w:t>Butantan</w:t>
      </w:r>
      <w:proofErr w:type="spellEnd"/>
      <w:r w:rsidRPr="005A65CE">
        <w:rPr>
          <w:rFonts w:eastAsia="Times New Roman" w:cs="Times New Roman"/>
          <w:kern w:val="36"/>
          <w:szCs w:val="20"/>
          <w:lang w:eastAsia="es-CO"/>
        </w:rPr>
        <w:t>-DV® (tetravalente, atenuada, dosis única) como medida de precaución, mientras se investigan los casos graves (poco frecuentes) en personas vacunadas.</w:t>
      </w:r>
    </w:p>
    <w:p w14:paraId="1491171D" w14:textId="77777777" w:rsidR="00816445" w:rsidRPr="00C91323" w:rsidRDefault="00816445" w:rsidP="00816445">
      <w:pPr>
        <w:shd w:val="clear" w:color="auto" w:fill="FFFFFF"/>
        <w:textAlignment w:val="baseline"/>
        <w:outlineLvl w:val="0"/>
        <w:rPr>
          <w:rFonts w:eastAsia="Times New Roman" w:cs="Times New Roman"/>
          <w:color w:val="EE0000"/>
          <w:kern w:val="36"/>
          <w:szCs w:val="20"/>
          <w:lang w:eastAsia="es-CO"/>
        </w:rPr>
      </w:pPr>
    </w:p>
    <w:p w14:paraId="41C9C24B" w14:textId="77777777" w:rsidR="00C87184" w:rsidRDefault="00816445" w:rsidP="00816445">
      <w:pPr>
        <w:shd w:val="clear" w:color="auto" w:fill="FFFFFF"/>
        <w:textAlignment w:val="baseline"/>
        <w:outlineLvl w:val="0"/>
        <w:rPr>
          <w:rFonts w:eastAsia="Times New Roman" w:cs="Times New Roman"/>
          <w:kern w:val="36"/>
          <w:szCs w:val="20"/>
          <w:lang w:eastAsia="es-CO"/>
        </w:rPr>
      </w:pPr>
      <w:r w:rsidRPr="005A65CE">
        <w:rPr>
          <w:rFonts w:eastAsia="Times New Roman" w:cs="Times New Roman"/>
          <w:b/>
          <w:bCs/>
          <w:kern w:val="36"/>
          <w:szCs w:val="20"/>
          <w:lang w:eastAsia="es-CO"/>
        </w:rPr>
        <w:t>Problema</w:t>
      </w:r>
      <w:r w:rsidR="00C87184">
        <w:rPr>
          <w:rFonts w:eastAsia="Times New Roman" w:cs="Times New Roman"/>
          <w:b/>
          <w:bCs/>
          <w:kern w:val="36"/>
          <w:szCs w:val="20"/>
          <w:lang w:eastAsia="es-CO"/>
        </w:rPr>
        <w:t xml:space="preserve">. </w:t>
      </w:r>
      <w:r w:rsidRPr="005A65CE">
        <w:rPr>
          <w:rFonts w:eastAsia="Times New Roman" w:cs="Times New Roman"/>
          <w:kern w:val="36"/>
          <w:szCs w:val="20"/>
          <w:lang w:eastAsia="es-CO"/>
        </w:rPr>
        <w:t xml:space="preserve">En diciembre de 2025, </w:t>
      </w:r>
      <w:r>
        <w:rPr>
          <w:rFonts w:eastAsia="Times New Roman" w:cs="Times New Roman"/>
          <w:kern w:val="36"/>
          <w:szCs w:val="20"/>
          <w:lang w:eastAsia="es-CO"/>
        </w:rPr>
        <w:t xml:space="preserve">ANVISA registró </w:t>
      </w:r>
      <w:r w:rsidRPr="005A65CE">
        <w:rPr>
          <w:rFonts w:eastAsia="Times New Roman" w:cs="Times New Roman"/>
          <w:kern w:val="36"/>
          <w:szCs w:val="20"/>
          <w:lang w:eastAsia="es-CO"/>
        </w:rPr>
        <w:t xml:space="preserve">la vacuna </w:t>
      </w:r>
      <w:proofErr w:type="spellStart"/>
      <w:r w:rsidRPr="005A65CE">
        <w:rPr>
          <w:rFonts w:eastAsia="Times New Roman" w:cs="Times New Roman"/>
          <w:kern w:val="36"/>
          <w:szCs w:val="20"/>
          <w:lang w:eastAsia="es-CO"/>
        </w:rPr>
        <w:t>Butantan</w:t>
      </w:r>
      <w:proofErr w:type="spellEnd"/>
      <w:r w:rsidRPr="005A65CE">
        <w:rPr>
          <w:rFonts w:eastAsia="Times New Roman" w:cs="Times New Roman"/>
          <w:kern w:val="36"/>
          <w:szCs w:val="20"/>
          <w:lang w:eastAsia="es-CO"/>
        </w:rPr>
        <w:t xml:space="preserve">-DV® para su comercialización en Brasil. El 17 de enero de 2026, el Programa Nacional de Inmunización (PNI) del Ministerio de Salud (MS) inició la estrategia nacional de vacunación con esta vacuna, inicialmente como proyecto piloto en los municipios de </w:t>
      </w:r>
      <w:proofErr w:type="spellStart"/>
      <w:r w:rsidRPr="005A65CE">
        <w:rPr>
          <w:rFonts w:eastAsia="Times New Roman" w:cs="Times New Roman"/>
          <w:kern w:val="36"/>
          <w:szCs w:val="20"/>
          <w:lang w:eastAsia="es-CO"/>
        </w:rPr>
        <w:t>Botucatu</w:t>
      </w:r>
      <w:proofErr w:type="spellEnd"/>
      <w:r w:rsidRPr="005A65CE">
        <w:rPr>
          <w:rFonts w:eastAsia="Times New Roman" w:cs="Times New Roman"/>
          <w:kern w:val="36"/>
          <w:szCs w:val="20"/>
          <w:lang w:eastAsia="es-CO"/>
        </w:rPr>
        <w:t xml:space="preserve"> (SP), Nova Lima (MG) y </w:t>
      </w:r>
      <w:proofErr w:type="spellStart"/>
      <w:r w:rsidRPr="005A65CE">
        <w:rPr>
          <w:rFonts w:eastAsia="Times New Roman" w:cs="Times New Roman"/>
          <w:kern w:val="36"/>
          <w:szCs w:val="20"/>
          <w:lang w:eastAsia="es-CO"/>
        </w:rPr>
        <w:t>Maranguape</w:t>
      </w:r>
      <w:proofErr w:type="spellEnd"/>
      <w:r w:rsidRPr="005A65CE">
        <w:rPr>
          <w:rFonts w:eastAsia="Times New Roman" w:cs="Times New Roman"/>
          <w:kern w:val="36"/>
          <w:szCs w:val="20"/>
          <w:lang w:eastAsia="es-CO"/>
        </w:rPr>
        <w:t xml:space="preserve"> (CE).</w:t>
      </w:r>
      <w:r>
        <w:rPr>
          <w:rFonts w:eastAsia="Times New Roman" w:cs="Times New Roman"/>
          <w:kern w:val="36"/>
          <w:szCs w:val="20"/>
          <w:lang w:eastAsia="es-CO"/>
        </w:rPr>
        <w:t xml:space="preserve"> </w:t>
      </w:r>
    </w:p>
    <w:p w14:paraId="615C1976" w14:textId="77777777" w:rsidR="00C87184" w:rsidRDefault="00C87184" w:rsidP="00816445">
      <w:pPr>
        <w:shd w:val="clear" w:color="auto" w:fill="FFFFFF"/>
        <w:textAlignment w:val="baseline"/>
        <w:outlineLvl w:val="0"/>
        <w:rPr>
          <w:rFonts w:eastAsia="Times New Roman" w:cs="Times New Roman"/>
          <w:kern w:val="36"/>
          <w:szCs w:val="20"/>
          <w:lang w:eastAsia="es-CO"/>
        </w:rPr>
      </w:pPr>
    </w:p>
    <w:p w14:paraId="649C3362" w14:textId="742F9B0C" w:rsidR="00816445" w:rsidRPr="005A65CE" w:rsidRDefault="00816445" w:rsidP="00816445">
      <w:pPr>
        <w:shd w:val="clear" w:color="auto" w:fill="FFFFFF"/>
        <w:textAlignment w:val="baseline"/>
        <w:outlineLvl w:val="0"/>
        <w:rPr>
          <w:rFonts w:eastAsia="Times New Roman" w:cs="Times New Roman"/>
          <w:kern w:val="36"/>
          <w:szCs w:val="20"/>
          <w:lang w:eastAsia="es-CO"/>
        </w:rPr>
      </w:pPr>
      <w:r w:rsidRPr="005A65CE">
        <w:rPr>
          <w:rFonts w:eastAsia="Times New Roman" w:cs="Times New Roman"/>
          <w:kern w:val="36"/>
          <w:szCs w:val="20"/>
          <w:lang w:eastAsia="es-CO"/>
        </w:rPr>
        <w:t xml:space="preserve">Posteriormente, a partir del 9 de febrero de 2026, se </w:t>
      </w:r>
      <w:r>
        <w:rPr>
          <w:rFonts w:eastAsia="Times New Roman" w:cs="Times New Roman"/>
          <w:kern w:val="36"/>
          <w:szCs w:val="20"/>
          <w:lang w:eastAsia="es-CO"/>
        </w:rPr>
        <w:t>empezó a aplicar la vacuna en todos los servicios de</w:t>
      </w:r>
      <w:r w:rsidRPr="005A65CE">
        <w:rPr>
          <w:rFonts w:eastAsia="Times New Roman" w:cs="Times New Roman"/>
          <w:kern w:val="36"/>
          <w:szCs w:val="20"/>
          <w:lang w:eastAsia="es-CO"/>
        </w:rPr>
        <w:t xml:space="preserve"> Atención Primaria </w:t>
      </w:r>
      <w:r>
        <w:rPr>
          <w:rFonts w:eastAsia="Times New Roman" w:cs="Times New Roman"/>
          <w:kern w:val="36"/>
          <w:szCs w:val="20"/>
          <w:lang w:eastAsia="es-CO"/>
        </w:rPr>
        <w:t>en</w:t>
      </w:r>
      <w:r w:rsidRPr="005A65CE">
        <w:rPr>
          <w:rFonts w:eastAsia="Times New Roman" w:cs="Times New Roman"/>
          <w:kern w:val="36"/>
          <w:szCs w:val="20"/>
          <w:lang w:eastAsia="es-CO"/>
        </w:rPr>
        <w:t xml:space="preserve"> Salud (APS) </w:t>
      </w:r>
      <w:r>
        <w:rPr>
          <w:rFonts w:eastAsia="Times New Roman" w:cs="Times New Roman"/>
          <w:kern w:val="36"/>
          <w:szCs w:val="20"/>
          <w:lang w:eastAsia="es-CO"/>
        </w:rPr>
        <w:t>d</w:t>
      </w:r>
      <w:r w:rsidRPr="005A65CE">
        <w:rPr>
          <w:rFonts w:eastAsia="Times New Roman" w:cs="Times New Roman"/>
          <w:kern w:val="36"/>
          <w:szCs w:val="20"/>
          <w:lang w:eastAsia="es-CO"/>
        </w:rPr>
        <w:t>el territorio nacional</w:t>
      </w:r>
      <w:r>
        <w:rPr>
          <w:rFonts w:eastAsia="Times New Roman" w:cs="Times New Roman"/>
          <w:kern w:val="36"/>
          <w:szCs w:val="20"/>
          <w:lang w:eastAsia="es-CO"/>
        </w:rPr>
        <w:t>, para aplicarla</w:t>
      </w:r>
      <w:r w:rsidRPr="005A65CE">
        <w:rPr>
          <w:rFonts w:eastAsia="Times New Roman" w:cs="Times New Roman"/>
          <w:kern w:val="36"/>
          <w:szCs w:val="20"/>
          <w:lang w:eastAsia="es-CO"/>
        </w:rPr>
        <w:t xml:space="preserve"> a </w:t>
      </w:r>
      <w:r>
        <w:rPr>
          <w:rFonts w:eastAsia="Times New Roman" w:cs="Times New Roman"/>
          <w:kern w:val="36"/>
          <w:szCs w:val="20"/>
          <w:lang w:eastAsia="es-CO"/>
        </w:rPr>
        <w:t xml:space="preserve">las </w:t>
      </w:r>
      <w:r w:rsidRPr="005A65CE">
        <w:rPr>
          <w:rFonts w:eastAsia="Times New Roman" w:cs="Times New Roman"/>
          <w:kern w:val="36"/>
          <w:szCs w:val="20"/>
          <w:lang w:eastAsia="es-CO"/>
        </w:rPr>
        <w:t>personas de entre 15 y 59 años. Para el 30 de mayo, se habían administrado más de 500.000 dosis de la vacuna.</w:t>
      </w:r>
    </w:p>
    <w:p w14:paraId="576C104A" w14:textId="77777777" w:rsidR="00816445" w:rsidRPr="005A65CE" w:rsidRDefault="00816445" w:rsidP="00816445">
      <w:pPr>
        <w:shd w:val="clear" w:color="auto" w:fill="FFFFFF"/>
        <w:textAlignment w:val="baseline"/>
        <w:outlineLvl w:val="0"/>
        <w:rPr>
          <w:rFonts w:eastAsia="Times New Roman" w:cs="Times New Roman"/>
          <w:kern w:val="36"/>
          <w:szCs w:val="20"/>
          <w:lang w:eastAsia="es-CO"/>
        </w:rPr>
      </w:pPr>
    </w:p>
    <w:p w14:paraId="67B9D0FB" w14:textId="77777777" w:rsidR="00816445" w:rsidRPr="005A65CE" w:rsidRDefault="00816445" w:rsidP="00816445">
      <w:pPr>
        <w:shd w:val="clear" w:color="auto" w:fill="FFFFFF"/>
        <w:textAlignment w:val="baseline"/>
        <w:outlineLvl w:val="0"/>
        <w:rPr>
          <w:rFonts w:eastAsia="Times New Roman" w:cs="Times New Roman"/>
          <w:kern w:val="36"/>
          <w:szCs w:val="20"/>
          <w:lang w:eastAsia="es-CO"/>
        </w:rPr>
      </w:pPr>
      <w:r w:rsidRPr="005A65CE">
        <w:rPr>
          <w:rFonts w:eastAsia="Times New Roman" w:cs="Times New Roman"/>
          <w:kern w:val="36"/>
          <w:szCs w:val="20"/>
          <w:lang w:eastAsia="es-CO"/>
        </w:rPr>
        <w:t>Tras el inicio de la vacunación,</w:t>
      </w:r>
      <w:r>
        <w:rPr>
          <w:rFonts w:eastAsia="Times New Roman" w:cs="Times New Roman"/>
          <w:kern w:val="36"/>
          <w:szCs w:val="20"/>
          <w:lang w:eastAsia="es-CO"/>
        </w:rPr>
        <w:t xml:space="preserve"> </w:t>
      </w:r>
      <w:r w:rsidRPr="005A65CE">
        <w:rPr>
          <w:rFonts w:eastAsia="Times New Roman" w:cs="Times New Roman"/>
          <w:kern w:val="36"/>
          <w:szCs w:val="20"/>
          <w:lang w:eastAsia="es-CO"/>
        </w:rPr>
        <w:t>entre las notificaciones de Eventos Supuestamente Atribuibles a la Vacunación o Inmunización (ESAVI) se detectaron 42 casos similares al dengue con signos de alarma y tres casos similares al dengue grave, dos de los cuales resultaron en fallecimiento. Estos signos de alarma no se habían observado durante los estudios clínicos realizados antes del registro de la vacuna.</w:t>
      </w:r>
    </w:p>
    <w:p w14:paraId="5E930ED0" w14:textId="77777777" w:rsidR="00816445" w:rsidRPr="005A65CE" w:rsidRDefault="00816445" w:rsidP="00816445">
      <w:pPr>
        <w:shd w:val="clear" w:color="auto" w:fill="FFFFFF"/>
        <w:textAlignment w:val="baseline"/>
        <w:outlineLvl w:val="0"/>
        <w:rPr>
          <w:rFonts w:eastAsia="Times New Roman" w:cs="Times New Roman"/>
          <w:kern w:val="36"/>
          <w:szCs w:val="20"/>
          <w:lang w:eastAsia="es-CO"/>
        </w:rPr>
      </w:pPr>
    </w:p>
    <w:p w14:paraId="4AAC3567" w14:textId="77777777" w:rsidR="00816445" w:rsidRPr="005A65CE" w:rsidRDefault="00816445" w:rsidP="00816445">
      <w:pPr>
        <w:shd w:val="clear" w:color="auto" w:fill="FFFFFF"/>
        <w:textAlignment w:val="baseline"/>
        <w:outlineLvl w:val="0"/>
        <w:rPr>
          <w:rFonts w:eastAsia="Times New Roman" w:cs="Times New Roman"/>
          <w:kern w:val="36"/>
          <w:szCs w:val="20"/>
          <w:lang w:eastAsia="es-CO"/>
        </w:rPr>
      </w:pPr>
      <w:r w:rsidRPr="005A65CE">
        <w:rPr>
          <w:rFonts w:eastAsia="Times New Roman" w:cs="Times New Roman"/>
          <w:kern w:val="36"/>
          <w:szCs w:val="20"/>
          <w:lang w:eastAsia="es-CO"/>
        </w:rPr>
        <w:t xml:space="preserve">Aún no es posible confirmar que la vacuna sea la causa de todos los casos de dengue grave y dengue con signos de alarma. Sin embargo, dada la gravedad de la señal de seguridad detectada, y siguiendo el principio de precaución, </w:t>
      </w:r>
      <w:proofErr w:type="spellStart"/>
      <w:r w:rsidRPr="005A65CE">
        <w:rPr>
          <w:rFonts w:eastAsia="Times New Roman" w:cs="Times New Roman"/>
          <w:kern w:val="36"/>
          <w:szCs w:val="20"/>
          <w:lang w:eastAsia="es-CO"/>
        </w:rPr>
        <w:t>Anvisa</w:t>
      </w:r>
      <w:proofErr w:type="spellEnd"/>
      <w:r w:rsidRPr="005A65CE">
        <w:rPr>
          <w:rFonts w:eastAsia="Times New Roman" w:cs="Times New Roman"/>
          <w:kern w:val="36"/>
          <w:szCs w:val="20"/>
          <w:lang w:eastAsia="es-CO"/>
        </w:rPr>
        <w:t xml:space="preserve"> y el Ministerio de Salud decidieron suspender temporalmente la vacunación con la vacuna </w:t>
      </w:r>
      <w:proofErr w:type="spellStart"/>
      <w:r w:rsidRPr="005A65CE">
        <w:rPr>
          <w:rFonts w:eastAsia="Times New Roman" w:cs="Times New Roman"/>
          <w:kern w:val="36"/>
          <w:szCs w:val="20"/>
          <w:lang w:eastAsia="es-CO"/>
        </w:rPr>
        <w:t>Butantan</w:t>
      </w:r>
      <w:proofErr w:type="spellEnd"/>
      <w:r w:rsidRPr="005A65CE">
        <w:rPr>
          <w:rFonts w:eastAsia="Times New Roman" w:cs="Times New Roman"/>
          <w:kern w:val="36"/>
          <w:szCs w:val="20"/>
          <w:lang w:eastAsia="es-CO"/>
        </w:rPr>
        <w:t>-DV® hasta que concluyan las investigaciones.</w:t>
      </w:r>
    </w:p>
    <w:p w14:paraId="4B898337" w14:textId="77777777" w:rsidR="00816445" w:rsidRPr="00C91323" w:rsidRDefault="00816445" w:rsidP="00816445">
      <w:pPr>
        <w:shd w:val="clear" w:color="auto" w:fill="FFFFFF"/>
        <w:textAlignment w:val="baseline"/>
        <w:outlineLvl w:val="0"/>
        <w:rPr>
          <w:rFonts w:eastAsia="Times New Roman" w:cs="Times New Roman"/>
          <w:color w:val="EE0000"/>
          <w:kern w:val="36"/>
          <w:szCs w:val="20"/>
          <w:lang w:eastAsia="es-CO"/>
        </w:rPr>
      </w:pPr>
    </w:p>
    <w:p w14:paraId="2347F2F9" w14:textId="2F528122" w:rsidR="00816445" w:rsidRPr="00D15C43" w:rsidRDefault="00816445" w:rsidP="00816445">
      <w:pPr>
        <w:shd w:val="clear" w:color="auto" w:fill="FFFFFF"/>
        <w:textAlignment w:val="baseline"/>
        <w:outlineLvl w:val="0"/>
        <w:rPr>
          <w:rFonts w:eastAsia="Times New Roman" w:cs="Times New Roman"/>
          <w:kern w:val="36"/>
          <w:szCs w:val="20"/>
          <w:lang w:eastAsia="es-CO"/>
        </w:rPr>
      </w:pPr>
      <w:r w:rsidRPr="00D15C43">
        <w:rPr>
          <w:rFonts w:eastAsia="Times New Roman" w:cs="Times New Roman"/>
          <w:b/>
          <w:bCs/>
          <w:kern w:val="36"/>
          <w:szCs w:val="20"/>
          <w:lang w:eastAsia="es-CO"/>
        </w:rPr>
        <w:t>Acciones</w:t>
      </w:r>
      <w:r w:rsidR="00C87184">
        <w:rPr>
          <w:rFonts w:eastAsia="Times New Roman" w:cs="Times New Roman"/>
          <w:b/>
          <w:bCs/>
          <w:kern w:val="36"/>
          <w:szCs w:val="20"/>
          <w:lang w:eastAsia="es-CO"/>
        </w:rPr>
        <w:t xml:space="preserve">. </w:t>
      </w:r>
      <w:r w:rsidRPr="00D15C43">
        <w:rPr>
          <w:rFonts w:eastAsia="Times New Roman" w:cs="Times New Roman"/>
          <w:kern w:val="36"/>
          <w:szCs w:val="20"/>
          <w:lang w:eastAsia="es-CO"/>
        </w:rPr>
        <w:t xml:space="preserve">El Ministerio de Salud ha decidido suspender temporalmente la vacunación con la vacuna </w:t>
      </w:r>
      <w:proofErr w:type="spellStart"/>
      <w:r w:rsidRPr="00D15C43">
        <w:rPr>
          <w:rFonts w:eastAsia="Times New Roman" w:cs="Times New Roman"/>
          <w:kern w:val="36"/>
          <w:szCs w:val="20"/>
          <w:lang w:eastAsia="es-CO"/>
        </w:rPr>
        <w:t>Butantan</w:t>
      </w:r>
      <w:proofErr w:type="spellEnd"/>
      <w:r w:rsidRPr="00D15C43">
        <w:rPr>
          <w:rFonts w:eastAsia="Times New Roman" w:cs="Times New Roman"/>
          <w:kern w:val="36"/>
          <w:szCs w:val="20"/>
          <w:lang w:eastAsia="es-CO"/>
        </w:rPr>
        <w:t>-DV® para evitar la exposición a la vacuna, proteger a la población y garantizar que se evalúe toda la información necesaria antes de tomar nuevas decisiones sobre su uso.</w:t>
      </w:r>
    </w:p>
    <w:p w14:paraId="1A410BE8" w14:textId="77777777" w:rsidR="00816445" w:rsidRPr="00D15C43" w:rsidRDefault="00816445" w:rsidP="00816445">
      <w:pPr>
        <w:shd w:val="clear" w:color="auto" w:fill="FFFFFF"/>
        <w:textAlignment w:val="baseline"/>
        <w:outlineLvl w:val="0"/>
        <w:rPr>
          <w:rFonts w:eastAsia="Times New Roman" w:cs="Times New Roman"/>
          <w:kern w:val="36"/>
          <w:szCs w:val="20"/>
          <w:lang w:eastAsia="es-CO"/>
        </w:rPr>
      </w:pPr>
    </w:p>
    <w:p w14:paraId="4C7287C4" w14:textId="77777777" w:rsidR="00816445" w:rsidRPr="00D15C43" w:rsidRDefault="00816445" w:rsidP="00816445">
      <w:pPr>
        <w:shd w:val="clear" w:color="auto" w:fill="FFFFFF"/>
        <w:textAlignment w:val="baseline"/>
        <w:outlineLvl w:val="0"/>
        <w:rPr>
          <w:rFonts w:eastAsia="Times New Roman" w:cs="Times New Roman"/>
          <w:kern w:val="36"/>
          <w:szCs w:val="20"/>
          <w:lang w:eastAsia="es-CO"/>
        </w:rPr>
      </w:pPr>
      <w:proofErr w:type="spellStart"/>
      <w:r w:rsidRPr="00D15C43">
        <w:rPr>
          <w:rFonts w:eastAsia="Times New Roman" w:cs="Times New Roman"/>
          <w:kern w:val="36"/>
          <w:szCs w:val="20"/>
          <w:lang w:eastAsia="es-CO"/>
        </w:rPr>
        <w:t>Anvisa</w:t>
      </w:r>
      <w:proofErr w:type="spellEnd"/>
      <w:r w:rsidRPr="00D15C43">
        <w:rPr>
          <w:rFonts w:eastAsia="Times New Roman" w:cs="Times New Roman"/>
          <w:kern w:val="36"/>
          <w:szCs w:val="20"/>
          <w:lang w:eastAsia="es-CO"/>
        </w:rPr>
        <w:t xml:space="preserve"> </w:t>
      </w:r>
      <w:r>
        <w:rPr>
          <w:rFonts w:eastAsia="Times New Roman" w:cs="Times New Roman"/>
          <w:kern w:val="36"/>
          <w:szCs w:val="20"/>
          <w:lang w:eastAsia="es-CO"/>
        </w:rPr>
        <w:t>determinó</w:t>
      </w:r>
      <w:r w:rsidRPr="00D15C43">
        <w:rPr>
          <w:rFonts w:eastAsia="Times New Roman" w:cs="Times New Roman"/>
          <w:kern w:val="36"/>
          <w:szCs w:val="20"/>
          <w:lang w:eastAsia="es-CO"/>
        </w:rPr>
        <w:t xml:space="preserve"> las siguientes medidas para el Instituto </w:t>
      </w:r>
      <w:proofErr w:type="spellStart"/>
      <w:r w:rsidRPr="00D15C43">
        <w:rPr>
          <w:rFonts w:eastAsia="Times New Roman" w:cs="Times New Roman"/>
          <w:kern w:val="36"/>
          <w:szCs w:val="20"/>
          <w:lang w:eastAsia="es-CO"/>
        </w:rPr>
        <w:t>Butantan</w:t>
      </w:r>
      <w:proofErr w:type="spellEnd"/>
      <w:r w:rsidRPr="00D15C43">
        <w:rPr>
          <w:rFonts w:eastAsia="Times New Roman" w:cs="Times New Roman"/>
          <w:kern w:val="36"/>
          <w:szCs w:val="20"/>
          <w:lang w:eastAsia="es-CO"/>
        </w:rPr>
        <w:t>:</w:t>
      </w:r>
    </w:p>
    <w:p w14:paraId="60CF44CA" w14:textId="77777777" w:rsidR="00816445" w:rsidRPr="00C91323" w:rsidRDefault="00816445" w:rsidP="00816445">
      <w:pPr>
        <w:shd w:val="clear" w:color="auto" w:fill="FFFFFF"/>
        <w:textAlignment w:val="baseline"/>
        <w:outlineLvl w:val="0"/>
        <w:rPr>
          <w:rFonts w:eastAsia="Times New Roman" w:cs="Times New Roman"/>
          <w:color w:val="EE0000"/>
          <w:kern w:val="36"/>
          <w:szCs w:val="20"/>
          <w:lang w:eastAsia="es-CO"/>
        </w:rPr>
      </w:pPr>
    </w:p>
    <w:p w14:paraId="0A8EEA61" w14:textId="77777777" w:rsidR="00816445" w:rsidRDefault="00816445" w:rsidP="002478D5">
      <w:pPr>
        <w:pStyle w:val="Prrafodelista"/>
        <w:numPr>
          <w:ilvl w:val="0"/>
          <w:numId w:val="14"/>
        </w:numPr>
        <w:shd w:val="clear" w:color="auto" w:fill="FFFFFF"/>
        <w:ind w:left="180" w:hanging="180"/>
        <w:textAlignment w:val="baseline"/>
        <w:outlineLvl w:val="0"/>
        <w:rPr>
          <w:rFonts w:eastAsia="Times New Roman" w:cs="Times New Roman"/>
          <w:kern w:val="36"/>
          <w:szCs w:val="20"/>
          <w:lang w:eastAsia="es-CO"/>
        </w:rPr>
      </w:pPr>
      <w:r w:rsidRPr="00D15C43">
        <w:rPr>
          <w:rFonts w:eastAsia="Times New Roman" w:cs="Times New Roman"/>
          <w:kern w:val="36"/>
          <w:szCs w:val="20"/>
          <w:lang w:eastAsia="es-CO"/>
        </w:rPr>
        <w:t>Monitoreo de las personas vacunadas recientemente;</w:t>
      </w:r>
    </w:p>
    <w:p w14:paraId="27C23B6B" w14:textId="77777777" w:rsidR="00816445" w:rsidRPr="00486EC6" w:rsidRDefault="00816445" w:rsidP="00816445">
      <w:pPr>
        <w:pStyle w:val="Prrafodelista"/>
        <w:shd w:val="clear" w:color="auto" w:fill="FFFFFF"/>
        <w:ind w:left="180" w:hanging="180"/>
        <w:textAlignment w:val="baseline"/>
        <w:outlineLvl w:val="0"/>
        <w:rPr>
          <w:rFonts w:eastAsia="Times New Roman" w:cs="Times New Roman"/>
          <w:kern w:val="36"/>
          <w:szCs w:val="20"/>
          <w:lang w:eastAsia="es-CO"/>
        </w:rPr>
      </w:pPr>
    </w:p>
    <w:p w14:paraId="7FE0D6F4" w14:textId="6B27C25E" w:rsidR="00F472B8" w:rsidRPr="00C87184" w:rsidRDefault="00816445" w:rsidP="002478D5">
      <w:pPr>
        <w:pStyle w:val="Prrafodelista"/>
        <w:numPr>
          <w:ilvl w:val="0"/>
          <w:numId w:val="14"/>
        </w:numPr>
        <w:shd w:val="clear" w:color="auto" w:fill="FFFFFF"/>
        <w:ind w:left="180" w:hanging="180"/>
        <w:textAlignment w:val="baseline"/>
        <w:outlineLvl w:val="0"/>
        <w:rPr>
          <w:rFonts w:eastAsia="Times New Roman" w:cs="Times New Roman"/>
          <w:kern w:val="36"/>
          <w:szCs w:val="20"/>
          <w:lang w:eastAsia="es-CO"/>
        </w:rPr>
      </w:pPr>
      <w:r w:rsidRPr="00D15C43">
        <w:rPr>
          <w:rFonts w:eastAsia="Times New Roman" w:cs="Times New Roman"/>
          <w:kern w:val="36"/>
          <w:szCs w:val="20"/>
          <w:lang w:eastAsia="es-CO"/>
        </w:rPr>
        <w:t>Notificación</w:t>
      </w:r>
      <w:r>
        <w:rPr>
          <w:rFonts w:eastAsia="Times New Roman" w:cs="Times New Roman"/>
          <w:kern w:val="36"/>
          <w:szCs w:val="20"/>
          <w:lang w:eastAsia="es-CO"/>
        </w:rPr>
        <w:t xml:space="preserve"> a</w:t>
      </w:r>
      <w:r w:rsidRPr="00D15C43">
        <w:rPr>
          <w:rFonts w:eastAsia="Times New Roman" w:cs="Times New Roman"/>
          <w:kern w:val="36"/>
          <w:szCs w:val="20"/>
          <w:lang w:eastAsia="es-CO"/>
        </w:rPr>
        <w:t xml:space="preserve">l sistema </w:t>
      </w:r>
      <w:proofErr w:type="spellStart"/>
      <w:r w:rsidRPr="00D15C43">
        <w:rPr>
          <w:rFonts w:eastAsia="Times New Roman" w:cs="Times New Roman"/>
          <w:kern w:val="36"/>
          <w:szCs w:val="20"/>
          <w:lang w:eastAsia="es-CO"/>
        </w:rPr>
        <w:t>Vigimed</w:t>
      </w:r>
      <w:proofErr w:type="spellEnd"/>
      <w:r w:rsidRPr="00D15C43">
        <w:rPr>
          <w:rFonts w:eastAsia="Times New Roman" w:cs="Times New Roman"/>
          <w:kern w:val="36"/>
          <w:szCs w:val="20"/>
          <w:lang w:eastAsia="es-CO"/>
        </w:rPr>
        <w:t xml:space="preserve"> de todos los casos graves de ESAVI detectados en su sistema de farmacovigilancia, con la evaluación realizada por la empresa;</w:t>
      </w:r>
    </w:p>
    <w:p w14:paraId="5F13B25E" w14:textId="77777777" w:rsidR="00816445" w:rsidRPr="005234A4" w:rsidRDefault="00816445" w:rsidP="00816445">
      <w:pPr>
        <w:shd w:val="clear" w:color="auto" w:fill="FFFFFF"/>
        <w:ind w:left="180" w:hanging="180"/>
        <w:textAlignment w:val="baseline"/>
        <w:outlineLvl w:val="0"/>
        <w:rPr>
          <w:rFonts w:eastAsia="Times New Roman" w:cs="Times New Roman"/>
          <w:kern w:val="36"/>
          <w:szCs w:val="20"/>
          <w:lang w:eastAsia="es-CO"/>
        </w:rPr>
      </w:pPr>
    </w:p>
    <w:p w14:paraId="11AEA441" w14:textId="77777777" w:rsidR="00816445" w:rsidRDefault="00816445" w:rsidP="002478D5">
      <w:pPr>
        <w:pStyle w:val="Prrafodelista"/>
        <w:numPr>
          <w:ilvl w:val="0"/>
          <w:numId w:val="14"/>
        </w:numPr>
        <w:shd w:val="clear" w:color="auto" w:fill="FFFFFF"/>
        <w:ind w:left="180" w:hanging="180"/>
        <w:textAlignment w:val="baseline"/>
        <w:outlineLvl w:val="0"/>
        <w:rPr>
          <w:rFonts w:eastAsia="Times New Roman" w:cs="Times New Roman"/>
          <w:kern w:val="36"/>
          <w:szCs w:val="20"/>
          <w:lang w:eastAsia="es-CO"/>
        </w:rPr>
      </w:pPr>
      <w:r w:rsidRPr="00D15C43">
        <w:rPr>
          <w:rFonts w:eastAsia="Times New Roman" w:cs="Times New Roman"/>
          <w:kern w:val="36"/>
          <w:szCs w:val="20"/>
          <w:lang w:eastAsia="es-CO"/>
        </w:rPr>
        <w:t>Análisis e investigación de los casos ESAVI compatibles con dengue con signos de alarma y dengue grave; y</w:t>
      </w:r>
    </w:p>
    <w:p w14:paraId="73E01EDD" w14:textId="77777777" w:rsidR="00816445" w:rsidRPr="005234A4" w:rsidRDefault="00816445" w:rsidP="00816445">
      <w:pPr>
        <w:shd w:val="clear" w:color="auto" w:fill="FFFFFF"/>
        <w:ind w:left="180" w:hanging="180"/>
        <w:textAlignment w:val="baseline"/>
        <w:outlineLvl w:val="0"/>
        <w:rPr>
          <w:rFonts w:eastAsia="Times New Roman" w:cs="Times New Roman"/>
          <w:kern w:val="36"/>
          <w:szCs w:val="20"/>
          <w:lang w:eastAsia="es-CO"/>
        </w:rPr>
      </w:pPr>
    </w:p>
    <w:p w14:paraId="780CE889" w14:textId="77777777" w:rsidR="00816445" w:rsidRPr="00D15C43" w:rsidRDefault="00816445" w:rsidP="002478D5">
      <w:pPr>
        <w:pStyle w:val="Prrafodelista"/>
        <w:numPr>
          <w:ilvl w:val="0"/>
          <w:numId w:val="14"/>
        </w:numPr>
        <w:shd w:val="clear" w:color="auto" w:fill="FFFFFF"/>
        <w:ind w:left="180" w:hanging="180"/>
        <w:textAlignment w:val="baseline"/>
        <w:outlineLvl w:val="0"/>
        <w:rPr>
          <w:rFonts w:eastAsia="Times New Roman" w:cs="Times New Roman"/>
          <w:kern w:val="36"/>
          <w:szCs w:val="20"/>
          <w:lang w:eastAsia="es-CO"/>
        </w:rPr>
      </w:pPr>
      <w:r w:rsidRPr="00D15C43">
        <w:rPr>
          <w:rFonts w:eastAsia="Times New Roman" w:cs="Times New Roman"/>
          <w:kern w:val="36"/>
          <w:szCs w:val="20"/>
          <w:lang w:eastAsia="es-CO"/>
        </w:rPr>
        <w:t>Actualización del Plan de Gestión de Riesgos.</w:t>
      </w:r>
    </w:p>
    <w:p w14:paraId="2241D179" w14:textId="77777777" w:rsidR="00816445" w:rsidRDefault="00816445" w:rsidP="00816445">
      <w:pPr>
        <w:shd w:val="clear" w:color="auto" w:fill="FFFFFF"/>
        <w:textAlignment w:val="baseline"/>
        <w:outlineLvl w:val="0"/>
        <w:rPr>
          <w:rFonts w:eastAsia="Times New Roman" w:cs="Times New Roman"/>
          <w:kern w:val="36"/>
          <w:szCs w:val="20"/>
          <w:lang w:eastAsia="es-CO"/>
        </w:rPr>
      </w:pPr>
    </w:p>
    <w:p w14:paraId="520DD29E" w14:textId="67F12229" w:rsidR="00816445" w:rsidRPr="00D15C43" w:rsidRDefault="00816445" w:rsidP="00816445">
      <w:pPr>
        <w:shd w:val="clear" w:color="auto" w:fill="FFFFFF"/>
        <w:textAlignment w:val="baseline"/>
        <w:outlineLvl w:val="0"/>
        <w:rPr>
          <w:rFonts w:eastAsia="Times New Roman" w:cs="Times New Roman"/>
          <w:kern w:val="36"/>
          <w:szCs w:val="20"/>
          <w:lang w:eastAsia="es-CO"/>
        </w:rPr>
      </w:pPr>
      <w:r w:rsidRPr="00D15C43">
        <w:rPr>
          <w:rFonts w:eastAsia="Times New Roman" w:cs="Times New Roman"/>
          <w:kern w:val="36"/>
          <w:szCs w:val="20"/>
          <w:lang w:eastAsia="es-CO"/>
        </w:rPr>
        <w:t xml:space="preserve">Para apoyar a </w:t>
      </w:r>
      <w:proofErr w:type="spellStart"/>
      <w:r w:rsidRPr="00D15C43">
        <w:rPr>
          <w:rFonts w:eastAsia="Times New Roman" w:cs="Times New Roman"/>
          <w:kern w:val="36"/>
          <w:szCs w:val="20"/>
          <w:lang w:eastAsia="es-CO"/>
        </w:rPr>
        <w:t>Anvisa</w:t>
      </w:r>
      <w:proofErr w:type="spellEnd"/>
      <w:r>
        <w:rPr>
          <w:rFonts w:eastAsia="Times New Roman" w:cs="Times New Roman"/>
          <w:kern w:val="36"/>
          <w:szCs w:val="20"/>
          <w:lang w:eastAsia="es-CO"/>
        </w:rPr>
        <w:t xml:space="preserve"> a cumplir co</w:t>
      </w:r>
      <w:r w:rsidRPr="00D15C43">
        <w:rPr>
          <w:rFonts w:eastAsia="Times New Roman" w:cs="Times New Roman"/>
          <w:kern w:val="36"/>
          <w:szCs w:val="20"/>
          <w:lang w:eastAsia="es-CO"/>
        </w:rPr>
        <w:t xml:space="preserve">n los requisitos y </w:t>
      </w:r>
      <w:r>
        <w:rPr>
          <w:rFonts w:eastAsia="Times New Roman" w:cs="Times New Roman"/>
          <w:kern w:val="36"/>
          <w:szCs w:val="20"/>
          <w:lang w:eastAsia="es-CO"/>
        </w:rPr>
        <w:t xml:space="preserve">el </w:t>
      </w:r>
      <w:r w:rsidRPr="00D15C43">
        <w:rPr>
          <w:rFonts w:eastAsia="Times New Roman" w:cs="Times New Roman"/>
          <w:kern w:val="36"/>
          <w:szCs w:val="20"/>
          <w:lang w:eastAsia="es-CO"/>
        </w:rPr>
        <w:t>análisis de los datos e información generad</w:t>
      </w:r>
      <w:r>
        <w:rPr>
          <w:rFonts w:eastAsia="Times New Roman" w:cs="Times New Roman"/>
          <w:kern w:val="36"/>
          <w:szCs w:val="20"/>
          <w:lang w:eastAsia="es-CO"/>
        </w:rPr>
        <w:t>a</w:t>
      </w:r>
      <w:r w:rsidRPr="00D15C43">
        <w:rPr>
          <w:rFonts w:eastAsia="Times New Roman" w:cs="Times New Roman"/>
          <w:kern w:val="36"/>
          <w:szCs w:val="20"/>
          <w:lang w:eastAsia="es-CO"/>
        </w:rPr>
        <w:t xml:space="preserve"> durante y después de las investigaciones de la señal de seguridad, </w:t>
      </w:r>
      <w:proofErr w:type="spellStart"/>
      <w:r w:rsidRPr="00D15C43">
        <w:rPr>
          <w:rFonts w:eastAsia="Times New Roman" w:cs="Times New Roman"/>
          <w:kern w:val="36"/>
          <w:szCs w:val="20"/>
          <w:lang w:eastAsia="es-CO"/>
        </w:rPr>
        <w:t>Anvisa</w:t>
      </w:r>
      <w:proofErr w:type="spellEnd"/>
      <w:r w:rsidRPr="00D15C43">
        <w:rPr>
          <w:rFonts w:eastAsia="Times New Roman" w:cs="Times New Roman"/>
          <w:kern w:val="36"/>
          <w:szCs w:val="20"/>
          <w:lang w:eastAsia="es-CO"/>
        </w:rPr>
        <w:t xml:space="preserve"> creará un grupo de trabajo específico que, </w:t>
      </w:r>
      <w:r w:rsidR="00C87184">
        <w:rPr>
          <w:rFonts w:eastAsia="Times New Roman" w:cs="Times New Roman"/>
          <w:kern w:val="36"/>
          <w:szCs w:val="20"/>
          <w:lang w:eastAsia="es-CO"/>
        </w:rPr>
        <w:t xml:space="preserve">trabajando </w:t>
      </w:r>
      <w:r w:rsidRPr="00D15C43">
        <w:rPr>
          <w:rFonts w:eastAsia="Times New Roman" w:cs="Times New Roman"/>
          <w:kern w:val="36"/>
          <w:szCs w:val="20"/>
          <w:lang w:eastAsia="es-CO"/>
        </w:rPr>
        <w:t>con un panel de expertos, investigará más a fondo la señal de seguridad detectada. El objetivo es ampliar los análisis y recopilar evidencia para ayudar a la Agencia a reevaluar el perfil de seguridad de la vacuna.</w:t>
      </w:r>
    </w:p>
    <w:p w14:paraId="7755D20F" w14:textId="77777777" w:rsidR="00816445" w:rsidRPr="00C91323" w:rsidRDefault="00816445" w:rsidP="00816445">
      <w:pPr>
        <w:shd w:val="clear" w:color="auto" w:fill="FFFFFF"/>
        <w:textAlignment w:val="baseline"/>
        <w:outlineLvl w:val="0"/>
        <w:rPr>
          <w:rFonts w:eastAsia="Times New Roman" w:cs="Times New Roman"/>
          <w:color w:val="EE0000"/>
          <w:kern w:val="36"/>
          <w:szCs w:val="20"/>
          <w:lang w:eastAsia="es-CO"/>
        </w:rPr>
      </w:pPr>
    </w:p>
    <w:p w14:paraId="32688169" w14:textId="77777777" w:rsidR="00816445" w:rsidRPr="005234A4" w:rsidRDefault="00816445" w:rsidP="00816445">
      <w:pPr>
        <w:shd w:val="clear" w:color="auto" w:fill="FFFFFF"/>
        <w:textAlignment w:val="baseline"/>
        <w:outlineLvl w:val="0"/>
        <w:rPr>
          <w:rFonts w:eastAsia="Times New Roman" w:cs="Times New Roman"/>
          <w:b/>
          <w:bCs/>
          <w:kern w:val="36"/>
          <w:szCs w:val="20"/>
          <w:lang w:val="es-ES" w:eastAsia="es-CO"/>
        </w:rPr>
      </w:pPr>
      <w:r w:rsidRPr="005234A4">
        <w:rPr>
          <w:rFonts w:eastAsia="Times New Roman" w:cs="Times New Roman"/>
          <w:b/>
          <w:bCs/>
          <w:kern w:val="36"/>
          <w:szCs w:val="20"/>
          <w:lang w:val="es-ES" w:eastAsia="es-CO"/>
        </w:rPr>
        <w:t xml:space="preserve">Antecedentes: </w:t>
      </w:r>
      <w:r w:rsidRPr="005234A4">
        <w:rPr>
          <w:rFonts w:eastAsia="Times New Roman" w:cs="Times New Roman"/>
          <w:kern w:val="36"/>
          <w:szCs w:val="20"/>
          <w:lang w:val="es-ES" w:eastAsia="es-CO"/>
        </w:rPr>
        <w:t>No se habían emitido alertas previas sobre este tema.</w:t>
      </w:r>
    </w:p>
    <w:p w14:paraId="6E396BA3" w14:textId="77777777" w:rsidR="00816445" w:rsidRPr="005234A4" w:rsidRDefault="00816445" w:rsidP="00816445">
      <w:pPr>
        <w:shd w:val="clear" w:color="auto" w:fill="FFFFFF"/>
        <w:textAlignment w:val="baseline"/>
        <w:outlineLvl w:val="0"/>
        <w:rPr>
          <w:rFonts w:eastAsia="Times New Roman" w:cs="Times New Roman"/>
          <w:color w:val="EE0000"/>
          <w:kern w:val="36"/>
          <w:szCs w:val="20"/>
          <w:lang w:val="es-ES" w:eastAsia="es-CO"/>
        </w:rPr>
      </w:pPr>
    </w:p>
    <w:p w14:paraId="2BE34BE5" w14:textId="77777777" w:rsidR="00816445" w:rsidRDefault="00816445" w:rsidP="00816445">
      <w:pPr>
        <w:shd w:val="clear" w:color="auto" w:fill="FFFFFF"/>
        <w:textAlignment w:val="baseline"/>
        <w:outlineLvl w:val="0"/>
        <w:rPr>
          <w:rFonts w:eastAsia="Times New Roman" w:cs="Times New Roman"/>
          <w:b/>
          <w:bCs/>
          <w:kern w:val="36"/>
          <w:szCs w:val="20"/>
          <w:lang w:eastAsia="es-CO"/>
        </w:rPr>
      </w:pPr>
      <w:r w:rsidRPr="006E2ABA">
        <w:rPr>
          <w:rFonts w:eastAsia="Times New Roman" w:cs="Times New Roman"/>
          <w:b/>
          <w:bCs/>
          <w:kern w:val="36"/>
          <w:szCs w:val="20"/>
          <w:lang w:eastAsia="es-CO"/>
        </w:rPr>
        <w:t>Recomendaciones</w:t>
      </w:r>
    </w:p>
    <w:p w14:paraId="49E35773" w14:textId="77777777" w:rsidR="00816445" w:rsidRPr="006E2ABA" w:rsidRDefault="00816445" w:rsidP="00816445">
      <w:pPr>
        <w:shd w:val="clear" w:color="auto" w:fill="FFFFFF"/>
        <w:textAlignment w:val="baseline"/>
        <w:outlineLvl w:val="0"/>
        <w:rPr>
          <w:rFonts w:eastAsia="Times New Roman" w:cs="Times New Roman"/>
          <w:b/>
          <w:bCs/>
          <w:kern w:val="36"/>
          <w:szCs w:val="20"/>
          <w:lang w:eastAsia="es-CO"/>
        </w:rPr>
      </w:pPr>
      <w:r w:rsidRPr="006E2ABA">
        <w:rPr>
          <w:rFonts w:eastAsia="Times New Roman" w:cs="Times New Roman"/>
          <w:b/>
          <w:bCs/>
          <w:kern w:val="36"/>
          <w:szCs w:val="20"/>
          <w:lang w:eastAsia="es-CO"/>
        </w:rPr>
        <w:t>Recomendaciones para profesionales de la salud:</w:t>
      </w:r>
    </w:p>
    <w:p w14:paraId="319EA6A7" w14:textId="77777777" w:rsidR="00816445" w:rsidRDefault="00816445" w:rsidP="002478D5">
      <w:pPr>
        <w:pStyle w:val="Prrafodelista"/>
        <w:numPr>
          <w:ilvl w:val="0"/>
          <w:numId w:val="13"/>
        </w:numPr>
        <w:shd w:val="clear" w:color="auto" w:fill="FFFFFF"/>
        <w:tabs>
          <w:tab w:val="clear" w:pos="720"/>
          <w:tab w:val="num" w:pos="540"/>
        </w:tabs>
        <w:ind w:left="180" w:hanging="180"/>
        <w:textAlignment w:val="baseline"/>
        <w:outlineLvl w:val="0"/>
        <w:rPr>
          <w:rFonts w:eastAsia="Times New Roman" w:cs="Times New Roman"/>
          <w:kern w:val="36"/>
          <w:szCs w:val="20"/>
          <w:lang w:eastAsia="es-CO"/>
        </w:rPr>
      </w:pPr>
      <w:r>
        <w:rPr>
          <w:rFonts w:eastAsia="Times New Roman" w:cs="Times New Roman"/>
          <w:kern w:val="36"/>
          <w:szCs w:val="20"/>
          <w:lang w:eastAsia="es-CO"/>
        </w:rPr>
        <w:t>R</w:t>
      </w:r>
      <w:r w:rsidRPr="006E2ABA">
        <w:rPr>
          <w:rFonts w:eastAsia="Times New Roman" w:cs="Times New Roman"/>
          <w:kern w:val="36"/>
          <w:szCs w:val="20"/>
          <w:lang w:eastAsia="es-CO"/>
        </w:rPr>
        <w:t>ev</w:t>
      </w:r>
      <w:r>
        <w:rPr>
          <w:rFonts w:eastAsia="Times New Roman" w:cs="Times New Roman"/>
          <w:kern w:val="36"/>
          <w:szCs w:val="20"/>
          <w:lang w:eastAsia="es-CO"/>
        </w:rPr>
        <w:t>is</w:t>
      </w:r>
      <w:r w:rsidRPr="006E2ABA">
        <w:rPr>
          <w:rFonts w:eastAsia="Times New Roman" w:cs="Times New Roman"/>
          <w:kern w:val="36"/>
          <w:szCs w:val="20"/>
          <w:lang w:eastAsia="es-CO"/>
        </w:rPr>
        <w:t xml:space="preserve">e atentamente las directrices contenidas en la Nota Técnica </w:t>
      </w:r>
      <w:proofErr w:type="spellStart"/>
      <w:r w:rsidRPr="006E2ABA">
        <w:rPr>
          <w:rFonts w:eastAsia="Times New Roman" w:cs="Times New Roman"/>
          <w:kern w:val="36"/>
          <w:szCs w:val="20"/>
          <w:lang w:eastAsia="es-CO"/>
        </w:rPr>
        <w:t>n.°</w:t>
      </w:r>
      <w:proofErr w:type="spellEnd"/>
      <w:r w:rsidRPr="006E2ABA">
        <w:rPr>
          <w:rFonts w:eastAsia="Times New Roman" w:cs="Times New Roman"/>
          <w:kern w:val="36"/>
          <w:szCs w:val="20"/>
          <w:lang w:eastAsia="es-CO"/>
        </w:rPr>
        <w:t xml:space="preserve"> 58/2026-DPNI/SVSA/MS</w:t>
      </w:r>
      <w:r>
        <w:rPr>
          <w:rFonts w:eastAsia="Times New Roman" w:cs="Times New Roman"/>
          <w:kern w:val="36"/>
          <w:szCs w:val="20"/>
          <w:lang w:eastAsia="es-CO"/>
        </w:rPr>
        <w:t xml:space="preserve"> [1]</w:t>
      </w:r>
      <w:r w:rsidRPr="006E2ABA">
        <w:rPr>
          <w:rFonts w:eastAsia="Times New Roman" w:cs="Times New Roman"/>
          <w:kern w:val="36"/>
          <w:szCs w:val="20"/>
          <w:lang w:eastAsia="es-CO"/>
        </w:rPr>
        <w:t>.</w:t>
      </w:r>
    </w:p>
    <w:p w14:paraId="2E6C2046" w14:textId="77777777" w:rsidR="00816445" w:rsidRPr="006E2ABA" w:rsidRDefault="00816445" w:rsidP="00816445">
      <w:pPr>
        <w:pStyle w:val="Prrafodelista"/>
        <w:shd w:val="clear" w:color="auto" w:fill="FFFFFF"/>
        <w:tabs>
          <w:tab w:val="num" w:pos="540"/>
        </w:tabs>
        <w:ind w:left="180" w:hanging="180"/>
        <w:textAlignment w:val="baseline"/>
        <w:outlineLvl w:val="0"/>
        <w:rPr>
          <w:rFonts w:eastAsia="Times New Roman" w:cs="Times New Roman"/>
          <w:kern w:val="36"/>
          <w:szCs w:val="20"/>
          <w:lang w:eastAsia="es-CO"/>
        </w:rPr>
      </w:pPr>
    </w:p>
    <w:p w14:paraId="051EDB79" w14:textId="77777777" w:rsidR="00816445" w:rsidRDefault="00816445" w:rsidP="002478D5">
      <w:pPr>
        <w:pStyle w:val="Prrafodelista"/>
        <w:numPr>
          <w:ilvl w:val="0"/>
          <w:numId w:val="13"/>
        </w:numPr>
        <w:shd w:val="clear" w:color="auto" w:fill="FFFFFF"/>
        <w:tabs>
          <w:tab w:val="clear" w:pos="720"/>
          <w:tab w:val="num" w:pos="540"/>
        </w:tabs>
        <w:ind w:left="180" w:hanging="180"/>
        <w:textAlignment w:val="baseline"/>
        <w:outlineLvl w:val="0"/>
        <w:rPr>
          <w:rFonts w:eastAsia="Times New Roman" w:cs="Times New Roman"/>
          <w:kern w:val="36"/>
          <w:szCs w:val="20"/>
          <w:lang w:eastAsia="es-CO"/>
        </w:rPr>
      </w:pPr>
      <w:r w:rsidRPr="006E2ABA">
        <w:rPr>
          <w:rFonts w:eastAsia="Times New Roman" w:cs="Times New Roman"/>
          <w:kern w:val="36"/>
          <w:szCs w:val="20"/>
          <w:lang w:eastAsia="es-CO"/>
        </w:rPr>
        <w:t>Suspenda el uso de la vacuna durante el período de interrupción de la estrategia de vacunación.</w:t>
      </w:r>
    </w:p>
    <w:p w14:paraId="234AB82F" w14:textId="77777777" w:rsidR="00F472B8" w:rsidRDefault="00F472B8" w:rsidP="00F472B8">
      <w:pPr>
        <w:pStyle w:val="Prrafodelista"/>
        <w:rPr>
          <w:rFonts w:eastAsia="Times New Roman" w:cs="Times New Roman"/>
          <w:kern w:val="36"/>
          <w:szCs w:val="20"/>
          <w:lang w:eastAsia="es-CO"/>
        </w:rPr>
      </w:pPr>
    </w:p>
    <w:p w14:paraId="3D222D9D" w14:textId="77777777" w:rsidR="00816445" w:rsidRDefault="00816445" w:rsidP="002478D5">
      <w:pPr>
        <w:pStyle w:val="Prrafodelista"/>
        <w:numPr>
          <w:ilvl w:val="0"/>
          <w:numId w:val="13"/>
        </w:numPr>
        <w:shd w:val="clear" w:color="auto" w:fill="FFFFFF"/>
        <w:tabs>
          <w:tab w:val="clear" w:pos="720"/>
          <w:tab w:val="num" w:pos="540"/>
        </w:tabs>
        <w:ind w:left="180" w:hanging="180"/>
        <w:textAlignment w:val="baseline"/>
        <w:outlineLvl w:val="0"/>
        <w:rPr>
          <w:rFonts w:eastAsia="Times New Roman" w:cs="Times New Roman"/>
          <w:kern w:val="36"/>
          <w:szCs w:val="20"/>
          <w:lang w:eastAsia="es-CO"/>
        </w:rPr>
      </w:pPr>
      <w:r>
        <w:rPr>
          <w:rFonts w:eastAsia="Times New Roman" w:cs="Times New Roman"/>
          <w:kern w:val="36"/>
          <w:szCs w:val="20"/>
          <w:lang w:eastAsia="es-CO"/>
        </w:rPr>
        <w:t>C</w:t>
      </w:r>
      <w:r w:rsidRPr="006E2ABA">
        <w:rPr>
          <w:rFonts w:eastAsia="Times New Roman" w:cs="Times New Roman"/>
          <w:kern w:val="36"/>
          <w:szCs w:val="20"/>
          <w:lang w:eastAsia="es-CO"/>
        </w:rPr>
        <w:t>uando esté disponible</w:t>
      </w:r>
      <w:r>
        <w:rPr>
          <w:rFonts w:eastAsia="Times New Roman" w:cs="Times New Roman"/>
          <w:kern w:val="36"/>
          <w:szCs w:val="20"/>
          <w:lang w:eastAsia="es-CO"/>
        </w:rPr>
        <w:t>,</w:t>
      </w:r>
      <w:r w:rsidRPr="006E2ABA">
        <w:rPr>
          <w:rFonts w:eastAsia="Times New Roman" w:cs="Times New Roman"/>
          <w:kern w:val="36"/>
          <w:szCs w:val="20"/>
          <w:lang w:eastAsia="es-CO"/>
        </w:rPr>
        <w:t xml:space="preserve"> </w:t>
      </w:r>
      <w:r>
        <w:rPr>
          <w:rFonts w:eastAsia="Times New Roman" w:cs="Times New Roman"/>
          <w:kern w:val="36"/>
          <w:szCs w:val="20"/>
          <w:lang w:eastAsia="es-CO"/>
        </w:rPr>
        <w:t>s</w:t>
      </w:r>
      <w:r w:rsidRPr="006E2ABA">
        <w:rPr>
          <w:rFonts w:eastAsia="Times New Roman" w:cs="Times New Roman"/>
          <w:kern w:val="36"/>
          <w:szCs w:val="20"/>
          <w:lang w:eastAsia="es-CO"/>
        </w:rPr>
        <w:t>e recomienda que los centros de vacunación y los servicios de atención primaria mantengan una lista de las personas vacunadas en los últimos 21 día</w:t>
      </w:r>
      <w:r>
        <w:rPr>
          <w:rFonts w:eastAsia="Times New Roman" w:cs="Times New Roman"/>
          <w:kern w:val="36"/>
          <w:szCs w:val="20"/>
          <w:lang w:eastAsia="es-CO"/>
        </w:rPr>
        <w:t>s</w:t>
      </w:r>
      <w:r w:rsidRPr="006E2ABA">
        <w:rPr>
          <w:rFonts w:eastAsia="Times New Roman" w:cs="Times New Roman"/>
          <w:kern w:val="36"/>
          <w:szCs w:val="20"/>
          <w:lang w:eastAsia="es-CO"/>
        </w:rPr>
        <w:t>, para facilitar la comunicación activa, la orientación clínica y la búsqueda de atención médica en caso de síntomas.</w:t>
      </w:r>
    </w:p>
    <w:p w14:paraId="633CBCB8" w14:textId="77777777" w:rsidR="00816445" w:rsidRPr="005234A4" w:rsidRDefault="00816445" w:rsidP="00816445">
      <w:pPr>
        <w:shd w:val="clear" w:color="auto" w:fill="FFFFFF"/>
        <w:tabs>
          <w:tab w:val="num" w:pos="540"/>
        </w:tabs>
        <w:ind w:left="180" w:hanging="180"/>
        <w:textAlignment w:val="baseline"/>
        <w:outlineLvl w:val="0"/>
        <w:rPr>
          <w:rFonts w:eastAsia="Times New Roman" w:cs="Times New Roman"/>
          <w:kern w:val="36"/>
          <w:szCs w:val="20"/>
          <w:lang w:eastAsia="es-CO"/>
        </w:rPr>
      </w:pPr>
    </w:p>
    <w:p w14:paraId="2C20D322" w14:textId="77777777" w:rsidR="00816445" w:rsidRPr="000E1487" w:rsidRDefault="00816445" w:rsidP="002478D5">
      <w:pPr>
        <w:pStyle w:val="Prrafodelista"/>
        <w:numPr>
          <w:ilvl w:val="0"/>
          <w:numId w:val="13"/>
        </w:numPr>
        <w:shd w:val="clear" w:color="auto" w:fill="FFFFFF"/>
        <w:tabs>
          <w:tab w:val="clear" w:pos="720"/>
          <w:tab w:val="num" w:pos="540"/>
        </w:tabs>
        <w:ind w:left="180" w:hanging="180"/>
        <w:textAlignment w:val="baseline"/>
        <w:outlineLvl w:val="0"/>
        <w:rPr>
          <w:rFonts w:eastAsia="Times New Roman" w:cs="Times New Roman"/>
          <w:kern w:val="36"/>
          <w:szCs w:val="20"/>
          <w:lang w:eastAsia="es-CO"/>
        </w:rPr>
      </w:pPr>
      <w:r>
        <w:rPr>
          <w:rFonts w:eastAsia="Times New Roman" w:cs="Times New Roman"/>
          <w:kern w:val="36"/>
          <w:szCs w:val="20"/>
          <w:lang w:eastAsia="es-CO"/>
        </w:rPr>
        <w:t>Orient</w:t>
      </w:r>
      <w:r w:rsidRPr="006E2ABA">
        <w:rPr>
          <w:rFonts w:eastAsia="Times New Roman" w:cs="Times New Roman"/>
          <w:kern w:val="36"/>
          <w:szCs w:val="20"/>
          <w:lang w:eastAsia="es-CO"/>
        </w:rPr>
        <w:t xml:space="preserve">e a las personas previamente vacunadas que presenten, hasta 21 días después de la vacunación, síntomas compatibles con dengue o una reacción similar al dengue, incluyendo fiebre y al menos dos de los siguientes signos y síntomas: dolor de cabeza, dolor </w:t>
      </w:r>
      <w:proofErr w:type="spellStart"/>
      <w:r w:rsidRPr="006E2ABA">
        <w:rPr>
          <w:rFonts w:eastAsia="Times New Roman" w:cs="Times New Roman"/>
          <w:kern w:val="36"/>
          <w:szCs w:val="20"/>
          <w:lang w:eastAsia="es-CO"/>
        </w:rPr>
        <w:t>retroorbitario</w:t>
      </w:r>
      <w:proofErr w:type="spellEnd"/>
      <w:r w:rsidRPr="006E2ABA">
        <w:rPr>
          <w:rFonts w:eastAsia="Times New Roman" w:cs="Times New Roman"/>
          <w:kern w:val="36"/>
          <w:szCs w:val="20"/>
          <w:lang w:eastAsia="es-CO"/>
        </w:rPr>
        <w:t xml:space="preserve"> o dolor ocular, mialgia, artralgia, náuseas, vómitos, erupción cutánea, petequias o prueba del torniquete positiva y leucopenia.</w:t>
      </w:r>
    </w:p>
    <w:p w14:paraId="02509599" w14:textId="77777777" w:rsidR="00816445" w:rsidRDefault="00816445" w:rsidP="00816445">
      <w:pPr>
        <w:shd w:val="clear" w:color="auto" w:fill="FFFFFF"/>
        <w:textAlignment w:val="baseline"/>
        <w:outlineLvl w:val="0"/>
        <w:rPr>
          <w:rFonts w:eastAsia="Times New Roman" w:cs="Times New Roman"/>
          <w:b/>
          <w:bCs/>
          <w:color w:val="EE0000"/>
          <w:kern w:val="36"/>
          <w:szCs w:val="20"/>
          <w:lang w:eastAsia="es-CO"/>
        </w:rPr>
      </w:pPr>
    </w:p>
    <w:p w14:paraId="6887C4AE" w14:textId="77777777" w:rsidR="00816445" w:rsidRPr="00486EC6" w:rsidRDefault="00816445" w:rsidP="00816445">
      <w:pPr>
        <w:shd w:val="clear" w:color="auto" w:fill="FFFFFF"/>
        <w:textAlignment w:val="baseline"/>
        <w:outlineLvl w:val="0"/>
        <w:rPr>
          <w:rFonts w:eastAsia="Times New Roman" w:cs="Times New Roman"/>
          <w:kern w:val="36"/>
          <w:szCs w:val="20"/>
          <w:lang w:eastAsia="es-CO"/>
        </w:rPr>
      </w:pPr>
      <w:r w:rsidRPr="000E1487">
        <w:rPr>
          <w:rFonts w:eastAsia="Times New Roman" w:cs="Times New Roman"/>
          <w:b/>
          <w:bCs/>
          <w:kern w:val="36"/>
          <w:szCs w:val="20"/>
          <w:lang w:eastAsia="es-CO"/>
        </w:rPr>
        <w:t>Esté atento a los signos de empeoramiento:</w:t>
      </w:r>
      <w:r w:rsidRPr="00486EC6">
        <w:rPr>
          <w:rFonts w:eastAsia="Times New Roman" w:cs="Times New Roman"/>
          <w:kern w:val="36"/>
          <w:szCs w:val="20"/>
          <w:lang w:eastAsia="es-CO"/>
        </w:rPr>
        <w:t xml:space="preserve"> dolor abdominal intenso y continuo, vómitos persistentes, descenso de la presión arterial al ponerse de pie o desmayo, sangrado de las mucosas, somnolencia o irritabilidad excesivas, </w:t>
      </w:r>
      <w:r>
        <w:rPr>
          <w:rFonts w:eastAsia="Times New Roman" w:cs="Times New Roman"/>
          <w:kern w:val="36"/>
          <w:szCs w:val="20"/>
          <w:lang w:eastAsia="es-CO"/>
        </w:rPr>
        <w:t>hepatomegalia</w:t>
      </w:r>
      <w:r w:rsidRPr="00486EC6">
        <w:rPr>
          <w:rFonts w:eastAsia="Times New Roman" w:cs="Times New Roman"/>
          <w:kern w:val="36"/>
          <w:szCs w:val="20"/>
          <w:lang w:eastAsia="es-CO"/>
        </w:rPr>
        <w:t>, acumulación de líquido c</w:t>
      </w:r>
      <w:r>
        <w:rPr>
          <w:rFonts w:eastAsia="Times New Roman" w:cs="Times New Roman"/>
          <w:kern w:val="36"/>
          <w:szCs w:val="20"/>
          <w:lang w:eastAsia="es-CO"/>
        </w:rPr>
        <w:t>o</w:t>
      </w:r>
      <w:r w:rsidRPr="00486EC6">
        <w:rPr>
          <w:rFonts w:eastAsia="Times New Roman" w:cs="Times New Roman"/>
          <w:kern w:val="36"/>
          <w:szCs w:val="20"/>
          <w:lang w:eastAsia="es-CO"/>
        </w:rPr>
        <w:t>rpo</w:t>
      </w:r>
      <w:r>
        <w:rPr>
          <w:rFonts w:eastAsia="Times New Roman" w:cs="Times New Roman"/>
          <w:kern w:val="36"/>
          <w:szCs w:val="20"/>
          <w:lang w:eastAsia="es-CO"/>
        </w:rPr>
        <w:t>ral (edemas)</w:t>
      </w:r>
      <w:r w:rsidRPr="00486EC6">
        <w:rPr>
          <w:rFonts w:eastAsia="Times New Roman" w:cs="Times New Roman"/>
          <w:kern w:val="36"/>
          <w:szCs w:val="20"/>
          <w:lang w:eastAsia="es-CO"/>
        </w:rPr>
        <w:t xml:space="preserve">, aumento progresivo </w:t>
      </w:r>
      <w:r w:rsidRPr="00486EC6">
        <w:rPr>
          <w:rFonts w:eastAsia="Times New Roman" w:cs="Times New Roman"/>
          <w:kern w:val="36"/>
          <w:szCs w:val="20"/>
          <w:lang w:eastAsia="es-CO"/>
        </w:rPr>
        <w:lastRenderedPageBreak/>
        <w:t xml:space="preserve">del hematocrito, </w:t>
      </w:r>
      <w:r>
        <w:rPr>
          <w:rFonts w:eastAsia="Times New Roman" w:cs="Times New Roman"/>
          <w:kern w:val="36"/>
          <w:szCs w:val="20"/>
          <w:lang w:eastAsia="es-CO"/>
        </w:rPr>
        <w:t>deterioro</w:t>
      </w:r>
      <w:r w:rsidRPr="00486EC6">
        <w:rPr>
          <w:rFonts w:eastAsia="Times New Roman" w:cs="Times New Roman"/>
          <w:kern w:val="36"/>
          <w:szCs w:val="20"/>
          <w:lang w:eastAsia="es-CO"/>
        </w:rPr>
        <w:t xml:space="preserve"> clínico </w:t>
      </w:r>
      <w:r>
        <w:rPr>
          <w:rFonts w:eastAsia="Times New Roman" w:cs="Times New Roman"/>
          <w:kern w:val="36"/>
          <w:szCs w:val="20"/>
          <w:lang w:eastAsia="es-CO"/>
        </w:rPr>
        <w:t>súbito</w:t>
      </w:r>
      <w:r w:rsidRPr="00486EC6">
        <w:rPr>
          <w:rFonts w:eastAsia="Times New Roman" w:cs="Times New Roman"/>
          <w:kern w:val="36"/>
          <w:szCs w:val="20"/>
          <w:lang w:eastAsia="es-CO"/>
        </w:rPr>
        <w:t>, signos de deshidratación o inestabilidad hemodinámica.</w:t>
      </w:r>
    </w:p>
    <w:p w14:paraId="3B912699" w14:textId="77777777" w:rsidR="00816445" w:rsidRDefault="00816445" w:rsidP="00816445">
      <w:pPr>
        <w:shd w:val="clear" w:color="auto" w:fill="FFFFFF"/>
        <w:textAlignment w:val="baseline"/>
        <w:outlineLvl w:val="0"/>
        <w:rPr>
          <w:rFonts w:eastAsia="Times New Roman" w:cs="Times New Roman"/>
          <w:b/>
          <w:bCs/>
          <w:color w:val="EE0000"/>
          <w:kern w:val="36"/>
          <w:szCs w:val="20"/>
          <w:lang w:eastAsia="es-CO"/>
        </w:rPr>
      </w:pPr>
    </w:p>
    <w:p w14:paraId="5D4FDE23" w14:textId="77777777" w:rsidR="00C10FFE" w:rsidRDefault="00816445" w:rsidP="00816445">
      <w:pPr>
        <w:shd w:val="clear" w:color="auto" w:fill="FFFFFF"/>
        <w:textAlignment w:val="baseline"/>
        <w:outlineLvl w:val="0"/>
        <w:rPr>
          <w:rFonts w:eastAsia="Times New Roman" w:cs="Times New Roman"/>
          <w:kern w:val="36"/>
          <w:szCs w:val="20"/>
          <w:lang w:eastAsia="es-CO"/>
        </w:rPr>
      </w:pPr>
      <w:r w:rsidRPr="004C7C57">
        <w:rPr>
          <w:rFonts w:eastAsia="Times New Roman" w:cs="Times New Roman"/>
          <w:b/>
          <w:bCs/>
          <w:kern w:val="36"/>
          <w:szCs w:val="20"/>
          <w:lang w:eastAsia="es-CO"/>
        </w:rPr>
        <w:t>Considere dengue grave cuando haya:</w:t>
      </w:r>
      <w:r w:rsidRPr="00486EC6">
        <w:rPr>
          <w:rFonts w:eastAsia="Times New Roman" w:cs="Times New Roman"/>
          <w:kern w:val="36"/>
          <w:szCs w:val="20"/>
          <w:lang w:eastAsia="es-CO"/>
        </w:rPr>
        <w:t xml:space="preserve"> </w:t>
      </w:r>
    </w:p>
    <w:p w14:paraId="7C9B225C" w14:textId="77777777" w:rsidR="00C10FFE" w:rsidRDefault="00816445" w:rsidP="00816445">
      <w:pPr>
        <w:shd w:val="clear" w:color="auto" w:fill="FFFFFF"/>
        <w:textAlignment w:val="baseline"/>
        <w:outlineLvl w:val="0"/>
        <w:rPr>
          <w:rFonts w:eastAsia="Times New Roman" w:cs="Times New Roman"/>
          <w:kern w:val="36"/>
          <w:szCs w:val="20"/>
          <w:lang w:eastAsia="es-CO"/>
        </w:rPr>
      </w:pPr>
      <w:r w:rsidRPr="00486EC6">
        <w:rPr>
          <w:rFonts w:eastAsia="Times New Roman" w:cs="Times New Roman"/>
          <w:kern w:val="36"/>
          <w:szCs w:val="20"/>
          <w:lang w:eastAsia="es-CO"/>
        </w:rPr>
        <w:t xml:space="preserve">shock o descenso persistente de la presión arterial, </w:t>
      </w:r>
    </w:p>
    <w:p w14:paraId="4A828ED4" w14:textId="5C09BCC1" w:rsidR="00816445" w:rsidRPr="00486EC6" w:rsidRDefault="00816445" w:rsidP="00816445">
      <w:pPr>
        <w:shd w:val="clear" w:color="auto" w:fill="FFFFFF"/>
        <w:textAlignment w:val="baseline"/>
        <w:outlineLvl w:val="0"/>
        <w:rPr>
          <w:rFonts w:eastAsia="Times New Roman" w:cs="Times New Roman"/>
          <w:kern w:val="36"/>
          <w:szCs w:val="20"/>
          <w:lang w:eastAsia="es-CO"/>
        </w:rPr>
      </w:pPr>
      <w:r w:rsidRPr="00486EC6">
        <w:rPr>
          <w:rFonts w:eastAsia="Times New Roman" w:cs="Times New Roman"/>
          <w:kern w:val="36"/>
          <w:szCs w:val="20"/>
          <w:lang w:eastAsia="es-CO"/>
        </w:rPr>
        <w:t>sangrado grave, afectación de órganos vitales (hígado, riñones, pulmones, corazón), alteraciones neurológicas, necesidad de ingreso en la UCI o riesgo de muerte.</w:t>
      </w:r>
    </w:p>
    <w:p w14:paraId="0DAE2D4A" w14:textId="77777777" w:rsidR="00816445" w:rsidRPr="00C91323" w:rsidRDefault="00816445" w:rsidP="00816445">
      <w:pPr>
        <w:shd w:val="clear" w:color="auto" w:fill="FFFFFF"/>
        <w:textAlignment w:val="baseline"/>
        <w:outlineLvl w:val="0"/>
        <w:rPr>
          <w:rFonts w:eastAsia="Times New Roman" w:cs="Times New Roman"/>
          <w:color w:val="EE0000"/>
          <w:kern w:val="36"/>
          <w:szCs w:val="20"/>
          <w:lang w:eastAsia="es-CO"/>
        </w:rPr>
      </w:pPr>
    </w:p>
    <w:p w14:paraId="701F1709" w14:textId="77777777" w:rsidR="00C10FFE" w:rsidRDefault="00816445" w:rsidP="00816445">
      <w:pPr>
        <w:shd w:val="clear" w:color="auto" w:fill="FFFFFF"/>
        <w:textAlignment w:val="baseline"/>
        <w:outlineLvl w:val="0"/>
        <w:rPr>
          <w:rFonts w:eastAsia="Times New Roman" w:cs="Times New Roman"/>
          <w:kern w:val="36"/>
          <w:szCs w:val="20"/>
          <w:lang w:eastAsia="es-CO"/>
        </w:rPr>
      </w:pPr>
      <w:r w:rsidRPr="00486EC6">
        <w:rPr>
          <w:rFonts w:eastAsia="Times New Roman" w:cs="Times New Roman"/>
          <w:kern w:val="36"/>
          <w:szCs w:val="20"/>
          <w:lang w:eastAsia="es-CO"/>
        </w:rPr>
        <w:t xml:space="preserve">Los profesionales de la salud deben notificar los eventos adversos a través del sistema electrónico e-SUS Notifica </w:t>
      </w:r>
      <w:r w:rsidR="00C10FFE">
        <w:rPr>
          <w:rFonts w:eastAsia="Times New Roman" w:cs="Times New Roman"/>
          <w:kern w:val="36"/>
          <w:szCs w:val="20"/>
          <w:lang w:eastAsia="es-CO"/>
        </w:rPr>
        <w:t xml:space="preserve">disponible en: </w:t>
      </w:r>
      <w:hyperlink r:id="rId39" w:history="1">
        <w:r w:rsidR="00C10FFE" w:rsidRPr="003B6E80">
          <w:rPr>
            <w:rStyle w:val="Hipervnculo"/>
            <w:rFonts w:eastAsia="Times New Roman" w:cs="Times New Roman"/>
            <w:kern w:val="36"/>
            <w:szCs w:val="20"/>
            <w:lang w:eastAsia="es-CO"/>
          </w:rPr>
          <w:t>https://notifica.saude.gov.br/</w:t>
        </w:r>
      </w:hyperlink>
      <w:r w:rsidR="00C10FFE">
        <w:rPr>
          <w:rFonts w:eastAsia="Times New Roman" w:cs="Times New Roman"/>
          <w:kern w:val="36"/>
          <w:szCs w:val="20"/>
          <w:lang w:eastAsia="es-CO"/>
        </w:rPr>
        <w:t>. L</w:t>
      </w:r>
      <w:r w:rsidRPr="00486EC6">
        <w:rPr>
          <w:rFonts w:eastAsia="Times New Roman" w:cs="Times New Roman"/>
          <w:kern w:val="36"/>
          <w:szCs w:val="20"/>
          <w:lang w:eastAsia="es-CO"/>
        </w:rPr>
        <w:t xml:space="preserve">a notificación </w:t>
      </w:r>
    </w:p>
    <w:p w14:paraId="6E0C344A" w14:textId="2AAAA8EB" w:rsidR="00816445" w:rsidRPr="00486EC6" w:rsidRDefault="00816445" w:rsidP="00816445">
      <w:pPr>
        <w:shd w:val="clear" w:color="auto" w:fill="FFFFFF"/>
        <w:textAlignment w:val="baseline"/>
        <w:outlineLvl w:val="0"/>
        <w:rPr>
          <w:rFonts w:eastAsia="Times New Roman" w:cs="Times New Roman"/>
          <w:kern w:val="36"/>
          <w:szCs w:val="20"/>
          <w:lang w:eastAsia="es-CO"/>
        </w:rPr>
      </w:pPr>
      <w:r w:rsidRPr="00486EC6">
        <w:rPr>
          <w:rFonts w:eastAsia="Times New Roman" w:cs="Times New Roman"/>
          <w:kern w:val="36"/>
          <w:szCs w:val="20"/>
          <w:lang w:eastAsia="es-CO"/>
        </w:rPr>
        <w:t xml:space="preserve">de casos graves es obligatoria </w:t>
      </w:r>
      <w:r>
        <w:rPr>
          <w:rFonts w:eastAsia="Times New Roman" w:cs="Times New Roman"/>
          <w:kern w:val="36"/>
          <w:szCs w:val="20"/>
          <w:lang w:eastAsia="es-CO"/>
        </w:rPr>
        <w:t>y debe hacerse</w:t>
      </w:r>
      <w:r w:rsidRPr="00486EC6">
        <w:rPr>
          <w:rFonts w:eastAsia="Times New Roman" w:cs="Times New Roman"/>
          <w:kern w:val="36"/>
          <w:szCs w:val="20"/>
          <w:lang w:eastAsia="es-CO"/>
        </w:rPr>
        <w:t xml:space="preserve"> inmediata</w:t>
      </w:r>
      <w:r>
        <w:rPr>
          <w:rFonts w:eastAsia="Times New Roman" w:cs="Times New Roman"/>
          <w:kern w:val="36"/>
          <w:szCs w:val="20"/>
          <w:lang w:eastAsia="es-CO"/>
        </w:rPr>
        <w:t>mente</w:t>
      </w:r>
      <w:r w:rsidRPr="00486EC6">
        <w:rPr>
          <w:rFonts w:eastAsia="Times New Roman" w:cs="Times New Roman"/>
          <w:kern w:val="36"/>
          <w:szCs w:val="20"/>
          <w:lang w:eastAsia="es-CO"/>
        </w:rPr>
        <w:t>.</w:t>
      </w:r>
    </w:p>
    <w:p w14:paraId="653EF4DD" w14:textId="77777777" w:rsidR="00816445" w:rsidRPr="00C91323" w:rsidRDefault="00816445" w:rsidP="00816445">
      <w:pPr>
        <w:shd w:val="clear" w:color="auto" w:fill="FFFFFF"/>
        <w:textAlignment w:val="baseline"/>
        <w:outlineLvl w:val="0"/>
        <w:rPr>
          <w:rFonts w:eastAsia="Times New Roman" w:cs="Times New Roman"/>
          <w:color w:val="EE0000"/>
          <w:kern w:val="36"/>
          <w:szCs w:val="20"/>
          <w:lang w:eastAsia="es-CO"/>
        </w:rPr>
      </w:pPr>
    </w:p>
    <w:p w14:paraId="3B44B766" w14:textId="77777777" w:rsidR="00816445" w:rsidRDefault="00816445" w:rsidP="00816445">
      <w:pPr>
        <w:shd w:val="clear" w:color="auto" w:fill="FFFFFF"/>
        <w:textAlignment w:val="baseline"/>
        <w:outlineLvl w:val="0"/>
        <w:rPr>
          <w:rFonts w:eastAsia="Times New Roman" w:cs="Times New Roman"/>
          <w:kern w:val="36"/>
          <w:szCs w:val="20"/>
          <w:lang w:eastAsia="es-CO"/>
        </w:rPr>
      </w:pPr>
      <w:r w:rsidRPr="00486EC6">
        <w:rPr>
          <w:rFonts w:eastAsia="Times New Roman" w:cs="Times New Roman"/>
          <w:kern w:val="36"/>
          <w:szCs w:val="20"/>
          <w:lang w:eastAsia="es-CO"/>
        </w:rPr>
        <w:t xml:space="preserve">La población general puede notificar espontáneamente los eventos adversos a través del sistema </w:t>
      </w:r>
      <w:proofErr w:type="spellStart"/>
      <w:r w:rsidRPr="00486EC6">
        <w:rPr>
          <w:rFonts w:eastAsia="Times New Roman" w:cs="Times New Roman"/>
          <w:kern w:val="36"/>
          <w:szCs w:val="20"/>
          <w:lang w:eastAsia="es-CO"/>
        </w:rPr>
        <w:t>VigiMed</w:t>
      </w:r>
      <w:proofErr w:type="spellEnd"/>
      <w:r>
        <w:rPr>
          <w:rFonts w:eastAsia="Times New Roman" w:cs="Times New Roman"/>
          <w:kern w:val="36"/>
          <w:szCs w:val="20"/>
          <w:lang w:eastAsia="es-CO"/>
        </w:rPr>
        <w:t xml:space="preserve">, disponible en: </w:t>
      </w:r>
      <w:hyperlink r:id="rId40" w:history="1">
        <w:r w:rsidRPr="000A7189">
          <w:rPr>
            <w:rStyle w:val="Hipervnculo"/>
            <w:rFonts w:eastAsia="Times New Roman" w:cs="Times New Roman"/>
            <w:kern w:val="36"/>
            <w:szCs w:val="20"/>
            <w:lang w:eastAsia="es-CO"/>
          </w:rPr>
          <w:t>https://vigiflow-eforms.who-umc.org/br/vigimed</w:t>
        </w:r>
      </w:hyperlink>
    </w:p>
    <w:p w14:paraId="563C9A39" w14:textId="77777777" w:rsidR="00816445" w:rsidRPr="004C7C57" w:rsidRDefault="00816445" w:rsidP="00816445">
      <w:pPr>
        <w:shd w:val="clear" w:color="auto" w:fill="FFFFFF"/>
        <w:textAlignment w:val="baseline"/>
        <w:outlineLvl w:val="0"/>
        <w:rPr>
          <w:rFonts w:eastAsia="Times New Roman" w:cs="Times New Roman"/>
          <w:kern w:val="36"/>
          <w:szCs w:val="20"/>
          <w:lang w:eastAsia="es-CO"/>
        </w:rPr>
      </w:pPr>
      <w:r>
        <w:rPr>
          <w:rFonts w:eastAsia="Times New Roman" w:cs="Times New Roman"/>
          <w:kern w:val="36"/>
          <w:szCs w:val="20"/>
          <w:lang w:eastAsia="es-CO"/>
        </w:rPr>
        <w:t xml:space="preserve"> </w:t>
      </w:r>
    </w:p>
    <w:p w14:paraId="271F5F95" w14:textId="77777777" w:rsidR="00C10FFE" w:rsidRDefault="00C10FFE" w:rsidP="00816445">
      <w:pPr>
        <w:shd w:val="clear" w:color="auto" w:fill="FFFFFF"/>
        <w:textAlignment w:val="baseline"/>
        <w:outlineLvl w:val="0"/>
        <w:rPr>
          <w:rFonts w:eastAsia="Times New Roman" w:cs="Times New Roman"/>
          <w:b/>
          <w:bCs/>
          <w:kern w:val="36"/>
          <w:szCs w:val="20"/>
          <w:lang w:eastAsia="es-CO"/>
        </w:rPr>
      </w:pPr>
    </w:p>
    <w:p w14:paraId="7185CA99" w14:textId="77777777" w:rsidR="00C10FFE" w:rsidRDefault="00C10FFE" w:rsidP="00816445">
      <w:pPr>
        <w:shd w:val="clear" w:color="auto" w:fill="FFFFFF"/>
        <w:textAlignment w:val="baseline"/>
        <w:outlineLvl w:val="0"/>
        <w:rPr>
          <w:rFonts w:eastAsia="Times New Roman" w:cs="Times New Roman"/>
          <w:b/>
          <w:bCs/>
          <w:kern w:val="36"/>
          <w:szCs w:val="20"/>
          <w:lang w:eastAsia="es-CO"/>
        </w:rPr>
      </w:pPr>
    </w:p>
    <w:p w14:paraId="6DF55233" w14:textId="79A2B1A4" w:rsidR="00816445" w:rsidRPr="00A710D0" w:rsidRDefault="00816445" w:rsidP="00816445">
      <w:pPr>
        <w:shd w:val="clear" w:color="auto" w:fill="FFFFFF"/>
        <w:textAlignment w:val="baseline"/>
        <w:outlineLvl w:val="0"/>
        <w:rPr>
          <w:rFonts w:eastAsia="Times New Roman" w:cs="Times New Roman"/>
          <w:b/>
          <w:bCs/>
          <w:kern w:val="36"/>
          <w:szCs w:val="20"/>
          <w:lang w:eastAsia="es-CO"/>
        </w:rPr>
      </w:pPr>
      <w:r w:rsidRPr="00A710D0">
        <w:rPr>
          <w:rFonts w:eastAsia="Times New Roman" w:cs="Times New Roman"/>
          <w:b/>
          <w:bCs/>
          <w:kern w:val="36"/>
          <w:szCs w:val="20"/>
          <w:lang w:eastAsia="es-CO"/>
        </w:rPr>
        <w:t>Recomendaciones para el público en general</w:t>
      </w:r>
    </w:p>
    <w:p w14:paraId="4DAF20A6" w14:textId="332C3785" w:rsidR="00816445" w:rsidRDefault="00816445" w:rsidP="00816445">
      <w:pPr>
        <w:shd w:val="clear" w:color="auto" w:fill="FFFFFF"/>
        <w:textAlignment w:val="baseline"/>
        <w:outlineLvl w:val="0"/>
        <w:rPr>
          <w:rFonts w:eastAsia="Times New Roman" w:cs="Times New Roman"/>
          <w:kern w:val="36"/>
          <w:szCs w:val="20"/>
          <w:lang w:eastAsia="es-CO"/>
        </w:rPr>
      </w:pPr>
      <w:r w:rsidRPr="00A710D0">
        <w:rPr>
          <w:rFonts w:eastAsia="Times New Roman" w:cs="Times New Roman"/>
          <w:kern w:val="36"/>
          <w:szCs w:val="20"/>
          <w:lang w:eastAsia="es-CO"/>
        </w:rPr>
        <w:t>Las personas vacunadas siguen estando potencialmente protegidas contra los cuatro tipos de dengue.</w:t>
      </w:r>
      <w:r w:rsidR="00C10FFE">
        <w:rPr>
          <w:rFonts w:eastAsia="Times New Roman" w:cs="Times New Roman"/>
          <w:kern w:val="36"/>
          <w:szCs w:val="20"/>
          <w:lang w:eastAsia="es-CO"/>
        </w:rPr>
        <w:t xml:space="preserve"> </w:t>
      </w:r>
      <w:r w:rsidRPr="00A710D0">
        <w:rPr>
          <w:rFonts w:eastAsia="Times New Roman" w:cs="Times New Roman"/>
          <w:kern w:val="36"/>
          <w:szCs w:val="20"/>
          <w:lang w:eastAsia="es-CO"/>
        </w:rPr>
        <w:t xml:space="preserve">Si ya recibió la vacuna, esté atento a los signos y síntomas durante los 21 días posteriores a la vacunación. </w:t>
      </w:r>
    </w:p>
    <w:p w14:paraId="52845F76" w14:textId="77777777" w:rsidR="00816445" w:rsidRDefault="00816445" w:rsidP="00816445">
      <w:pPr>
        <w:shd w:val="clear" w:color="auto" w:fill="FFFFFF"/>
        <w:textAlignment w:val="baseline"/>
        <w:outlineLvl w:val="0"/>
        <w:rPr>
          <w:rFonts w:eastAsia="Times New Roman" w:cs="Times New Roman"/>
          <w:kern w:val="36"/>
          <w:szCs w:val="20"/>
          <w:lang w:eastAsia="es-CO"/>
        </w:rPr>
      </w:pPr>
    </w:p>
    <w:p w14:paraId="3B4F25EF" w14:textId="77777777" w:rsidR="00816445" w:rsidRDefault="00816445" w:rsidP="00816445">
      <w:pPr>
        <w:shd w:val="clear" w:color="auto" w:fill="FFFFFF"/>
        <w:textAlignment w:val="baseline"/>
        <w:outlineLvl w:val="0"/>
        <w:rPr>
          <w:rFonts w:eastAsia="Times New Roman" w:cs="Times New Roman"/>
          <w:kern w:val="36"/>
          <w:szCs w:val="20"/>
          <w:lang w:eastAsia="es-CO"/>
        </w:rPr>
      </w:pPr>
      <w:r w:rsidRPr="00A710D0">
        <w:rPr>
          <w:rFonts w:eastAsia="Times New Roman" w:cs="Times New Roman"/>
          <w:kern w:val="36"/>
          <w:szCs w:val="20"/>
          <w:lang w:eastAsia="es-CO"/>
        </w:rPr>
        <w:t>Busque atención médica de inmediato si presenta fiebre, dolor abdominal intenso, vómitos persistentes, sangrado, mareos, somnolencia excesiva, signos de deshidratación o un empeoramiento de su estado general.</w:t>
      </w:r>
    </w:p>
    <w:p w14:paraId="666F0329" w14:textId="77777777" w:rsidR="00816445" w:rsidRDefault="00816445" w:rsidP="00816445">
      <w:pPr>
        <w:shd w:val="clear" w:color="auto" w:fill="FFFFFF"/>
        <w:textAlignment w:val="baseline"/>
        <w:outlineLvl w:val="0"/>
        <w:rPr>
          <w:rFonts w:eastAsia="Times New Roman" w:cs="Times New Roman"/>
          <w:kern w:val="36"/>
          <w:szCs w:val="20"/>
          <w:lang w:eastAsia="es-CO"/>
        </w:rPr>
      </w:pPr>
    </w:p>
    <w:p w14:paraId="4BD924B8" w14:textId="08F2902D" w:rsidR="00816445" w:rsidRPr="00855E68" w:rsidRDefault="00816445" w:rsidP="00816445">
      <w:pPr>
        <w:shd w:val="clear" w:color="auto" w:fill="FFFFFF"/>
        <w:textAlignment w:val="baseline"/>
        <w:outlineLvl w:val="0"/>
        <w:rPr>
          <w:rFonts w:eastAsia="Times New Roman" w:cs="Times New Roman"/>
          <w:color w:val="EE0000"/>
          <w:kern w:val="36"/>
          <w:szCs w:val="20"/>
          <w:lang w:eastAsia="es-CO"/>
        </w:rPr>
      </w:pPr>
      <w:r w:rsidRPr="00855E68">
        <w:rPr>
          <w:rFonts w:eastAsia="Times New Roman" w:cs="Times New Roman"/>
          <w:kern w:val="36"/>
          <w:szCs w:val="20"/>
          <w:lang w:eastAsia="es-CO"/>
        </w:rPr>
        <w:t xml:space="preserve">Conferencia de prensa celebrada el 8 de junio de 2026, disponible en </w:t>
      </w:r>
      <w:hyperlink r:id="rId41" w:history="1">
        <w:r w:rsidR="00C10FFE" w:rsidRPr="003B6E80">
          <w:rPr>
            <w:rStyle w:val="Hipervnculo"/>
            <w:rFonts w:eastAsia="Times New Roman" w:cs="Times New Roman"/>
            <w:kern w:val="36"/>
            <w:szCs w:val="20"/>
            <w:lang w:eastAsia="es-CO"/>
          </w:rPr>
          <w:t>https://www.youtube.com/live/l9_kYX1lOkw</w:t>
        </w:r>
      </w:hyperlink>
    </w:p>
    <w:p w14:paraId="6462851A" w14:textId="77777777" w:rsidR="00816445" w:rsidRDefault="00816445" w:rsidP="00816445">
      <w:pPr>
        <w:shd w:val="clear" w:color="auto" w:fill="FFFFFF"/>
        <w:textAlignment w:val="baseline"/>
        <w:outlineLvl w:val="0"/>
        <w:rPr>
          <w:rFonts w:eastAsia="Times New Roman" w:cs="Times New Roman"/>
          <w:kern w:val="36"/>
          <w:szCs w:val="20"/>
          <w:lang w:eastAsia="es-CO"/>
        </w:rPr>
      </w:pPr>
    </w:p>
    <w:p w14:paraId="3299239E" w14:textId="30677ABF" w:rsidR="00816445" w:rsidRPr="008729C9" w:rsidRDefault="00816445" w:rsidP="00816445">
      <w:pPr>
        <w:shd w:val="clear" w:color="auto" w:fill="FFFFFF"/>
        <w:textAlignment w:val="baseline"/>
        <w:outlineLvl w:val="0"/>
        <w:rPr>
          <w:rFonts w:eastAsia="Times New Roman" w:cs="Times New Roman"/>
          <w:b/>
          <w:bCs/>
          <w:kern w:val="36"/>
          <w:sz w:val="18"/>
          <w:szCs w:val="18"/>
          <w:lang w:eastAsia="es-CO"/>
        </w:rPr>
      </w:pPr>
      <w:r w:rsidRPr="008729C9">
        <w:rPr>
          <w:rFonts w:eastAsia="Times New Roman" w:cs="Times New Roman"/>
          <w:b/>
          <w:bCs/>
          <w:kern w:val="36"/>
          <w:sz w:val="18"/>
          <w:szCs w:val="18"/>
          <w:lang w:eastAsia="es-CO"/>
        </w:rPr>
        <w:t>Referencia:</w:t>
      </w:r>
    </w:p>
    <w:p w14:paraId="1A1FFF05" w14:textId="3D3ED2FD" w:rsidR="00F227B9" w:rsidRPr="00C07879" w:rsidRDefault="00816445" w:rsidP="00C87184">
      <w:pPr>
        <w:ind w:left="180" w:hanging="180"/>
        <w:rPr>
          <w:lang w:val="pt-BR"/>
        </w:rPr>
      </w:pPr>
      <w:r>
        <w:rPr>
          <w:rFonts w:eastAsia="Times New Roman" w:cs="Times New Roman"/>
          <w:kern w:val="36"/>
          <w:sz w:val="18"/>
          <w:szCs w:val="18"/>
          <w:lang w:eastAsia="es-CO"/>
        </w:rPr>
        <w:t>1.</w:t>
      </w:r>
      <w:r w:rsidRPr="00A710D0">
        <w:rPr>
          <w:rFonts w:eastAsia="Times New Roman" w:cs="Times New Roman"/>
          <w:kern w:val="36"/>
          <w:sz w:val="18"/>
          <w:szCs w:val="18"/>
          <w:lang w:eastAsia="es-CO"/>
        </w:rPr>
        <w:t>Ministerio de Salud</w:t>
      </w:r>
      <w:r>
        <w:rPr>
          <w:rFonts w:eastAsia="Times New Roman" w:cs="Times New Roman"/>
          <w:kern w:val="36"/>
          <w:sz w:val="18"/>
          <w:szCs w:val="18"/>
          <w:lang w:eastAsia="es-CO"/>
        </w:rPr>
        <w:t xml:space="preserve"> de Brasil</w:t>
      </w:r>
      <w:r w:rsidRPr="00A710D0">
        <w:rPr>
          <w:rFonts w:eastAsia="Times New Roman" w:cs="Times New Roman"/>
          <w:kern w:val="36"/>
          <w:sz w:val="18"/>
          <w:szCs w:val="18"/>
          <w:lang w:eastAsia="es-CO"/>
        </w:rPr>
        <w:t xml:space="preserve">. </w:t>
      </w:r>
      <w:r>
        <w:rPr>
          <w:rFonts w:eastAsia="Times New Roman" w:cs="Times New Roman"/>
          <w:kern w:val="36"/>
          <w:sz w:val="18"/>
          <w:szCs w:val="18"/>
          <w:lang w:eastAsia="es-CO"/>
        </w:rPr>
        <w:t xml:space="preserve">Secretaria de Vigilancia en Salud y Ambiente. </w:t>
      </w:r>
      <w:r w:rsidRPr="00903DF7">
        <w:rPr>
          <w:rFonts w:eastAsia="Times New Roman" w:cs="Times New Roman"/>
          <w:kern w:val="36"/>
          <w:sz w:val="18"/>
          <w:szCs w:val="18"/>
          <w:lang w:val="pt-BR" w:eastAsia="es-CO"/>
        </w:rPr>
        <w:t>Nota Técnica nº 58/2026-DPNI/SVSA/MS</w:t>
      </w:r>
      <w:r w:rsidRPr="00903DF7">
        <w:rPr>
          <w:rFonts w:eastAsia="Times New Roman" w:cs="Times New Roman"/>
          <w:b/>
          <w:bCs/>
          <w:kern w:val="36"/>
          <w:sz w:val="18"/>
          <w:szCs w:val="18"/>
          <w:lang w:val="pt-BR" w:eastAsia="es-CO"/>
        </w:rPr>
        <w:t xml:space="preserve"> </w:t>
      </w:r>
      <w:hyperlink r:id="rId42" w:history="1">
        <w:r w:rsidRPr="00903DF7">
          <w:rPr>
            <w:rStyle w:val="Hipervnculo"/>
            <w:rFonts w:eastAsia="Times New Roman" w:cs="Times New Roman"/>
            <w:kern w:val="36"/>
            <w:sz w:val="18"/>
            <w:szCs w:val="18"/>
            <w:lang w:val="pt-BR" w:eastAsia="es-CO"/>
          </w:rPr>
          <w:t>https://www.gov.br/saude/pt-br/centrais-de-conteudo/publicacoes/notas-tecnicas/2026/nota-tecnica-no-58-2026-dpni-svsa-ms.pdf/view</w:t>
        </w:r>
      </w:hyperlink>
    </w:p>
    <w:p w14:paraId="371F31F1" w14:textId="77777777" w:rsidR="00C10FFE" w:rsidRDefault="00C10FFE" w:rsidP="00816445">
      <w:pPr>
        <w:rPr>
          <w:color w:val="EE0000"/>
          <w:lang w:val="pt-BR"/>
        </w:rPr>
        <w:sectPr w:rsidR="00C10FFE" w:rsidSect="00C10FFE">
          <w:type w:val="continuous"/>
          <w:pgSz w:w="12240" w:h="15840" w:code="1"/>
          <w:pgMar w:top="720" w:right="720" w:bottom="720" w:left="720" w:header="288" w:footer="288" w:gutter="0"/>
          <w:cols w:num="2" w:space="288"/>
          <w:docGrid w:linePitch="360"/>
        </w:sectPr>
      </w:pPr>
    </w:p>
    <w:p w14:paraId="45F3C1DD" w14:textId="77777777" w:rsidR="00D17869" w:rsidRPr="00C07879" w:rsidRDefault="00D17869" w:rsidP="00F472B8">
      <w:pPr>
        <w:rPr>
          <w:lang w:val="pt-BR"/>
        </w:rPr>
      </w:pPr>
    </w:p>
    <w:p w14:paraId="1063B782" w14:textId="471684DC" w:rsidR="00073DA9" w:rsidRDefault="00073DA9" w:rsidP="00D17869">
      <w:pPr>
        <w:jc w:val="center"/>
        <w:rPr>
          <w:lang w:eastAsia="es-CO"/>
        </w:rPr>
      </w:pPr>
      <w:r w:rsidRPr="00D17869">
        <w:t>Brasil.</w:t>
      </w:r>
      <w:r>
        <w:t xml:space="preserve"> </w:t>
      </w:r>
      <w:proofErr w:type="spellStart"/>
      <w:r w:rsidRPr="00D17869">
        <w:rPr>
          <w:b/>
          <w:bCs/>
          <w:lang w:eastAsia="es-CO"/>
        </w:rPr>
        <w:t>Anvisa</w:t>
      </w:r>
      <w:proofErr w:type="spellEnd"/>
      <w:r w:rsidRPr="00D17869">
        <w:rPr>
          <w:b/>
          <w:bCs/>
          <w:lang w:eastAsia="es-CO"/>
        </w:rPr>
        <w:t xml:space="preserve"> crea un grupo para evaluar a fondo la vacuna contra el dengue </w:t>
      </w:r>
      <w:proofErr w:type="spellStart"/>
      <w:r w:rsidRPr="00D17869">
        <w:rPr>
          <w:b/>
          <w:bCs/>
          <w:lang w:eastAsia="es-CO"/>
        </w:rPr>
        <w:t>Butantan</w:t>
      </w:r>
      <w:proofErr w:type="spellEnd"/>
      <w:r w:rsidRPr="00D17869">
        <w:rPr>
          <w:b/>
          <w:bCs/>
          <w:lang w:eastAsia="es-CO"/>
        </w:rPr>
        <w:t>-DV</w:t>
      </w:r>
    </w:p>
    <w:p w14:paraId="5C83C26D" w14:textId="5BC8CF2B" w:rsidR="00073DA9" w:rsidRPr="000E5228" w:rsidRDefault="00073DA9" w:rsidP="00D17869">
      <w:pPr>
        <w:jc w:val="center"/>
        <w:rPr>
          <w:rFonts w:eastAsia="Times New Roman"/>
          <w:b/>
          <w:bCs/>
          <w:kern w:val="36"/>
          <w:sz w:val="18"/>
          <w:szCs w:val="18"/>
          <w:lang w:eastAsia="es-CO"/>
        </w:rPr>
      </w:pPr>
      <w:r w:rsidRPr="00C87184">
        <w:rPr>
          <w:rFonts w:cs="Times New Roman"/>
          <w:i/>
          <w:iCs/>
          <w:szCs w:val="20"/>
          <w:bdr w:val="none" w:sz="0" w:space="0" w:color="auto" w:frame="1"/>
          <w:shd w:val="clear" w:color="auto" w:fill="FFFFFF"/>
        </w:rPr>
        <w:t>Agencia Nacional de Vigilancia Sanitaria (A</w:t>
      </w:r>
      <w:r w:rsidRPr="000E5228">
        <w:rPr>
          <w:i/>
          <w:iCs/>
        </w:rPr>
        <w:t>NVISA),</w:t>
      </w:r>
      <w:r w:rsidRPr="000E5228">
        <w:t xml:space="preserve"> 16 de junio de 2026</w:t>
      </w:r>
    </w:p>
    <w:p w14:paraId="45C6C563" w14:textId="77777777" w:rsidR="00073DA9" w:rsidRDefault="00B00DA4" w:rsidP="00073DA9">
      <w:pPr>
        <w:shd w:val="clear" w:color="auto" w:fill="FFFFFF"/>
        <w:jc w:val="center"/>
        <w:textAlignment w:val="baseline"/>
        <w:outlineLvl w:val="0"/>
        <w:rPr>
          <w:rFonts w:eastAsia="Times New Roman" w:cs="Times New Roman"/>
          <w:kern w:val="36"/>
          <w:szCs w:val="20"/>
          <w:lang w:eastAsia="es-CO"/>
        </w:rPr>
      </w:pPr>
      <w:hyperlink r:id="rId43" w:history="1">
        <w:r w:rsidR="00073DA9" w:rsidRPr="00B47362">
          <w:rPr>
            <w:rStyle w:val="Hipervnculo"/>
            <w:rFonts w:eastAsia="Times New Roman" w:cs="Times New Roman"/>
            <w:kern w:val="36"/>
            <w:szCs w:val="20"/>
            <w:lang w:eastAsia="es-CO"/>
          </w:rPr>
          <w:t>https://www.gov.br/anvisa/pt-br/assuntos/noticias-anvisa/2026/anvisa-cria-grupo-para-aprofundar-avaliacao-da-vacina-butantan-dv-contra-a-dengue</w:t>
        </w:r>
      </w:hyperlink>
    </w:p>
    <w:p w14:paraId="758F2F1E" w14:textId="77777777" w:rsidR="00073DA9" w:rsidRPr="000E5228" w:rsidRDefault="00073DA9" w:rsidP="00D17869">
      <w:pPr>
        <w:rPr>
          <w:lang w:eastAsia="es-CO"/>
        </w:rPr>
      </w:pPr>
    </w:p>
    <w:p w14:paraId="1E4B413A" w14:textId="77777777" w:rsidR="00C10FFE" w:rsidRDefault="00C10FFE" w:rsidP="00073DA9">
      <w:pPr>
        <w:shd w:val="clear" w:color="auto" w:fill="FFFFFF"/>
        <w:textAlignment w:val="baseline"/>
        <w:rPr>
          <w:rFonts w:eastAsia="Times New Roman" w:cs="Times New Roman"/>
          <w:b/>
          <w:bCs/>
          <w:sz w:val="18"/>
          <w:szCs w:val="18"/>
          <w:lang w:eastAsia="es-CO"/>
        </w:rPr>
        <w:sectPr w:rsidR="00C10FFE" w:rsidSect="00F25512">
          <w:type w:val="continuous"/>
          <w:pgSz w:w="12240" w:h="15840" w:code="1"/>
          <w:pgMar w:top="720" w:right="720" w:bottom="720" w:left="720" w:header="288" w:footer="288" w:gutter="0"/>
          <w:cols w:space="288"/>
          <w:docGrid w:linePitch="360"/>
        </w:sectPr>
      </w:pPr>
    </w:p>
    <w:p w14:paraId="110F8F08" w14:textId="42CBC4D7" w:rsidR="00073DA9" w:rsidRPr="00147C45" w:rsidRDefault="00073DA9" w:rsidP="00073DA9">
      <w:pPr>
        <w:shd w:val="clear" w:color="auto" w:fill="FFFFFF"/>
        <w:textAlignment w:val="baseline"/>
        <w:rPr>
          <w:rFonts w:eastAsia="Times New Roman" w:cs="Times New Roman"/>
          <w:b/>
          <w:bCs/>
          <w:sz w:val="18"/>
          <w:szCs w:val="18"/>
          <w:lang w:eastAsia="es-CO"/>
        </w:rPr>
      </w:pPr>
      <w:r w:rsidRPr="00147C45">
        <w:rPr>
          <w:rFonts w:eastAsia="Times New Roman" w:cs="Times New Roman"/>
          <w:b/>
          <w:bCs/>
          <w:sz w:val="18"/>
          <w:szCs w:val="18"/>
          <w:lang w:eastAsia="es-CO"/>
        </w:rPr>
        <w:t xml:space="preserve">Tags: </w:t>
      </w:r>
      <w:r w:rsidRPr="000E5228">
        <w:rPr>
          <w:rFonts w:eastAsia="Times New Roman" w:cs="Times New Roman"/>
          <w:b/>
          <w:bCs/>
          <w:kern w:val="36"/>
          <w:sz w:val="18"/>
          <w:szCs w:val="18"/>
          <w:lang w:eastAsia="es-CO"/>
        </w:rPr>
        <w:t>vacuna contra el dengue</w:t>
      </w:r>
      <w:r w:rsidRPr="00147C45">
        <w:rPr>
          <w:rFonts w:eastAsia="Times New Roman" w:cs="Times New Roman"/>
          <w:b/>
          <w:bCs/>
          <w:kern w:val="36"/>
          <w:sz w:val="18"/>
          <w:szCs w:val="18"/>
          <w:lang w:eastAsia="es-CO"/>
        </w:rPr>
        <w:t>,</w:t>
      </w:r>
      <w:r w:rsidRPr="000E5228">
        <w:rPr>
          <w:rFonts w:eastAsia="Times New Roman" w:cs="Times New Roman"/>
          <w:b/>
          <w:bCs/>
          <w:kern w:val="36"/>
          <w:sz w:val="18"/>
          <w:szCs w:val="18"/>
          <w:lang w:eastAsia="es-CO"/>
        </w:rPr>
        <w:t xml:space="preserve"> </w:t>
      </w:r>
      <w:proofErr w:type="spellStart"/>
      <w:r w:rsidRPr="000E5228">
        <w:rPr>
          <w:rFonts w:eastAsia="Times New Roman" w:cs="Times New Roman"/>
          <w:b/>
          <w:bCs/>
          <w:kern w:val="36"/>
          <w:sz w:val="18"/>
          <w:szCs w:val="18"/>
          <w:lang w:eastAsia="es-CO"/>
        </w:rPr>
        <w:t>Butantan</w:t>
      </w:r>
      <w:proofErr w:type="spellEnd"/>
      <w:r w:rsidRPr="000E5228">
        <w:rPr>
          <w:rFonts w:eastAsia="Times New Roman" w:cs="Times New Roman"/>
          <w:b/>
          <w:bCs/>
          <w:kern w:val="36"/>
          <w:sz w:val="18"/>
          <w:szCs w:val="18"/>
          <w:lang w:eastAsia="es-CO"/>
        </w:rPr>
        <w:t>-DV</w:t>
      </w:r>
      <w:r w:rsidRPr="00147C45">
        <w:rPr>
          <w:rFonts w:eastAsia="Times New Roman" w:cs="Times New Roman"/>
          <w:b/>
          <w:bCs/>
          <w:kern w:val="36"/>
          <w:sz w:val="18"/>
          <w:szCs w:val="18"/>
          <w:lang w:eastAsia="es-CO"/>
        </w:rPr>
        <w:t xml:space="preserve">, seguridad de vacuna </w:t>
      </w:r>
      <w:proofErr w:type="spellStart"/>
      <w:r w:rsidRPr="000E5228">
        <w:rPr>
          <w:rFonts w:eastAsia="Times New Roman" w:cs="Times New Roman"/>
          <w:b/>
          <w:bCs/>
          <w:kern w:val="36"/>
          <w:sz w:val="18"/>
          <w:szCs w:val="18"/>
          <w:lang w:eastAsia="es-CO"/>
        </w:rPr>
        <w:t>Butantan</w:t>
      </w:r>
      <w:proofErr w:type="spellEnd"/>
      <w:r w:rsidRPr="000E5228">
        <w:rPr>
          <w:rFonts w:eastAsia="Times New Roman" w:cs="Times New Roman"/>
          <w:b/>
          <w:bCs/>
          <w:kern w:val="36"/>
          <w:sz w:val="18"/>
          <w:szCs w:val="18"/>
          <w:lang w:eastAsia="es-CO"/>
        </w:rPr>
        <w:t>-DV</w:t>
      </w:r>
      <w:r w:rsidRPr="00147C45">
        <w:rPr>
          <w:rFonts w:eastAsia="Times New Roman" w:cs="Times New Roman"/>
          <w:b/>
          <w:bCs/>
          <w:kern w:val="36"/>
          <w:sz w:val="18"/>
          <w:szCs w:val="18"/>
          <w:lang w:eastAsia="es-CO"/>
        </w:rPr>
        <w:t>, Dengue en Brasil</w:t>
      </w:r>
    </w:p>
    <w:p w14:paraId="1CEEE692" w14:textId="77777777" w:rsidR="00073DA9" w:rsidRDefault="00073DA9" w:rsidP="00073DA9">
      <w:pPr>
        <w:shd w:val="clear" w:color="auto" w:fill="FFFFFF"/>
        <w:textAlignment w:val="baseline"/>
        <w:rPr>
          <w:rFonts w:eastAsia="Times New Roman" w:cs="Times New Roman"/>
          <w:szCs w:val="20"/>
          <w:lang w:eastAsia="es-CO"/>
        </w:rPr>
      </w:pPr>
    </w:p>
    <w:p w14:paraId="14103F84" w14:textId="77777777" w:rsidR="00073DA9" w:rsidRDefault="00073DA9" w:rsidP="00073DA9">
      <w:pPr>
        <w:shd w:val="clear" w:color="auto" w:fill="FFFFFF"/>
        <w:textAlignment w:val="baseline"/>
        <w:rPr>
          <w:rFonts w:eastAsia="Times New Roman" w:cs="Times New Roman"/>
          <w:szCs w:val="20"/>
          <w:lang w:eastAsia="es-CO"/>
        </w:rPr>
      </w:pPr>
      <w:r w:rsidRPr="000E5228">
        <w:rPr>
          <w:rFonts w:eastAsia="Times New Roman" w:cs="Times New Roman"/>
          <w:szCs w:val="20"/>
          <w:lang w:eastAsia="es-CO"/>
        </w:rPr>
        <w:t>Esta iniciativa reúne a expertos y áreas técnicas para profundizar en el análisis de los eventos adversos y respaldar las decisiones regulatorias.</w:t>
      </w:r>
    </w:p>
    <w:p w14:paraId="4E616193" w14:textId="77777777" w:rsidR="00073DA9" w:rsidRPr="000E5228" w:rsidRDefault="00073DA9" w:rsidP="00073DA9">
      <w:pPr>
        <w:shd w:val="clear" w:color="auto" w:fill="FFFFFF"/>
        <w:textAlignment w:val="baseline"/>
        <w:rPr>
          <w:rFonts w:eastAsia="Times New Roman" w:cs="Times New Roman"/>
          <w:szCs w:val="20"/>
          <w:lang w:eastAsia="es-CO"/>
        </w:rPr>
      </w:pPr>
    </w:p>
    <w:p w14:paraId="08E92E34" w14:textId="77777777" w:rsidR="00073DA9" w:rsidRPr="000E5228" w:rsidRDefault="00073DA9" w:rsidP="00073DA9">
      <w:pPr>
        <w:shd w:val="clear" w:color="auto" w:fill="FFFFFF"/>
        <w:textAlignment w:val="baseline"/>
        <w:rPr>
          <w:rFonts w:eastAsia="Times New Roman" w:cs="Times New Roman"/>
          <w:szCs w:val="20"/>
          <w:lang w:eastAsia="es-CO"/>
        </w:rPr>
      </w:pPr>
      <w:r w:rsidRPr="000E5228">
        <w:rPr>
          <w:rFonts w:eastAsia="Times New Roman" w:cs="Times New Roman"/>
          <w:b/>
          <w:bCs/>
          <w:szCs w:val="20"/>
          <w:lang w:eastAsia="es-CO"/>
        </w:rPr>
        <w:t>Categoría:</w:t>
      </w:r>
      <w:r w:rsidRPr="000E5228">
        <w:rPr>
          <w:rFonts w:eastAsia="Times New Roman" w:cs="Times New Roman"/>
          <w:szCs w:val="20"/>
          <w:lang w:eastAsia="es-CO"/>
        </w:rPr>
        <w:t xml:space="preserve"> Vigilancia sanitaria y de salud</w:t>
      </w:r>
    </w:p>
    <w:p w14:paraId="749E46A5" w14:textId="77777777" w:rsidR="00073DA9" w:rsidRPr="000E5228" w:rsidRDefault="00073DA9" w:rsidP="00073DA9">
      <w:pPr>
        <w:pStyle w:val="NormalWeb"/>
        <w:shd w:val="clear" w:color="auto" w:fill="FFFFFF"/>
        <w:textAlignment w:val="baseline"/>
        <w:rPr>
          <w:szCs w:val="20"/>
        </w:rPr>
      </w:pPr>
    </w:p>
    <w:p w14:paraId="77092C43" w14:textId="1A553C5D" w:rsidR="00073DA9" w:rsidRDefault="00073DA9" w:rsidP="00073DA9">
      <w:pPr>
        <w:pStyle w:val="NormalWeb"/>
        <w:shd w:val="clear" w:color="auto" w:fill="FFFFFF"/>
        <w:textAlignment w:val="baseline"/>
        <w:rPr>
          <w:szCs w:val="20"/>
        </w:rPr>
      </w:pPr>
      <w:r w:rsidRPr="000E5228">
        <w:rPr>
          <w:szCs w:val="20"/>
        </w:rPr>
        <w:t>El martes 16 de junio, la Agencia Nacional de Vigilancia Sanitaria (</w:t>
      </w:r>
      <w:proofErr w:type="spellStart"/>
      <w:r w:rsidRPr="000E5228">
        <w:rPr>
          <w:szCs w:val="20"/>
        </w:rPr>
        <w:t>Anvisa</w:t>
      </w:r>
      <w:proofErr w:type="spellEnd"/>
      <w:r w:rsidRPr="000E5228">
        <w:rPr>
          <w:szCs w:val="20"/>
        </w:rPr>
        <w:t>)</w:t>
      </w:r>
      <w:r>
        <w:rPr>
          <w:szCs w:val="20"/>
        </w:rPr>
        <w:t>,</w:t>
      </w:r>
      <w:r w:rsidRPr="000E5228">
        <w:rPr>
          <w:szCs w:val="20"/>
        </w:rPr>
        <w:t xml:space="preserve"> </w:t>
      </w:r>
      <w:r w:rsidR="00C87184">
        <w:rPr>
          <w:szCs w:val="20"/>
        </w:rPr>
        <w:t>estableci</w:t>
      </w:r>
      <w:r w:rsidRPr="000E5228">
        <w:rPr>
          <w:szCs w:val="20"/>
        </w:rPr>
        <w:t xml:space="preserve">ó un Grupo de Trabajo para organizar, coordinar y apoyar la labor de un Panel de Expertos dedicado a evaluar la seguridad de la vacuna contra el dengue </w:t>
      </w:r>
      <w:proofErr w:type="spellStart"/>
      <w:r w:rsidRPr="000E5228">
        <w:rPr>
          <w:szCs w:val="20"/>
        </w:rPr>
        <w:t>Butantan</w:t>
      </w:r>
      <w:proofErr w:type="spellEnd"/>
      <w:r w:rsidRPr="000E5228">
        <w:rPr>
          <w:szCs w:val="20"/>
        </w:rPr>
        <w:t xml:space="preserve">-DV. </w:t>
      </w:r>
    </w:p>
    <w:p w14:paraId="35F3FE27" w14:textId="77777777" w:rsidR="00073DA9" w:rsidRDefault="00073DA9" w:rsidP="00073DA9">
      <w:pPr>
        <w:pStyle w:val="NormalWeb"/>
        <w:shd w:val="clear" w:color="auto" w:fill="FFFFFF"/>
        <w:textAlignment w:val="baseline"/>
        <w:rPr>
          <w:szCs w:val="20"/>
        </w:rPr>
      </w:pPr>
    </w:p>
    <w:p w14:paraId="6C69E2BA" w14:textId="075C81AB" w:rsidR="00073DA9" w:rsidRDefault="00073DA9" w:rsidP="00073DA9">
      <w:pPr>
        <w:pStyle w:val="NormalWeb"/>
        <w:shd w:val="clear" w:color="auto" w:fill="FFFFFF"/>
        <w:textAlignment w:val="baseline"/>
        <w:rPr>
          <w:szCs w:val="20"/>
        </w:rPr>
      </w:pPr>
      <w:r w:rsidRPr="000E5228">
        <w:rPr>
          <w:szCs w:val="20"/>
        </w:rPr>
        <w:t>Esta medida, formalizada mediante</w:t>
      </w:r>
      <w:r w:rsidR="002334B2">
        <w:rPr>
          <w:szCs w:val="20"/>
        </w:rPr>
        <w:t xml:space="preserve"> </w:t>
      </w:r>
      <w:hyperlink r:id="rId44" w:tgtFrame="_self" w:history="1">
        <w:r w:rsidRPr="000E5228">
          <w:rPr>
            <w:rStyle w:val="Hipervnculo"/>
            <w:color w:val="auto"/>
            <w:szCs w:val="20"/>
            <w:bdr w:val="none" w:sz="0" w:space="0" w:color="auto" w:frame="1"/>
          </w:rPr>
          <w:t>la Ordenanza 715/2026</w:t>
        </w:r>
      </w:hyperlink>
      <w:r w:rsidR="002334B2">
        <w:rPr>
          <w:szCs w:val="20"/>
        </w:rPr>
        <w:t xml:space="preserve"> </w:t>
      </w:r>
      <w:r>
        <w:rPr>
          <w:szCs w:val="20"/>
        </w:rPr>
        <w:t>[1]</w:t>
      </w:r>
      <w:r w:rsidRPr="000E5228">
        <w:rPr>
          <w:szCs w:val="20"/>
        </w:rPr>
        <w:t xml:space="preserve">, tiene como objetivo profundizar la investigación epidemiológica de los efectos adversos asociados al agente inmunizante y respaldar el análisis de su perfil riesgo-beneficio con base en </w:t>
      </w:r>
      <w:r w:rsidR="00C87184">
        <w:rPr>
          <w:szCs w:val="20"/>
        </w:rPr>
        <w:t xml:space="preserve">la </w:t>
      </w:r>
      <w:r w:rsidRPr="000E5228">
        <w:rPr>
          <w:szCs w:val="20"/>
        </w:rPr>
        <w:t>evidencia científica actualizada.</w:t>
      </w:r>
    </w:p>
    <w:p w14:paraId="352BDB21" w14:textId="77777777" w:rsidR="00073DA9" w:rsidRPr="000E5228" w:rsidRDefault="00073DA9" w:rsidP="00073DA9">
      <w:pPr>
        <w:pStyle w:val="NormalWeb"/>
        <w:shd w:val="clear" w:color="auto" w:fill="FFFFFF"/>
        <w:textAlignment w:val="baseline"/>
        <w:rPr>
          <w:szCs w:val="20"/>
        </w:rPr>
      </w:pPr>
    </w:p>
    <w:p w14:paraId="6E8247A5" w14:textId="77777777" w:rsidR="00073DA9" w:rsidRDefault="00073DA9" w:rsidP="00073DA9">
      <w:pPr>
        <w:pStyle w:val="NormalWeb"/>
        <w:shd w:val="clear" w:color="auto" w:fill="FFFFFF"/>
        <w:textAlignment w:val="baseline"/>
        <w:rPr>
          <w:szCs w:val="20"/>
        </w:rPr>
      </w:pPr>
      <w:r w:rsidRPr="000E5228">
        <w:rPr>
          <w:szCs w:val="20"/>
        </w:rPr>
        <w:t xml:space="preserve">El Grupo de Trabajo se encargará de respaldar el análisis de datos clínicos, epidemiológicos y de farmacovigilancia, así como de </w:t>
      </w:r>
      <w:r w:rsidRPr="000E5228">
        <w:rPr>
          <w:szCs w:val="20"/>
        </w:rPr>
        <w:t xml:space="preserve">estructurar técnicamente las actividades del Panel de Expertos, que tendrá un papel consultivo e incluirá a profesionales externos con reconocida experiencia. </w:t>
      </w:r>
    </w:p>
    <w:p w14:paraId="170369CC" w14:textId="77777777" w:rsidR="00073DA9" w:rsidRDefault="00073DA9" w:rsidP="00073DA9">
      <w:pPr>
        <w:pStyle w:val="NormalWeb"/>
        <w:shd w:val="clear" w:color="auto" w:fill="FFFFFF"/>
        <w:textAlignment w:val="baseline"/>
        <w:rPr>
          <w:szCs w:val="20"/>
        </w:rPr>
      </w:pPr>
    </w:p>
    <w:p w14:paraId="78FE7D77" w14:textId="77777777" w:rsidR="00073DA9" w:rsidRDefault="00073DA9" w:rsidP="00073DA9">
      <w:pPr>
        <w:pStyle w:val="NormalWeb"/>
        <w:shd w:val="clear" w:color="auto" w:fill="FFFFFF"/>
        <w:textAlignment w:val="baseline"/>
        <w:rPr>
          <w:szCs w:val="20"/>
        </w:rPr>
      </w:pPr>
      <w:r w:rsidRPr="000E5228">
        <w:rPr>
          <w:szCs w:val="20"/>
        </w:rPr>
        <w:t>Entre sus responsabilidades se encuentran la organización de debates técnicos, la consolidación de la evidencia y la preparación de aportaciones para la toma de decisiones regulatorias.</w:t>
      </w:r>
    </w:p>
    <w:p w14:paraId="56202D93" w14:textId="77777777" w:rsidR="00073DA9" w:rsidRPr="000E5228" w:rsidRDefault="00073DA9" w:rsidP="00073DA9">
      <w:pPr>
        <w:pStyle w:val="NormalWeb"/>
        <w:shd w:val="clear" w:color="auto" w:fill="FFFFFF"/>
        <w:textAlignment w:val="baseline"/>
        <w:rPr>
          <w:szCs w:val="20"/>
        </w:rPr>
      </w:pPr>
    </w:p>
    <w:p w14:paraId="2B81373F" w14:textId="77777777" w:rsidR="00073DA9" w:rsidRDefault="00073DA9" w:rsidP="00073DA9">
      <w:pPr>
        <w:shd w:val="clear" w:color="auto" w:fill="FFFFFF"/>
        <w:textAlignment w:val="baseline"/>
        <w:rPr>
          <w:rFonts w:eastAsia="Times New Roman" w:cs="Times New Roman"/>
          <w:szCs w:val="20"/>
          <w:lang w:eastAsia="es-CO"/>
        </w:rPr>
      </w:pPr>
      <w:r w:rsidRPr="000E5228">
        <w:rPr>
          <w:rFonts w:eastAsia="Times New Roman" w:cs="Times New Roman"/>
          <w:szCs w:val="20"/>
          <w:lang w:eastAsia="es-CO"/>
        </w:rPr>
        <w:t xml:space="preserve">Esta iniciativa forma parte de las acciones de </w:t>
      </w:r>
      <w:proofErr w:type="spellStart"/>
      <w:r w:rsidRPr="000E5228">
        <w:rPr>
          <w:rFonts w:eastAsia="Times New Roman" w:cs="Times New Roman"/>
          <w:szCs w:val="20"/>
          <w:lang w:eastAsia="es-CO"/>
        </w:rPr>
        <w:t>Anvisa</w:t>
      </w:r>
      <w:proofErr w:type="spellEnd"/>
      <w:r w:rsidRPr="000E5228">
        <w:rPr>
          <w:rFonts w:eastAsia="Times New Roman" w:cs="Times New Roman"/>
          <w:szCs w:val="20"/>
          <w:lang w:eastAsia="es-CO"/>
        </w:rPr>
        <w:t xml:space="preserve"> para fortalecer el rigor técnico y la transparencia en la evaluación regulatoria de las vacunas, en coordinación con el Ministerio de Salud y el Programa Nacional de Inmunización (PNI). </w:t>
      </w:r>
    </w:p>
    <w:p w14:paraId="1731335F" w14:textId="77777777" w:rsidR="00073DA9" w:rsidRDefault="00073DA9" w:rsidP="00073DA9">
      <w:pPr>
        <w:shd w:val="clear" w:color="auto" w:fill="FFFFFF"/>
        <w:textAlignment w:val="baseline"/>
        <w:rPr>
          <w:rFonts w:eastAsia="Times New Roman" w:cs="Times New Roman"/>
          <w:szCs w:val="20"/>
          <w:lang w:eastAsia="es-CO"/>
        </w:rPr>
      </w:pPr>
    </w:p>
    <w:p w14:paraId="558C81ED" w14:textId="2CCF8C9D" w:rsidR="00073DA9" w:rsidRPr="000E5228" w:rsidRDefault="00073DA9" w:rsidP="00073DA9">
      <w:pPr>
        <w:shd w:val="clear" w:color="auto" w:fill="FFFFFF"/>
        <w:textAlignment w:val="baseline"/>
        <w:rPr>
          <w:rFonts w:eastAsia="Times New Roman" w:cs="Times New Roman"/>
          <w:szCs w:val="20"/>
          <w:lang w:eastAsia="es-CO"/>
        </w:rPr>
      </w:pPr>
      <w:r w:rsidRPr="000E5228">
        <w:rPr>
          <w:rFonts w:eastAsia="Times New Roman" w:cs="Times New Roman"/>
          <w:szCs w:val="20"/>
          <w:lang w:eastAsia="es-CO"/>
        </w:rPr>
        <w:t xml:space="preserve">La Agencia subraya que el monitoreo continuo de la seguridad de las vacunas es un paso esencial para garantizar la protección de la salud pública y la confianza en las políticas </w:t>
      </w:r>
      <w:r w:rsidR="00C87184" w:rsidRPr="000E5228">
        <w:rPr>
          <w:rFonts w:eastAsia="Times New Roman" w:cs="Times New Roman"/>
          <w:szCs w:val="20"/>
          <w:lang w:eastAsia="es-CO"/>
        </w:rPr>
        <w:t>pública</w:t>
      </w:r>
      <w:r w:rsidR="00C87184">
        <w:rPr>
          <w:rFonts w:eastAsia="Times New Roman" w:cs="Times New Roman"/>
          <w:szCs w:val="20"/>
          <w:lang w:eastAsia="es-CO"/>
        </w:rPr>
        <w:t>s</w:t>
      </w:r>
      <w:r w:rsidR="00C87184" w:rsidRPr="000E5228">
        <w:rPr>
          <w:rFonts w:eastAsia="Times New Roman" w:cs="Times New Roman"/>
          <w:szCs w:val="20"/>
          <w:lang w:eastAsia="es-CO"/>
        </w:rPr>
        <w:t xml:space="preserve"> </w:t>
      </w:r>
      <w:r w:rsidRPr="000E5228">
        <w:rPr>
          <w:rFonts w:eastAsia="Times New Roman" w:cs="Times New Roman"/>
          <w:szCs w:val="20"/>
          <w:lang w:eastAsia="es-CO"/>
        </w:rPr>
        <w:t>de inmunización.</w:t>
      </w:r>
    </w:p>
    <w:p w14:paraId="0A6146B4" w14:textId="77777777" w:rsidR="00073DA9" w:rsidRDefault="00073DA9" w:rsidP="00073DA9">
      <w:pPr>
        <w:rPr>
          <w:rFonts w:cs="Times New Roman"/>
          <w:sz w:val="18"/>
          <w:szCs w:val="18"/>
        </w:rPr>
      </w:pPr>
    </w:p>
    <w:p w14:paraId="50E2268E" w14:textId="77777777" w:rsidR="00073DA9" w:rsidRPr="000E5228" w:rsidRDefault="00073DA9" w:rsidP="00073DA9">
      <w:pPr>
        <w:rPr>
          <w:rFonts w:cs="Times New Roman"/>
          <w:b/>
          <w:bCs/>
          <w:sz w:val="18"/>
          <w:szCs w:val="18"/>
        </w:rPr>
      </w:pPr>
      <w:r w:rsidRPr="000E5228">
        <w:rPr>
          <w:rFonts w:cs="Times New Roman"/>
          <w:b/>
          <w:bCs/>
          <w:sz w:val="18"/>
          <w:szCs w:val="18"/>
        </w:rPr>
        <w:t>Referencia:</w:t>
      </w:r>
    </w:p>
    <w:p w14:paraId="477DD4BE" w14:textId="5670A332" w:rsidR="00F312B7" w:rsidRPr="00057E97" w:rsidRDefault="00073DA9" w:rsidP="00C87184">
      <w:pPr>
        <w:pStyle w:val="Prrafodelista"/>
        <w:numPr>
          <w:ilvl w:val="0"/>
          <w:numId w:val="3"/>
        </w:numPr>
        <w:spacing w:line="259" w:lineRule="auto"/>
        <w:ind w:left="180" w:hanging="180"/>
        <w:rPr>
          <w:rFonts w:cs="Times New Roman"/>
          <w:sz w:val="18"/>
          <w:szCs w:val="18"/>
        </w:rPr>
      </w:pPr>
      <w:r>
        <w:rPr>
          <w:rFonts w:cs="Times New Roman"/>
          <w:sz w:val="18"/>
          <w:szCs w:val="18"/>
        </w:rPr>
        <w:t xml:space="preserve">Prensa Nacional, Gobierno de Brasil. Decreto Nro. 715 del 15 de junio de 2026. </w:t>
      </w:r>
      <w:hyperlink r:id="rId45" w:history="1">
        <w:r w:rsidRPr="00191A7C">
          <w:rPr>
            <w:rStyle w:val="Hipervnculo"/>
            <w:rFonts w:cs="Times New Roman"/>
            <w:sz w:val="18"/>
            <w:szCs w:val="18"/>
          </w:rPr>
          <w:t>https://in.gov.br/web/dou/-/portaria-n-715-de-15-de-junho-de-2026-712362697</w:t>
        </w:r>
      </w:hyperlink>
    </w:p>
    <w:p w14:paraId="77CC12C4" w14:textId="77777777" w:rsidR="00C10FFE" w:rsidRDefault="00C10FFE" w:rsidP="00F312B7">
      <w:pPr>
        <w:rPr>
          <w:b/>
          <w:bCs/>
        </w:rPr>
        <w:sectPr w:rsidR="00C10FFE" w:rsidSect="00C10FFE">
          <w:type w:val="continuous"/>
          <w:pgSz w:w="12240" w:h="15840" w:code="1"/>
          <w:pgMar w:top="720" w:right="720" w:bottom="720" w:left="720" w:header="288" w:footer="288" w:gutter="0"/>
          <w:cols w:num="2" w:space="288"/>
          <w:docGrid w:linePitch="360"/>
        </w:sectPr>
      </w:pPr>
    </w:p>
    <w:p w14:paraId="5B890221" w14:textId="48120EBC" w:rsidR="00073DA9" w:rsidRDefault="00073DA9" w:rsidP="00F312B7">
      <w:pPr>
        <w:rPr>
          <w:b/>
          <w:bCs/>
        </w:rPr>
      </w:pPr>
    </w:p>
    <w:p w14:paraId="0BA112A5" w14:textId="77777777" w:rsidR="00C87184" w:rsidRPr="00F312B7" w:rsidRDefault="00C87184" w:rsidP="00F312B7">
      <w:pPr>
        <w:rPr>
          <w:b/>
          <w:bCs/>
        </w:rPr>
      </w:pPr>
    </w:p>
    <w:p w14:paraId="448CFE79" w14:textId="723E4FD1" w:rsidR="00044510" w:rsidRPr="00F312B7" w:rsidRDefault="00073DA9" w:rsidP="00F312B7">
      <w:pPr>
        <w:rPr>
          <w:b/>
          <w:bCs/>
        </w:rPr>
      </w:pPr>
      <w:r w:rsidRPr="00057E97">
        <w:t>Colombia.</w:t>
      </w:r>
      <w:r w:rsidRPr="00F312B7">
        <w:rPr>
          <w:b/>
          <w:bCs/>
        </w:rPr>
        <w:t xml:space="preserve"> </w:t>
      </w:r>
      <w:r w:rsidR="00044510" w:rsidRPr="00F312B7">
        <w:rPr>
          <w:b/>
          <w:bCs/>
        </w:rPr>
        <w:t xml:space="preserve">Invima y </w:t>
      </w:r>
      <w:proofErr w:type="spellStart"/>
      <w:r w:rsidR="00044510" w:rsidRPr="00F312B7">
        <w:rPr>
          <w:b/>
          <w:bCs/>
        </w:rPr>
        <w:t>Anvisa</w:t>
      </w:r>
      <w:proofErr w:type="spellEnd"/>
      <w:r w:rsidR="00044510" w:rsidRPr="00F312B7">
        <w:rPr>
          <w:b/>
          <w:bCs/>
        </w:rPr>
        <w:t xml:space="preserve"> firman memorando </w:t>
      </w:r>
      <w:r w:rsidRPr="00F312B7">
        <w:rPr>
          <w:b/>
          <w:bCs/>
        </w:rPr>
        <w:t>que</w:t>
      </w:r>
      <w:r w:rsidR="00044510" w:rsidRPr="00F312B7">
        <w:rPr>
          <w:b/>
          <w:bCs/>
        </w:rPr>
        <w:t xml:space="preserve"> fortalece la cooperación regulatoria farmacéutica entre Colombia y Brasil</w:t>
      </w:r>
    </w:p>
    <w:p w14:paraId="700B48FD" w14:textId="0055B59C" w:rsidR="00044510" w:rsidRDefault="00044510" w:rsidP="00044510">
      <w:pPr>
        <w:jc w:val="center"/>
      </w:pPr>
      <w:proofErr w:type="spellStart"/>
      <w:r w:rsidRPr="00044510">
        <w:rPr>
          <w:i/>
          <w:iCs/>
        </w:rPr>
        <w:t>ConsultorSalud</w:t>
      </w:r>
      <w:proofErr w:type="spellEnd"/>
      <w:r w:rsidRPr="00044510">
        <w:rPr>
          <w:i/>
          <w:iCs/>
        </w:rPr>
        <w:t>,</w:t>
      </w:r>
      <w:r w:rsidRPr="00DF7B91">
        <w:t xml:space="preserve"> </w:t>
      </w:r>
      <w:r>
        <w:t>juni</w:t>
      </w:r>
      <w:r w:rsidRPr="00DF7B91">
        <w:t>o</w:t>
      </w:r>
      <w:r>
        <w:t xml:space="preserve"> 25</w:t>
      </w:r>
      <w:r w:rsidRPr="00DF7B91">
        <w:t xml:space="preserve"> de 2026</w:t>
      </w:r>
    </w:p>
    <w:p w14:paraId="228AC9AD" w14:textId="5A1263B2" w:rsidR="00044510" w:rsidRDefault="00B00DA4" w:rsidP="00044510">
      <w:pPr>
        <w:jc w:val="center"/>
      </w:pPr>
      <w:hyperlink r:id="rId46" w:history="1">
        <w:r w:rsidR="00044510" w:rsidRPr="00253872">
          <w:rPr>
            <w:rStyle w:val="Hipervnculo"/>
          </w:rPr>
          <w:t>https://consultorsalud.com/invima-anvisa-memorando-cooperacion-regulatoria/</w:t>
        </w:r>
      </w:hyperlink>
    </w:p>
    <w:p w14:paraId="0F7D7844" w14:textId="5B7B8206" w:rsidR="00044510" w:rsidRDefault="00044510" w:rsidP="00044510">
      <w:pPr>
        <w:jc w:val="center"/>
      </w:pPr>
    </w:p>
    <w:p w14:paraId="2CAD81D9" w14:textId="77777777" w:rsidR="00C10FFE" w:rsidRDefault="00C10FFE" w:rsidP="00D85247">
      <w:pPr>
        <w:rPr>
          <w:b/>
          <w:bCs/>
          <w:sz w:val="18"/>
          <w:szCs w:val="22"/>
        </w:rPr>
        <w:sectPr w:rsidR="00C10FFE" w:rsidSect="00F25512">
          <w:type w:val="continuous"/>
          <w:pgSz w:w="12240" w:h="15840" w:code="1"/>
          <w:pgMar w:top="720" w:right="720" w:bottom="720" w:left="720" w:header="288" w:footer="288" w:gutter="0"/>
          <w:cols w:space="288"/>
          <w:docGrid w:linePitch="360"/>
        </w:sectPr>
      </w:pPr>
    </w:p>
    <w:p w14:paraId="681B5103" w14:textId="425AB3B8" w:rsidR="00044510" w:rsidRPr="00D85247" w:rsidRDefault="00044510" w:rsidP="00D85247">
      <w:r w:rsidRPr="00044510">
        <w:rPr>
          <w:b/>
          <w:bCs/>
          <w:sz w:val="18"/>
          <w:szCs w:val="22"/>
        </w:rPr>
        <w:t>Tags:</w:t>
      </w:r>
      <w:r w:rsidR="00073504">
        <w:rPr>
          <w:b/>
          <w:bCs/>
          <w:sz w:val="18"/>
          <w:szCs w:val="22"/>
        </w:rPr>
        <w:t xml:space="preserve"> </w:t>
      </w:r>
      <w:r w:rsidR="00073504" w:rsidRPr="00073504">
        <w:rPr>
          <w:b/>
          <w:bCs/>
          <w:color w:val="000000"/>
          <w:sz w:val="18"/>
          <w:szCs w:val="18"/>
        </w:rPr>
        <w:t xml:space="preserve">Convergencia regulatoria, acuerdo entre Invima y </w:t>
      </w:r>
      <w:proofErr w:type="spellStart"/>
      <w:r w:rsidR="00073504" w:rsidRPr="00073504">
        <w:rPr>
          <w:b/>
          <w:bCs/>
          <w:color w:val="000000"/>
          <w:sz w:val="18"/>
          <w:szCs w:val="18"/>
        </w:rPr>
        <w:t>Anvisa</w:t>
      </w:r>
      <w:proofErr w:type="spellEnd"/>
      <w:r w:rsidR="00073504" w:rsidRPr="00073504">
        <w:rPr>
          <w:b/>
          <w:bCs/>
          <w:color w:val="000000"/>
          <w:sz w:val="18"/>
          <w:szCs w:val="18"/>
        </w:rPr>
        <w:t>, acuerdo regulatorio Colombia y Brasil</w:t>
      </w:r>
      <w:r w:rsidR="00073504">
        <w:rPr>
          <w:b/>
          <w:bCs/>
          <w:color w:val="000000"/>
          <w:sz w:val="18"/>
          <w:szCs w:val="18"/>
        </w:rPr>
        <w:t xml:space="preserve">, </w:t>
      </w:r>
      <w:r w:rsidR="00073504" w:rsidRPr="00073504">
        <w:rPr>
          <w:b/>
          <w:bCs/>
          <w:color w:val="000000"/>
          <w:sz w:val="18"/>
          <w:szCs w:val="18"/>
        </w:rPr>
        <w:t xml:space="preserve">autorización de productos </w:t>
      </w:r>
      <w:r w:rsidR="00073504" w:rsidRPr="00F312B7">
        <w:rPr>
          <w:b/>
          <w:bCs/>
          <w:sz w:val="18"/>
          <w:szCs w:val="22"/>
        </w:rPr>
        <w:t>farmacéuticos</w:t>
      </w:r>
      <w:r w:rsidR="003004A6" w:rsidRPr="00F312B7">
        <w:rPr>
          <w:b/>
          <w:bCs/>
          <w:sz w:val="18"/>
          <w:szCs w:val="22"/>
        </w:rPr>
        <w:t>, acceso a medicamentos seguros, acceso a fármacos, asequibilidad de medicamentos</w:t>
      </w:r>
    </w:p>
    <w:p w14:paraId="504EB59C" w14:textId="77777777" w:rsidR="00F312B7" w:rsidRDefault="00F312B7" w:rsidP="00D85247"/>
    <w:p w14:paraId="5DCE2DAF" w14:textId="3FE7BCFA" w:rsidR="00044510" w:rsidRDefault="00044510" w:rsidP="00D85247">
      <w:r w:rsidRPr="00D85247">
        <w:t xml:space="preserve">El Instituto Nacional de Vigilancia de Medicamentos y Alimentos </w:t>
      </w:r>
      <w:r w:rsidR="00F312B7">
        <w:t>(</w:t>
      </w:r>
      <w:r w:rsidRPr="00D85247">
        <w:t>Invima</w:t>
      </w:r>
      <w:r w:rsidR="00F312B7">
        <w:t>),</w:t>
      </w:r>
      <w:r w:rsidRPr="00D85247">
        <w:t xml:space="preserve"> anunció la firma de un Memorando de </w:t>
      </w:r>
      <w:r w:rsidRPr="00D85247">
        <w:t xml:space="preserve">Entendimiento con la Agencia Nacional de Vigilancia Sanitaria de Brasil </w:t>
      </w:r>
      <w:r w:rsidR="00F312B7">
        <w:t>(</w:t>
      </w:r>
      <w:proofErr w:type="spellStart"/>
      <w:r w:rsidRPr="00D85247">
        <w:t>Anvisa</w:t>
      </w:r>
      <w:proofErr w:type="spellEnd"/>
      <w:r w:rsidR="00F312B7">
        <w:t>)</w:t>
      </w:r>
      <w:r w:rsidRPr="00D85247">
        <w:t>, en un nuevo movimiento institucional orientado a fortalecer la cooperación regulatoria entre Colombia y Brasil en materia farmacéutica.</w:t>
      </w:r>
    </w:p>
    <w:p w14:paraId="5A16C4BD" w14:textId="77777777" w:rsidR="00DC1A69" w:rsidRPr="00D85247" w:rsidRDefault="00DC1A69" w:rsidP="00D85247"/>
    <w:p w14:paraId="03EC92A1" w14:textId="31522400" w:rsidR="00044510" w:rsidRDefault="00044510" w:rsidP="00D85247">
      <w:r w:rsidRPr="00D85247">
        <w:t xml:space="preserve">El acuerdo fue suscrito por el director general del Invima, Francisco Rossi, y la jefe de la Oficina de Asuntos </w:t>
      </w:r>
      <w:r w:rsidRPr="00D85247">
        <w:lastRenderedPageBreak/>
        <w:t>Internacionales, Lina Pineda, durante la Reunión de las Autoridades Regulatorias Nacionales de Referencia Regional —ARNr— realizada en Buenos Aires.</w:t>
      </w:r>
    </w:p>
    <w:p w14:paraId="373BD9FC" w14:textId="77777777" w:rsidR="00C87184" w:rsidRPr="00D85247" w:rsidRDefault="00C87184" w:rsidP="00D85247"/>
    <w:p w14:paraId="61B9F8F0" w14:textId="71FF68A7" w:rsidR="00044510" w:rsidRDefault="00044510" w:rsidP="00D85247">
      <w:r w:rsidRPr="00D85247">
        <w:t>Según el anuncio de la entidad, el memorando fortalece la cooperación regulatoria entre ambos países y facilita el uso de mecanismos de convergencia regulatoria, incluyendo la confianza en los procesos de evaluación y autorización de productos farmacéuticos considerados por cada agencia.</w:t>
      </w:r>
      <w:r w:rsidR="00C87184">
        <w:t xml:space="preserve"> </w:t>
      </w:r>
      <w:r w:rsidRPr="00D85247">
        <w:t>El Invima señaló que este tipo de instrumentos contribuye al desarrollo de sistemas regulatorios más robustos y a la integración regional.</w:t>
      </w:r>
    </w:p>
    <w:p w14:paraId="7DA19B12" w14:textId="77777777" w:rsidR="00DC1A69" w:rsidRPr="00D85247" w:rsidRDefault="00DC1A69" w:rsidP="00D85247"/>
    <w:p w14:paraId="5AA76ACA" w14:textId="77777777" w:rsidR="00044510" w:rsidRPr="00DC1A69" w:rsidRDefault="00044510" w:rsidP="00D85247">
      <w:pPr>
        <w:rPr>
          <w:b/>
          <w:bCs/>
        </w:rPr>
      </w:pPr>
      <w:r w:rsidRPr="00DC1A69">
        <w:rPr>
          <w:b/>
          <w:bCs/>
        </w:rPr>
        <w:t xml:space="preserve">Convergencia regulatoria: el eje del acuerdo entre Invima y </w:t>
      </w:r>
      <w:proofErr w:type="spellStart"/>
      <w:r w:rsidRPr="00DC1A69">
        <w:rPr>
          <w:b/>
          <w:bCs/>
        </w:rPr>
        <w:t>Anvisa</w:t>
      </w:r>
      <w:proofErr w:type="spellEnd"/>
    </w:p>
    <w:p w14:paraId="7D3FB480" w14:textId="4DFC1466" w:rsidR="00044510" w:rsidRDefault="00044510" w:rsidP="00D85247">
      <w:r w:rsidRPr="00D85247">
        <w:t xml:space="preserve">La firma del memorando con </w:t>
      </w:r>
      <w:proofErr w:type="spellStart"/>
      <w:r w:rsidRPr="00D85247">
        <w:t>Anvisa</w:t>
      </w:r>
      <w:proofErr w:type="spellEnd"/>
      <w:r w:rsidRPr="00D85247">
        <w:t xml:space="preserve"> debe leerse dentro de una agenda regional en la que las autoridades sanitarias buscan mejorar la articulación técnica, reducir fragmentaciones regulatorias y avanzar hacia esquemas de cooperación basados en confianza institucional.</w:t>
      </w:r>
    </w:p>
    <w:p w14:paraId="2B947E50" w14:textId="77777777" w:rsidR="00DC1A69" w:rsidRPr="00D85247" w:rsidRDefault="00DC1A69" w:rsidP="00D85247"/>
    <w:p w14:paraId="0FFC903C" w14:textId="77777777" w:rsidR="00044510" w:rsidRDefault="00044510" w:rsidP="00D85247">
      <w:r w:rsidRPr="00D85247">
        <w:t>En el caso de productos farmacéuticos, la convergencia regulatoria tiene especial relevancia porque involucra procesos de evaluación, autorización, vigilancia y análisis técnico que inciden directamente en la disponibilidad de medicamentos seguros, eficaces y de calidad. El anuncio no plantea una sustitución de las funciones propias de cada agencia, sino una cooperación orientada a reconocer capacidades técnicas, compartir criterios y fortalecer los sistemas regulatorios.</w:t>
      </w:r>
    </w:p>
    <w:p w14:paraId="04BA1F74" w14:textId="77777777" w:rsidR="00DC1A69" w:rsidRPr="00D85247" w:rsidRDefault="00DC1A69" w:rsidP="00D85247"/>
    <w:p w14:paraId="7AF62CA3" w14:textId="6C345F0C" w:rsidR="00044510" w:rsidRDefault="00044510" w:rsidP="00D85247">
      <w:proofErr w:type="spellStart"/>
      <w:r w:rsidRPr="00D85247">
        <w:t>Anvisa</w:t>
      </w:r>
      <w:proofErr w:type="spellEnd"/>
      <w:r w:rsidRPr="00D85247">
        <w:t xml:space="preserve"> es una de las agencias sanitarias de mayor peso en América Latina. Para Colombia, la suscripción de un memorando con Brasil refuerza una línea de trabajo que el Invima ha venido impulsando durante 2026:</w:t>
      </w:r>
      <w:r w:rsidR="008C6B81">
        <w:t xml:space="preserve"> </w:t>
      </w:r>
      <w:r w:rsidRPr="00D85247">
        <w:t>mayor cooperación internacional, confianza regulatoria y construcción de capacidades regionales.</w:t>
      </w:r>
    </w:p>
    <w:p w14:paraId="640F8034" w14:textId="77777777" w:rsidR="00DC1A69" w:rsidRPr="00D85247" w:rsidRDefault="00DC1A69" w:rsidP="00D85247"/>
    <w:p w14:paraId="7D2C02DC" w14:textId="0351FA26" w:rsidR="00044510" w:rsidRPr="00DC1A69" w:rsidRDefault="00044510" w:rsidP="00D85247">
      <w:pPr>
        <w:rPr>
          <w:b/>
          <w:bCs/>
        </w:rPr>
      </w:pPr>
      <w:r w:rsidRPr="00DC1A69">
        <w:rPr>
          <w:b/>
          <w:bCs/>
        </w:rPr>
        <w:t>El acuerdo con Brasil se suma a otros movimientos recientes del Invima</w:t>
      </w:r>
    </w:p>
    <w:p w14:paraId="1C769C19" w14:textId="77777777" w:rsidR="00044510" w:rsidRDefault="00044510" w:rsidP="00D85247">
      <w:r w:rsidRPr="00D85247">
        <w:t xml:space="preserve">El memorando con </w:t>
      </w:r>
      <w:proofErr w:type="spellStart"/>
      <w:r w:rsidRPr="00D85247">
        <w:t>Anvisa</w:t>
      </w:r>
      <w:proofErr w:type="spellEnd"/>
      <w:r w:rsidRPr="00D85247">
        <w:t xml:space="preserve"> no aparece como un hecho aislado. En mayo de 2026, el Invima firmó un Memorando de Entendimiento con la Superintendencia de Regulación Sanitaria de El Salvador, con el objetivo de promover y fortalecer las relaciones de cooperación regulatoria entre ambas entidades. Ese acuerdo fue presentado por la autoridad colombiana como una herramienta para desarrollar actividades conjuntas en materia sanitaria, facilitar el intercambio de información y avanzar en procesos de armonización y convergencia regulatoria.</w:t>
      </w:r>
    </w:p>
    <w:p w14:paraId="4D8B0AB5" w14:textId="77777777" w:rsidR="00DC1A69" w:rsidRPr="00D85247" w:rsidRDefault="00DC1A69" w:rsidP="00D85247"/>
    <w:p w14:paraId="0D4F2D66" w14:textId="0CFE1C53" w:rsidR="00044510" w:rsidRDefault="00044510" w:rsidP="00D85247">
      <w:r w:rsidRPr="00D85247">
        <w:t xml:space="preserve">Un mes antes, en abril de 2026, el Invima también suscribió un Memorando de Entendimiento con CEPI, la </w:t>
      </w:r>
      <w:proofErr w:type="spellStart"/>
      <w:r w:rsidRPr="00D85247">
        <w:t>Coalition</w:t>
      </w:r>
      <w:proofErr w:type="spellEnd"/>
      <w:r w:rsidRPr="00D85247">
        <w:t xml:space="preserve"> for </w:t>
      </w:r>
      <w:proofErr w:type="spellStart"/>
      <w:r w:rsidRPr="00D85247">
        <w:t>Epidemic</w:t>
      </w:r>
      <w:proofErr w:type="spellEnd"/>
      <w:r w:rsidRPr="00D85247">
        <w:t xml:space="preserve"> </w:t>
      </w:r>
      <w:proofErr w:type="spellStart"/>
      <w:r w:rsidRPr="00D85247">
        <w:t>Preparedness</w:t>
      </w:r>
      <w:proofErr w:type="spellEnd"/>
      <w:r w:rsidRPr="00D85247">
        <w:t xml:space="preserve"> </w:t>
      </w:r>
      <w:proofErr w:type="spellStart"/>
      <w:r w:rsidRPr="00D85247">
        <w:t>Innovations</w:t>
      </w:r>
      <w:proofErr w:type="spellEnd"/>
      <w:r w:rsidRPr="00D85247">
        <w:t>, en el marco de una agenda sobre preparación regulatoria frente a futuras emergencias sanitarias. En ese caso,</w:t>
      </w:r>
      <w:r w:rsidR="008C6B81">
        <w:t xml:space="preserve"> </w:t>
      </w:r>
      <w:r w:rsidRPr="00D85247">
        <w:t xml:space="preserve">el acuerdo </w:t>
      </w:r>
      <w:r w:rsidR="008C6B81">
        <w:t xml:space="preserve">se </w:t>
      </w:r>
      <w:r w:rsidRPr="00D85247">
        <w:t>orient</w:t>
      </w:r>
      <w:r w:rsidR="008C6B81">
        <w:t>ó</w:t>
      </w:r>
      <w:r w:rsidRPr="00D85247">
        <w:t xml:space="preserve"> a fortalecer capacidades regulatorias en vacunas, vigilancia posterior a la autorización, intercambio técnico y acceso a redes internacionales de conocimiento.</w:t>
      </w:r>
    </w:p>
    <w:p w14:paraId="070E9970" w14:textId="77777777" w:rsidR="00DC1A69" w:rsidRPr="00D85247" w:rsidRDefault="00DC1A69" w:rsidP="00D85247"/>
    <w:p w14:paraId="1A14709F" w14:textId="7761B0FA" w:rsidR="00044510" w:rsidRPr="00D85247" w:rsidRDefault="00044510" w:rsidP="00D85247">
      <w:r w:rsidRPr="00D85247">
        <w:t xml:space="preserve">Estos antecedentes muestran que el Invima está utilizando los memorandos de entendimiento como instrumentos para ordenar una agenda de cooperación técnica. Aunque cada acuerdo tiene un alcance distinto, todos comparten un mismo punto de </w:t>
      </w:r>
      <w:r w:rsidRPr="00D85247">
        <w:t>conexión: fortalecer la capacidad regulatoria del país y articular al Instituto con</w:t>
      </w:r>
      <w:r w:rsidR="003004A6" w:rsidRPr="00D85247">
        <w:t xml:space="preserve"> agencias, organismos y redes internacionales. </w:t>
      </w:r>
    </w:p>
    <w:p w14:paraId="697B1967" w14:textId="77777777" w:rsidR="00DC1A69" w:rsidRDefault="00DC1A69" w:rsidP="00D85247"/>
    <w:p w14:paraId="14AA0481" w14:textId="16AF9886" w:rsidR="00044510" w:rsidRPr="00DC1A69" w:rsidRDefault="00044510" w:rsidP="00D85247">
      <w:pPr>
        <w:rPr>
          <w:b/>
          <w:bCs/>
        </w:rPr>
      </w:pPr>
      <w:r w:rsidRPr="00DC1A69">
        <w:rPr>
          <w:b/>
          <w:bCs/>
        </w:rPr>
        <w:t>De la cooperación internacional al control del gasto farmacéutico</w:t>
      </w:r>
    </w:p>
    <w:p w14:paraId="597B948A" w14:textId="77777777" w:rsidR="00044510" w:rsidRPr="00D85247" w:rsidRDefault="00044510" w:rsidP="00D85247">
      <w:r w:rsidRPr="00D85247">
        <w:t>La agenda de cooperación externa también se conecta con otro movimiento reciente dentro del sistema colombiano: el acuerdo firmado entre la ADRES y el Invima para analizar información sobre prescripción, suministro y gasto en medicamentos.</w:t>
      </w:r>
    </w:p>
    <w:p w14:paraId="74FE5D81" w14:textId="77777777" w:rsidR="00044510" w:rsidRPr="00D85247" w:rsidRDefault="00044510" w:rsidP="00D85247">
      <w:r w:rsidRPr="00D85247">
        <w:t>Ese convenio, anunciado el 17 de junio de 2026, busca establecer un mecanismo de cooperación técnica para intercambiar información sobre tecnologías en salud y medicamentos financiados con recursos administrados por la ADRES. El objetivo es contrastar registros sanitarios, autorizaciones regulatorias, condiciones de uso, datos de MIPRES, prescripción, suministro y gasto.</w:t>
      </w:r>
    </w:p>
    <w:p w14:paraId="155C72DF" w14:textId="77777777" w:rsidR="00DC1A69" w:rsidRDefault="00DC1A69" w:rsidP="00D85247"/>
    <w:p w14:paraId="5D5602DD" w14:textId="7A73ECEC" w:rsidR="00044510" w:rsidRPr="00D85247" w:rsidRDefault="00044510" w:rsidP="00D85247">
      <w:r w:rsidRPr="00D85247">
        <w:t xml:space="preserve">La relación entre ambos temas es relevante para el sector salud. Mientras el memorando con </w:t>
      </w:r>
      <w:proofErr w:type="spellStart"/>
      <w:r w:rsidRPr="00D85247">
        <w:t>Anvisa</w:t>
      </w:r>
      <w:proofErr w:type="spellEnd"/>
      <w:r w:rsidRPr="00D85247">
        <w:t xml:space="preserve"> fortalece la cooperación regulatoria internacional y la confianza entre agencias, el acuerdo ADRES–Invima apunta a mejorar el uso de la información sanitaria dentro del país.</w:t>
      </w:r>
      <w:r w:rsidR="002334B2">
        <w:t xml:space="preserve"> </w:t>
      </w:r>
      <w:r w:rsidRPr="00D85247">
        <w:t>En conjunto, ambas líneas muestran una misma tendencia institucional: hacer que los datos regulatorios no solo sirvan para autorizar productos, sino también para apoyar decisiones de gestión, auditoría, financiación y uso adecuado de medicamentos.</w:t>
      </w:r>
    </w:p>
    <w:p w14:paraId="448CC47B" w14:textId="77777777" w:rsidR="00DC1A69" w:rsidRDefault="00DC1A69" w:rsidP="00D85247"/>
    <w:p w14:paraId="37A56B62" w14:textId="7752F4F8" w:rsidR="00044510" w:rsidRDefault="00044510" w:rsidP="00D85247">
      <w:r w:rsidRPr="00D85247">
        <w:t>Para E</w:t>
      </w:r>
      <w:r w:rsidR="003004A6" w:rsidRPr="00D85247">
        <w:t xml:space="preserve">ntidades </w:t>
      </w:r>
      <w:r w:rsidRPr="00D85247">
        <w:t>P</w:t>
      </w:r>
      <w:r w:rsidR="003004A6" w:rsidRPr="00D85247">
        <w:t xml:space="preserve">romotoras de </w:t>
      </w:r>
      <w:proofErr w:type="spellStart"/>
      <w:r w:rsidRPr="00D85247">
        <w:t>S</w:t>
      </w:r>
      <w:r w:rsidR="003004A6" w:rsidRPr="00D85247">
        <w:t>alus</w:t>
      </w:r>
      <w:proofErr w:type="spellEnd"/>
      <w:r w:rsidR="003004A6" w:rsidRPr="00D85247">
        <w:t xml:space="preserve"> (EPS)</w:t>
      </w:r>
      <w:r w:rsidRPr="00D85247">
        <w:t>, I</w:t>
      </w:r>
      <w:r w:rsidR="003004A6" w:rsidRPr="00D85247">
        <w:t xml:space="preserve">nstituciones </w:t>
      </w:r>
      <w:r w:rsidRPr="00D85247">
        <w:t>P</w:t>
      </w:r>
      <w:r w:rsidR="003004A6" w:rsidRPr="00D85247">
        <w:t xml:space="preserve">restadoras de </w:t>
      </w:r>
      <w:r w:rsidRPr="00D85247">
        <w:t>S</w:t>
      </w:r>
      <w:r w:rsidR="003004A6" w:rsidRPr="00D85247">
        <w:t>ervicios de Salud (IPS)</w:t>
      </w:r>
      <w:r w:rsidRPr="00D85247">
        <w:t>, gestores farmacéuticos, operadores logísticos, industria y entidades territoriales, este enfoque puede ser estratégico. La autorización sanitaria, la prescripción, el suministro y el reconocimiento del gasto no deberían operar como dimensiones desconectadas. Cuando la información regulatoria se integra con los datos de uso y financiación, el sistema gana capacidad para identificar inconsistencias, ordenar decisiones y mejorar la trazabilidad del medicamento.</w:t>
      </w:r>
    </w:p>
    <w:p w14:paraId="2DCB9D01" w14:textId="77777777" w:rsidR="00DC1A69" w:rsidRPr="00D85247" w:rsidRDefault="00DC1A69" w:rsidP="00D85247"/>
    <w:p w14:paraId="187B8EEA" w14:textId="239F7703" w:rsidR="00044510" w:rsidRPr="00DC1A69" w:rsidRDefault="00044510" w:rsidP="00D85247">
      <w:pPr>
        <w:rPr>
          <w:b/>
          <w:bCs/>
        </w:rPr>
      </w:pPr>
      <w:r w:rsidRPr="00DC1A69">
        <w:rPr>
          <w:b/>
          <w:bCs/>
        </w:rPr>
        <w:t>Antecedentes de otros memorandos internacionales</w:t>
      </w:r>
    </w:p>
    <w:p w14:paraId="57266054" w14:textId="7821713D" w:rsidR="00044510" w:rsidRDefault="00044510" w:rsidP="00D85247">
      <w:r w:rsidRPr="00D85247">
        <w:t>El antecedente más claro y reciente con otro país es El Salvador. El Invima informó que el 5 de mayo de 2026 firmó un Memorando de Entendimiento con la Superintendencia de Regulación Sanitaria de El Salvador, orientado a cooperación regulatoria, intercambio de información, armonización y convergencia regulatoria.</w:t>
      </w:r>
      <w:r w:rsidR="002334B2">
        <w:t xml:space="preserve"> </w:t>
      </w:r>
      <w:r w:rsidRPr="00D85247">
        <w:t xml:space="preserve">Ese antecedente encaja muy bien con lo que sucede actualmente con </w:t>
      </w:r>
      <w:proofErr w:type="spellStart"/>
      <w:r w:rsidRPr="00D85247">
        <w:t>Anvisa</w:t>
      </w:r>
      <w:proofErr w:type="spellEnd"/>
      <w:r w:rsidRPr="00D85247">
        <w:t xml:space="preserve"> porque ambos hablan de confianza entre agencias, convergencia regulatoria e integración regional.</w:t>
      </w:r>
    </w:p>
    <w:p w14:paraId="2C467F7C" w14:textId="77777777" w:rsidR="00DC1A69" w:rsidRPr="00D85247" w:rsidRDefault="00DC1A69" w:rsidP="00D85247"/>
    <w:p w14:paraId="764A4EA1" w14:textId="77777777" w:rsidR="00044510" w:rsidRDefault="00044510" w:rsidP="00D85247">
      <w:r w:rsidRPr="00D85247">
        <w:t>Así mismo, dentro de la agenda internacional reciente también aparece India. En febrero de 2026, el Invima participó en el Encuentro Empresarial Colombia–India y Rueda de Negocios del sector farmacéutico, un espacio que reunió a más de 80 empresarios de la industria farmacéutica india y proyectó más de 1.200 reuniones bilaterales.</w:t>
      </w:r>
    </w:p>
    <w:p w14:paraId="05DB9DF4" w14:textId="77777777" w:rsidR="00DC1A69" w:rsidRPr="00D85247" w:rsidRDefault="00DC1A69" w:rsidP="00D85247"/>
    <w:p w14:paraId="1BB767B5" w14:textId="77777777" w:rsidR="00044510" w:rsidRDefault="00044510" w:rsidP="00D85247">
      <w:r w:rsidRPr="00D85247">
        <w:t xml:space="preserve">Ese encuentro fue presentado por el Invima como parte de una agenda de confianza regulatoria, acceso, innovación y seguridad sanitaria. Esto significó un acercamiento regulatorio y empresarial con ese país, no un memorando bilateral equivalente al anunciado con </w:t>
      </w:r>
      <w:proofErr w:type="spellStart"/>
      <w:r w:rsidRPr="00D85247">
        <w:t>Anvisa</w:t>
      </w:r>
      <w:proofErr w:type="spellEnd"/>
      <w:r w:rsidRPr="00D85247">
        <w:t>.</w:t>
      </w:r>
    </w:p>
    <w:p w14:paraId="6A9E5697" w14:textId="77777777" w:rsidR="00DC1A69" w:rsidRPr="00D85247" w:rsidRDefault="00DC1A69" w:rsidP="00D85247"/>
    <w:p w14:paraId="07317600" w14:textId="0BB3FF67" w:rsidR="00044510" w:rsidRDefault="00044510" w:rsidP="00D85247">
      <w:r w:rsidRPr="00D85247">
        <w:lastRenderedPageBreak/>
        <w:t>Sin embargo, el caso de India es útil para entender el contexto. La cooperación regulatoria no ocurre únicamente mediante memorandos formales. También puede avanzar a través de ruedas de negocios, intercambios técnicos, diálogo con autoridades, participación de cámaras binacionales y relacionamiento con actores de la industria farmacéutica global. Para Colombia,</w:t>
      </w:r>
      <w:r w:rsidR="002334B2">
        <w:t xml:space="preserve"> </w:t>
      </w:r>
      <w:r w:rsidRPr="00D85247">
        <w:t>este frente resulta relevante por el peso de India en el mercado farmacéutico internacional y por el interés del país en ampliar el acceso a medicamentos seguros, eficaces y asequibles.</w:t>
      </w:r>
    </w:p>
    <w:p w14:paraId="54112C9D" w14:textId="77777777" w:rsidR="00DC1A69" w:rsidRPr="00D85247" w:rsidRDefault="00DC1A69" w:rsidP="00D85247"/>
    <w:p w14:paraId="67909095" w14:textId="2DED6466" w:rsidR="00044510" w:rsidRPr="00DC1A69" w:rsidRDefault="00044510" w:rsidP="00D85247">
      <w:pPr>
        <w:rPr>
          <w:b/>
          <w:bCs/>
        </w:rPr>
      </w:pPr>
      <w:r w:rsidRPr="00DC1A69">
        <w:rPr>
          <w:b/>
          <w:bCs/>
        </w:rPr>
        <w:t>Una señal para la gestión farmacéutica en Colombia</w:t>
      </w:r>
    </w:p>
    <w:p w14:paraId="30079665" w14:textId="77777777" w:rsidR="00044510" w:rsidRDefault="00044510" w:rsidP="00D85247">
      <w:r w:rsidRPr="00D85247">
        <w:t xml:space="preserve">La firma del memorando entre Invima y </w:t>
      </w:r>
      <w:proofErr w:type="spellStart"/>
      <w:r w:rsidRPr="00D85247">
        <w:t>Anvisa</w:t>
      </w:r>
      <w:proofErr w:type="spellEnd"/>
      <w:r w:rsidRPr="00D85247">
        <w:t xml:space="preserve"> deja una señal importante para el sector salud colombiano: la regulación farmacéutica está entrando en una fase de mayor articulación internacional y de uso más estratégico de la información.</w:t>
      </w:r>
    </w:p>
    <w:p w14:paraId="64BE9F74" w14:textId="77777777" w:rsidR="00DC1A69" w:rsidRPr="00D85247" w:rsidRDefault="00DC1A69" w:rsidP="00D85247"/>
    <w:p w14:paraId="2E217A9B" w14:textId="21C0B197" w:rsidR="00044510" w:rsidRDefault="00044510" w:rsidP="00D85247">
      <w:r w:rsidRPr="00D85247">
        <w:t>En el plano regional, el acuerdo puede facilitar mecanismos de convergencia y confianza entre autoridades sanitarias. En el plano nacional, se relaciona con una agenda más amplia en la que el Invima busca fortalecer su papel como autoridad sanitaria, no solo desde la aprobación de registros</w:t>
      </w:r>
      <w:r w:rsidR="003004A6" w:rsidRPr="00D85247">
        <w:t>, sino también desde la cooperación técnica, la vigilancia, la interoperabilidad de datos y el análisis del uso de medicamentos.</w:t>
      </w:r>
    </w:p>
    <w:p w14:paraId="54B6A1F6" w14:textId="77777777" w:rsidR="00DC1A69" w:rsidRPr="00D85247" w:rsidRDefault="00DC1A69" w:rsidP="00D85247"/>
    <w:p w14:paraId="556964F3" w14:textId="7662CFDA" w:rsidR="00044510" w:rsidRDefault="00044510" w:rsidP="00D85247">
      <w:r w:rsidRPr="00D85247">
        <w:t>El anuncio del memorando no incorpora cronogramas, procedimientos operativos específicos ni una lista de productos farmacéuticos cobijados por el acuerdo. Por ahora, su valor principal está en la señal institucional:</w:t>
      </w:r>
      <w:r w:rsidR="002334B2">
        <w:t xml:space="preserve"> </w:t>
      </w:r>
      <w:r w:rsidRPr="00D85247">
        <w:t>Colombia y Brasil avanzan en cooperación regulatoria, confianza entre agencias e integración regional.</w:t>
      </w:r>
    </w:p>
    <w:p w14:paraId="7A251744" w14:textId="77777777" w:rsidR="00DC1A69" w:rsidRPr="00D85247" w:rsidRDefault="00DC1A69" w:rsidP="00D85247"/>
    <w:p w14:paraId="4752938C" w14:textId="77777777" w:rsidR="00044510" w:rsidRDefault="00044510" w:rsidP="00D85247">
      <w:r w:rsidRPr="00D85247">
        <w:t>Para el sistema de salud, el punto de fondo será observar cómo estos instrumentos se traducen en capacidades concretas: mejores tiempos de evaluación, mayor calidad técnica en los procesos, intercambio de información, fortalecimiento de la vigilancia y una gestión farmacéutica más conectada con las necesidades reales del sistema.</w:t>
      </w:r>
    </w:p>
    <w:p w14:paraId="384BEA24" w14:textId="77777777" w:rsidR="00DC1A69" w:rsidRPr="00D85247" w:rsidRDefault="00DC1A69" w:rsidP="00D85247"/>
    <w:p w14:paraId="1CF9C19D" w14:textId="77777777" w:rsidR="00C10FFE" w:rsidRDefault="00044510" w:rsidP="00D85247">
      <w:pPr>
        <w:sectPr w:rsidR="00C10FFE" w:rsidSect="00C10FFE">
          <w:type w:val="continuous"/>
          <w:pgSz w:w="12240" w:h="15840" w:code="1"/>
          <w:pgMar w:top="720" w:right="720" w:bottom="720" w:left="720" w:header="288" w:footer="288" w:gutter="0"/>
          <w:cols w:num="2" w:space="288"/>
          <w:docGrid w:linePitch="360"/>
        </w:sectPr>
      </w:pPr>
      <w:r w:rsidRPr="00D85247">
        <w:t xml:space="preserve">La firma con </w:t>
      </w:r>
      <w:proofErr w:type="spellStart"/>
      <w:r w:rsidRPr="00D85247">
        <w:t>Anvisa</w:t>
      </w:r>
      <w:proofErr w:type="spellEnd"/>
      <w:r w:rsidRPr="00D85247">
        <w:t>, sumada a los acuerdos recientes con El Salvador, CEPI y ADRES, consolida una narrativa institucional clara: el Invima está buscando pasar de una regulación centrada exclusivamente en trámites a una regulación más articulada, cooperativa y basada en información.</w:t>
      </w:r>
      <w:r w:rsidR="002334B2">
        <w:t xml:space="preserve"> </w:t>
      </w:r>
      <w:r w:rsidRPr="00D85247">
        <w:t>Esa transición será clave para la sostenibilidad del sistema, la seguridad sanitaria y el acceso oportuno a medicamentos en Colombia.</w:t>
      </w:r>
    </w:p>
    <w:p w14:paraId="24A3225F" w14:textId="216A6304" w:rsidR="00FE22D8" w:rsidRDefault="00FE22D8" w:rsidP="00D85247"/>
    <w:p w14:paraId="09655564" w14:textId="77777777" w:rsidR="00FE22D8" w:rsidRPr="00D85247" w:rsidRDefault="00FE22D8" w:rsidP="00D85247"/>
    <w:p w14:paraId="59B280EE" w14:textId="3158E1F7" w:rsidR="005A4DC0" w:rsidRPr="005A4DC0" w:rsidRDefault="005A4DC0" w:rsidP="005C7FDC">
      <w:pPr>
        <w:jc w:val="center"/>
        <w:rPr>
          <w:b/>
          <w:bCs/>
        </w:rPr>
      </w:pPr>
      <w:r>
        <w:t xml:space="preserve">Colombia. </w:t>
      </w:r>
      <w:r w:rsidR="00A76988">
        <w:rPr>
          <w:b/>
          <w:bCs/>
        </w:rPr>
        <w:t xml:space="preserve">Beneficios y precauciones del </w:t>
      </w:r>
      <w:proofErr w:type="spellStart"/>
      <w:r w:rsidR="00A76988" w:rsidRPr="006C467D">
        <w:rPr>
          <w:b/>
          <w:bCs/>
          <w:i/>
          <w:iCs/>
        </w:rPr>
        <w:t>Reliance</w:t>
      </w:r>
      <w:proofErr w:type="spellEnd"/>
      <w:r w:rsidR="00A76988" w:rsidRPr="006C467D">
        <w:rPr>
          <w:b/>
          <w:bCs/>
          <w:i/>
          <w:iCs/>
        </w:rPr>
        <w:t xml:space="preserve"> regulatorio</w:t>
      </w:r>
      <w:r w:rsidR="00A76988">
        <w:rPr>
          <w:b/>
          <w:bCs/>
        </w:rPr>
        <w:t xml:space="preserve"> </w:t>
      </w:r>
      <w:r w:rsidR="005E5112">
        <w:rPr>
          <w:b/>
          <w:bCs/>
        </w:rPr>
        <w:t>para</w:t>
      </w:r>
      <w:r w:rsidR="00A76988">
        <w:rPr>
          <w:b/>
          <w:bCs/>
        </w:rPr>
        <w:t xml:space="preserve"> Colombia</w:t>
      </w:r>
    </w:p>
    <w:p w14:paraId="4657CFFB" w14:textId="37AD478C" w:rsidR="005C7FDC" w:rsidRDefault="00861F78" w:rsidP="005A4DC0">
      <w:pPr>
        <w:jc w:val="center"/>
      </w:pPr>
      <w:r>
        <w:t>Salud y Fármacos</w:t>
      </w:r>
    </w:p>
    <w:p w14:paraId="17677E77" w14:textId="786B4AA8" w:rsidR="00861F78" w:rsidRDefault="00861F78" w:rsidP="005A4DC0">
      <w:pPr>
        <w:jc w:val="center"/>
      </w:pPr>
      <w:r w:rsidRPr="00CA0441">
        <w:rPr>
          <w:rFonts w:cs="Times New Roman"/>
          <w:i/>
          <w:iCs/>
          <w:szCs w:val="20"/>
          <w:lang w:val="es-ES"/>
        </w:rPr>
        <w:t xml:space="preserve">Boletín Fármacos: </w:t>
      </w:r>
      <w:r>
        <w:rPr>
          <w:rFonts w:eastAsia="Times New Roman" w:cs="Times New Roman"/>
          <w:bCs/>
          <w:i/>
          <w:iCs/>
          <w:color w:val="000000" w:themeColor="text1"/>
          <w:szCs w:val="16"/>
          <w:lang w:val="es-ES"/>
        </w:rPr>
        <w:t>Age</w:t>
      </w:r>
      <w:r w:rsidRPr="00A21F37">
        <w:rPr>
          <w:rFonts w:eastAsia="Times New Roman" w:cs="Times New Roman"/>
          <w:bCs/>
          <w:i/>
          <w:iCs/>
          <w:color w:val="000000" w:themeColor="text1"/>
          <w:szCs w:val="16"/>
          <w:lang w:val="es-ES"/>
        </w:rPr>
        <w:t>ncia</w:t>
      </w:r>
      <w:r>
        <w:rPr>
          <w:rFonts w:eastAsia="Times New Roman" w:cs="Times New Roman"/>
          <w:bCs/>
          <w:i/>
          <w:iCs/>
          <w:color w:val="000000" w:themeColor="text1"/>
          <w:szCs w:val="16"/>
          <w:lang w:val="es-ES"/>
        </w:rPr>
        <w:t>s Reguladoras</w:t>
      </w:r>
      <w:r w:rsidRPr="00A21F37">
        <w:rPr>
          <w:rFonts w:eastAsia="Times New Roman" w:cs="Times New Roman"/>
          <w:bCs/>
          <w:i/>
          <w:iCs/>
          <w:color w:val="000000" w:themeColor="text1"/>
          <w:szCs w:val="16"/>
          <w:lang w:val="es-ES"/>
        </w:rPr>
        <w:t xml:space="preserve"> 2026; 29(</w:t>
      </w:r>
      <w:r>
        <w:rPr>
          <w:rFonts w:eastAsia="Times New Roman" w:cs="Times New Roman"/>
          <w:bCs/>
          <w:i/>
          <w:iCs/>
          <w:color w:val="000000" w:themeColor="text1"/>
          <w:szCs w:val="16"/>
          <w:lang w:val="es-ES"/>
        </w:rPr>
        <w:t>3</w:t>
      </w:r>
      <w:r w:rsidRPr="00A21F37">
        <w:rPr>
          <w:rFonts w:eastAsia="Times New Roman" w:cs="Times New Roman"/>
          <w:bCs/>
          <w:i/>
          <w:iCs/>
          <w:color w:val="000000" w:themeColor="text1"/>
          <w:szCs w:val="16"/>
          <w:lang w:val="es-ES"/>
        </w:rPr>
        <w:t>)</w:t>
      </w:r>
    </w:p>
    <w:p w14:paraId="788F8855" w14:textId="77777777" w:rsidR="005C7FDC" w:rsidRDefault="005C7FDC" w:rsidP="005A4DC0">
      <w:pPr>
        <w:jc w:val="center"/>
      </w:pPr>
    </w:p>
    <w:p w14:paraId="2C25F944" w14:textId="77777777" w:rsidR="00FE22D8" w:rsidRDefault="00FE22D8" w:rsidP="00A37EF9">
      <w:pPr>
        <w:sectPr w:rsidR="00FE22D8" w:rsidSect="00F25512">
          <w:type w:val="continuous"/>
          <w:pgSz w:w="12240" w:h="15840" w:code="1"/>
          <w:pgMar w:top="720" w:right="720" w:bottom="720" w:left="720" w:header="288" w:footer="288" w:gutter="0"/>
          <w:cols w:space="288"/>
          <w:docGrid w:linePitch="360"/>
        </w:sectPr>
      </w:pPr>
    </w:p>
    <w:p w14:paraId="5337A20D" w14:textId="0F899501" w:rsidR="00A76988" w:rsidRDefault="00A76988" w:rsidP="00A37EF9">
      <w:r>
        <w:t>Caicedo</w:t>
      </w:r>
      <w:r w:rsidR="000E5090">
        <w:t xml:space="preserve">, columnista de salud </w:t>
      </w:r>
      <w:r>
        <w:t>para</w:t>
      </w:r>
      <w:r w:rsidR="001242B7">
        <w:t xml:space="preserve"> el medio de comunicación colombiano</w:t>
      </w:r>
      <w:r>
        <w:t xml:space="preserve"> </w:t>
      </w:r>
      <w:r w:rsidRPr="001242B7">
        <w:rPr>
          <w:i/>
          <w:iCs/>
        </w:rPr>
        <w:t>El Tiempo</w:t>
      </w:r>
      <w:r w:rsidR="000E5090">
        <w:rPr>
          <w:i/>
          <w:iCs/>
        </w:rPr>
        <w:t xml:space="preserve">, </w:t>
      </w:r>
      <w:r w:rsidR="000E5090">
        <w:t>escribió un artículo</w:t>
      </w:r>
      <w:r w:rsidR="00267512">
        <w:t xml:space="preserve"> [1] </w:t>
      </w:r>
      <w:r>
        <w:t xml:space="preserve">sobre </w:t>
      </w:r>
      <w:r w:rsidR="00267512">
        <w:t>un informe técnico divulgado recientemente que</w:t>
      </w:r>
      <w:r w:rsidR="001242B7">
        <w:t xml:space="preserve"> estima los beneficios</w:t>
      </w:r>
      <w:r w:rsidR="00267512" w:rsidRPr="00267512">
        <w:t xml:space="preserve"> </w:t>
      </w:r>
      <w:r w:rsidR="00267512">
        <w:t xml:space="preserve">de adoptar el mecanismo de </w:t>
      </w:r>
      <w:proofErr w:type="spellStart"/>
      <w:r w:rsidR="00267512" w:rsidRPr="006C467D">
        <w:rPr>
          <w:i/>
          <w:iCs/>
        </w:rPr>
        <w:t>reliance</w:t>
      </w:r>
      <w:proofErr w:type="spellEnd"/>
      <w:r w:rsidR="00267512" w:rsidRPr="006C467D">
        <w:rPr>
          <w:i/>
          <w:iCs/>
        </w:rPr>
        <w:t xml:space="preserve"> regulatorio</w:t>
      </w:r>
      <w:r w:rsidR="001242B7">
        <w:t xml:space="preserve"> para Colombia y </w:t>
      </w:r>
      <w:r w:rsidR="000E5090">
        <w:t xml:space="preserve">para </w:t>
      </w:r>
      <w:r w:rsidR="001242B7">
        <w:t xml:space="preserve">el </w:t>
      </w:r>
      <w:r w:rsidR="00267512" w:rsidRPr="005C7FDC">
        <w:t>Instituto Nacional de Vigilancia de Medicamentos y Alimentos</w:t>
      </w:r>
      <w:r w:rsidR="00267512">
        <w:t xml:space="preserve"> (</w:t>
      </w:r>
      <w:r w:rsidR="001242B7">
        <w:t>INVIMA</w:t>
      </w:r>
      <w:r w:rsidR="00267512">
        <w:t>)</w:t>
      </w:r>
      <w:r w:rsidR="001242B7">
        <w:t>.</w:t>
      </w:r>
      <w:r w:rsidR="006C467D">
        <w:t xml:space="preserve"> A continuación, resumimos la información más destacada.</w:t>
      </w:r>
    </w:p>
    <w:p w14:paraId="6DB2C936" w14:textId="77777777" w:rsidR="00A76988" w:rsidRDefault="00A76988" w:rsidP="00A37EF9"/>
    <w:p w14:paraId="03AEACE9" w14:textId="376A33FE" w:rsidR="00A37EF9" w:rsidRPr="00A37EF9" w:rsidRDefault="00B66F8D" w:rsidP="00A37EF9">
      <w:r w:rsidRPr="00B66F8D">
        <w:t xml:space="preserve">Un nuevo </w:t>
      </w:r>
      <w:r w:rsidR="00267512">
        <w:t>informe</w:t>
      </w:r>
      <w:r w:rsidRPr="00B66F8D">
        <w:t xml:space="preserve"> técnico </w:t>
      </w:r>
      <w:r w:rsidR="00727440">
        <w:t>realiz</w:t>
      </w:r>
      <w:r w:rsidR="00267512">
        <w:t>a</w:t>
      </w:r>
      <w:r w:rsidR="00727440">
        <w:t>do por</w:t>
      </w:r>
      <w:r w:rsidRPr="00B66F8D">
        <w:t xml:space="preserve"> </w:t>
      </w:r>
      <w:r w:rsidRPr="00182AB5">
        <w:rPr>
          <w:i/>
          <w:iCs/>
        </w:rPr>
        <w:t>UDELÁ Soluciones Regulatorias</w:t>
      </w:r>
      <w:r w:rsidRPr="00B66F8D">
        <w:t xml:space="preserve"> </w:t>
      </w:r>
      <w:r w:rsidR="00510C11">
        <w:t xml:space="preserve">que </w:t>
      </w:r>
      <w:r w:rsidRPr="00B66F8D">
        <w:t xml:space="preserve">analizó el potencial de </w:t>
      </w:r>
      <w:r w:rsidR="00510C11">
        <w:t>implementar el mecanismo de</w:t>
      </w:r>
      <w:r w:rsidRPr="00B66F8D">
        <w:t xml:space="preserve"> confianza regulatoria</w:t>
      </w:r>
      <w:r w:rsidR="00510C11">
        <w:t xml:space="preserve"> conocido como</w:t>
      </w:r>
      <w:r w:rsidRPr="00B66F8D">
        <w:t xml:space="preserve"> </w:t>
      </w:r>
      <w:proofErr w:type="spellStart"/>
      <w:r w:rsidR="00F71CD4">
        <w:rPr>
          <w:i/>
          <w:iCs/>
        </w:rPr>
        <w:t>R</w:t>
      </w:r>
      <w:r w:rsidRPr="00B66F8D">
        <w:rPr>
          <w:i/>
          <w:iCs/>
        </w:rPr>
        <w:t>eliance</w:t>
      </w:r>
      <w:proofErr w:type="spellEnd"/>
      <w:r>
        <w:t xml:space="preserve"> </w:t>
      </w:r>
      <w:r w:rsidRPr="00B66F8D">
        <w:rPr>
          <w:i/>
          <w:iCs/>
        </w:rPr>
        <w:t>regulatorio</w:t>
      </w:r>
      <w:r w:rsidR="00510C11">
        <w:t>,</w:t>
      </w:r>
      <w:r>
        <w:t xml:space="preserve"> estimó que este mecanismo </w:t>
      </w:r>
      <w:r w:rsidR="00A37EF9">
        <w:t xml:space="preserve">podría </w:t>
      </w:r>
      <w:r w:rsidRPr="005C7FDC">
        <w:t xml:space="preserve">reducir los costos asociados a la evaluación de </w:t>
      </w:r>
      <w:r w:rsidR="00A37EF9">
        <w:t xml:space="preserve">nuevos </w:t>
      </w:r>
      <w:r w:rsidRPr="005C7FDC">
        <w:t xml:space="preserve">medicamentos en Colombia </w:t>
      </w:r>
      <w:r w:rsidR="00267512" w:rsidRPr="005C7FDC">
        <w:t>hasta en un 90%</w:t>
      </w:r>
      <w:r w:rsidR="00267512">
        <w:t>,</w:t>
      </w:r>
      <w:r w:rsidR="00267512" w:rsidRPr="005C7FDC">
        <w:t xml:space="preserve"> </w:t>
      </w:r>
      <w:r w:rsidRPr="005C7FDC">
        <w:t xml:space="preserve">y aumentar la capacidad operativa del </w:t>
      </w:r>
      <w:r w:rsidR="00267512">
        <w:t xml:space="preserve">INVIMA, </w:t>
      </w:r>
      <w:r w:rsidR="00A37EF9">
        <w:t xml:space="preserve">que a </w:t>
      </w:r>
      <w:r w:rsidR="00A37EF9" w:rsidRPr="00A37EF9">
        <w:t xml:space="preserve">mayo de este año </w:t>
      </w:r>
      <w:r w:rsidR="00A37EF9">
        <w:t>ya</w:t>
      </w:r>
      <w:r w:rsidR="00A37EF9" w:rsidRPr="00A37EF9">
        <w:t xml:space="preserve"> acumulaba 12.4</w:t>
      </w:r>
      <w:r w:rsidR="00AE0A08">
        <w:t>66</w:t>
      </w:r>
      <w:r w:rsidR="00A37EF9" w:rsidRPr="00A37EF9">
        <w:t xml:space="preserve"> trámites pendientes</w:t>
      </w:r>
      <w:r w:rsidR="00A37EF9">
        <w:t xml:space="preserve"> de evaluación</w:t>
      </w:r>
      <w:r w:rsidR="00963228">
        <w:t>, con la consecuente afectación en el acceso a nuevas terapias</w:t>
      </w:r>
      <w:r w:rsidR="00A37EF9">
        <w:t>.</w:t>
      </w:r>
    </w:p>
    <w:p w14:paraId="0630721A" w14:textId="5F2C2AE7" w:rsidR="00B66F8D" w:rsidRDefault="00B66F8D" w:rsidP="005C7FDC"/>
    <w:p w14:paraId="15DD769C" w14:textId="22A8E3C4" w:rsidR="00BE0291" w:rsidRPr="00BE0291" w:rsidRDefault="00A37EF9" w:rsidP="00BE0291">
      <w:r>
        <w:t xml:space="preserve">El </w:t>
      </w:r>
      <w:proofErr w:type="spellStart"/>
      <w:r>
        <w:rPr>
          <w:i/>
          <w:iCs/>
        </w:rPr>
        <w:t>R</w:t>
      </w:r>
      <w:r w:rsidRPr="00B66F8D">
        <w:rPr>
          <w:i/>
          <w:iCs/>
        </w:rPr>
        <w:t>eliance</w:t>
      </w:r>
      <w:proofErr w:type="spellEnd"/>
      <w:r>
        <w:t xml:space="preserve"> </w:t>
      </w:r>
      <w:r w:rsidRPr="00B66F8D">
        <w:rPr>
          <w:i/>
          <w:iCs/>
        </w:rPr>
        <w:t>regulatorio</w:t>
      </w:r>
      <w:r w:rsidR="00B66F8D" w:rsidRPr="00B66F8D">
        <w:t xml:space="preserve"> </w:t>
      </w:r>
      <w:r w:rsidR="0033736C">
        <w:t xml:space="preserve">es </w:t>
      </w:r>
      <w:r w:rsidR="00B66F8D" w:rsidRPr="00B66F8D">
        <w:t xml:space="preserve">una práctica promovida por la Organización Mundial de la Salud (OMS) </w:t>
      </w:r>
      <w:r w:rsidR="00267512">
        <w:t>que utilizan</w:t>
      </w:r>
      <w:r w:rsidR="00B66F8D" w:rsidRPr="00B66F8D">
        <w:t xml:space="preserve"> </w:t>
      </w:r>
      <w:r w:rsidR="00B66F8D">
        <w:t xml:space="preserve">varias </w:t>
      </w:r>
      <w:r w:rsidR="00B66F8D" w:rsidRPr="00B66F8D">
        <w:t xml:space="preserve">autoridades </w:t>
      </w:r>
      <w:r w:rsidR="00727440">
        <w:t>regulator</w:t>
      </w:r>
      <w:r w:rsidR="00B66F8D" w:rsidRPr="00B66F8D">
        <w:t>ias de distintas regiones del mundo</w:t>
      </w:r>
      <w:r w:rsidR="00267512">
        <w:t xml:space="preserve">. El </w:t>
      </w:r>
      <w:proofErr w:type="spellStart"/>
      <w:r w:rsidR="00267512" w:rsidRPr="00267512">
        <w:rPr>
          <w:i/>
        </w:rPr>
        <w:t>Reliance</w:t>
      </w:r>
      <w:proofErr w:type="spellEnd"/>
      <w:r w:rsidR="00267512" w:rsidRPr="00267512">
        <w:rPr>
          <w:i/>
        </w:rPr>
        <w:t xml:space="preserve"> Regulatorio</w:t>
      </w:r>
      <w:r w:rsidR="00E12E89">
        <w:t xml:space="preserve"> </w:t>
      </w:r>
      <w:r w:rsidR="00BE0291" w:rsidRPr="00BE0291">
        <w:t xml:space="preserve">permite que una agencia </w:t>
      </w:r>
      <w:r w:rsidR="00267512">
        <w:t xml:space="preserve">reguladora </w:t>
      </w:r>
      <w:r w:rsidR="00BE0291" w:rsidRPr="00BE0291">
        <w:t xml:space="preserve">nacional aproveche las evaluaciones científicas realizadas previamente por </w:t>
      </w:r>
      <w:r w:rsidR="00267512">
        <w:t>agencias reguladoras</w:t>
      </w:r>
      <w:r w:rsidR="00BE0291" w:rsidRPr="00BE0291">
        <w:t xml:space="preserve"> de referencia internacional, como la FDA</w:t>
      </w:r>
      <w:r w:rsidR="00267512">
        <w:t xml:space="preserve"> </w:t>
      </w:r>
      <w:r w:rsidR="00BE0291" w:rsidRPr="00BE0291">
        <w:t>o la EMA, sin renunciar a su autonomía para tomar decisiones.</w:t>
      </w:r>
    </w:p>
    <w:p w14:paraId="568A632A" w14:textId="77777777" w:rsidR="00BE0291" w:rsidRDefault="00BE0291" w:rsidP="005C7FDC"/>
    <w:p w14:paraId="09402160" w14:textId="68A934A8" w:rsidR="003842EA" w:rsidRDefault="00182AB5" w:rsidP="003842EA">
      <w:r w:rsidRPr="00182AB5">
        <w:rPr>
          <w:i/>
          <w:iCs/>
        </w:rPr>
        <w:t>UDELÁ Soluciones Regulatorias</w:t>
      </w:r>
      <w:r w:rsidR="00BE0291" w:rsidRPr="00BE0291">
        <w:t xml:space="preserve"> revisó 358 trámites evaluados por el I</w:t>
      </w:r>
      <w:r w:rsidR="00267512">
        <w:t>NVIMA</w:t>
      </w:r>
      <w:r w:rsidR="00BE0291" w:rsidRPr="00BE0291">
        <w:t xml:space="preserve"> entre 2024 y septiembre de 2025</w:t>
      </w:r>
      <w:r w:rsidR="00F71CD4">
        <w:t xml:space="preserve"> </w:t>
      </w:r>
      <w:r w:rsidR="00BE0291" w:rsidRPr="00BE0291">
        <w:t xml:space="preserve">y comparó el esquema actual de evaluación </w:t>
      </w:r>
      <w:r w:rsidR="00F71CD4">
        <w:t xml:space="preserve">del INVIMA </w:t>
      </w:r>
      <w:r w:rsidR="00BE0291" w:rsidRPr="00BE0291">
        <w:t xml:space="preserve">con dos escenarios de implementación de </w:t>
      </w:r>
      <w:proofErr w:type="spellStart"/>
      <w:r w:rsidR="00F71CD4">
        <w:rPr>
          <w:i/>
          <w:iCs/>
        </w:rPr>
        <w:t>R</w:t>
      </w:r>
      <w:r w:rsidR="00F71CD4" w:rsidRPr="00B66F8D">
        <w:rPr>
          <w:i/>
          <w:iCs/>
        </w:rPr>
        <w:t>eliance</w:t>
      </w:r>
      <w:proofErr w:type="spellEnd"/>
      <w:r w:rsidR="00F71CD4">
        <w:t xml:space="preserve"> </w:t>
      </w:r>
      <w:r w:rsidR="00F71CD4" w:rsidRPr="00B66F8D">
        <w:rPr>
          <w:i/>
          <w:iCs/>
        </w:rPr>
        <w:t>regulatorio</w:t>
      </w:r>
      <w:r w:rsidR="00BE0291" w:rsidRPr="00BE0291">
        <w:t>: uno parcial y otro integral</w:t>
      </w:r>
      <w:r w:rsidR="00267512">
        <w:t>.</w:t>
      </w:r>
      <w:r w:rsidR="00F71CD4">
        <w:t xml:space="preserve"> </w:t>
      </w:r>
      <w:r w:rsidR="00267512">
        <w:t>Los</w:t>
      </w:r>
      <w:r w:rsidR="003842EA" w:rsidRPr="003842EA">
        <w:t xml:space="preserve"> resultados m</w:t>
      </w:r>
      <w:r w:rsidR="00F71CD4">
        <w:t>o</w:t>
      </w:r>
      <w:r w:rsidR="003842EA" w:rsidRPr="003842EA">
        <w:t>stra</w:t>
      </w:r>
      <w:r w:rsidR="00F71CD4">
        <w:t>ro</w:t>
      </w:r>
      <w:r w:rsidR="003842EA" w:rsidRPr="003842EA">
        <w:t>n</w:t>
      </w:r>
      <w:r w:rsidR="00F9335B">
        <w:t xml:space="preserve"> que</w:t>
      </w:r>
      <w:r w:rsidR="003842EA" w:rsidRPr="003842EA">
        <w:t xml:space="preserve"> el costo de </w:t>
      </w:r>
      <w:r w:rsidR="00F9335B">
        <w:t xml:space="preserve">la </w:t>
      </w:r>
      <w:r w:rsidR="003842EA" w:rsidRPr="003842EA">
        <w:t xml:space="preserve">evaluación de </w:t>
      </w:r>
      <w:r w:rsidR="00267512">
        <w:t>las</w:t>
      </w:r>
      <w:r w:rsidR="00F9335B">
        <w:t xml:space="preserve"> </w:t>
      </w:r>
      <w:r w:rsidR="003842EA" w:rsidRPr="003842EA">
        <w:t xml:space="preserve">moléculas </w:t>
      </w:r>
      <w:r w:rsidR="00267512" w:rsidRPr="003842EA">
        <w:t>nuevas</w:t>
      </w:r>
      <w:r w:rsidR="00267512">
        <w:t xml:space="preserve"> </w:t>
      </w:r>
      <w:r w:rsidR="00F9335B">
        <w:t xml:space="preserve">o </w:t>
      </w:r>
      <w:r w:rsidR="00267512">
        <w:t>de las moléculas ya aprobadas para</w:t>
      </w:r>
      <w:r w:rsidR="00F9335B">
        <w:t xml:space="preserve"> </w:t>
      </w:r>
      <w:r w:rsidR="00F9335B">
        <w:t xml:space="preserve">nuevas </w:t>
      </w:r>
      <w:r w:rsidR="003842EA" w:rsidRPr="003842EA">
        <w:t>indicaciones terapéuticas podría reducirse entre un 72% y un 90%, dependiendo del nivel de adopción del mecanismo.</w:t>
      </w:r>
    </w:p>
    <w:p w14:paraId="3E34D661" w14:textId="77777777" w:rsidR="00F9335B" w:rsidRDefault="00F9335B" w:rsidP="003842EA"/>
    <w:p w14:paraId="0DC4DAC3" w14:textId="27BA1EB0" w:rsidR="006520A5" w:rsidRPr="003842EA" w:rsidRDefault="00267512" w:rsidP="006520A5">
      <w:r>
        <w:t>Según</w:t>
      </w:r>
      <w:r w:rsidR="00AE0A08" w:rsidRPr="00AE0A08">
        <w:t xml:space="preserve"> </w:t>
      </w:r>
      <w:r w:rsidR="00AE0A08">
        <w:t>e</w:t>
      </w:r>
      <w:r w:rsidR="00AE0A08" w:rsidRPr="00AE0A08">
        <w:t>l</w:t>
      </w:r>
      <w:r w:rsidR="00AE0A08">
        <w:t xml:space="preserve"> informe técnico</w:t>
      </w:r>
      <w:r>
        <w:t xml:space="preserve">, adoptar el </w:t>
      </w:r>
      <w:proofErr w:type="spellStart"/>
      <w:r>
        <w:t>reliance</w:t>
      </w:r>
      <w:proofErr w:type="spellEnd"/>
      <w:r>
        <w:t xml:space="preserve"> ampliaría la capacidad del INVIMA para procesar las solicitudes. Ahora el INVIMA tiene capacidad para gestionar</w:t>
      </w:r>
      <w:r w:rsidR="00AE0A08" w:rsidRPr="00AE0A08">
        <w:t xml:space="preserve"> </w:t>
      </w:r>
      <w:r w:rsidR="00AE0A08" w:rsidRPr="00E15A9A">
        <w:t>311 trámites</w:t>
      </w:r>
      <w:r w:rsidR="00AE0A08" w:rsidRPr="00AE0A08">
        <w:t xml:space="preserve"> (entre moléculas nuevas y nuevas indicaciones)</w:t>
      </w:r>
      <w:r>
        <w:t xml:space="preserve">, y si adoptara el </w:t>
      </w:r>
      <w:proofErr w:type="spellStart"/>
      <w:r w:rsidRPr="00267512">
        <w:rPr>
          <w:i/>
        </w:rPr>
        <w:t>reliance</w:t>
      </w:r>
      <w:proofErr w:type="spellEnd"/>
      <w:r w:rsidRPr="00267512">
        <w:rPr>
          <w:i/>
        </w:rPr>
        <w:t xml:space="preserve"> parcial</w:t>
      </w:r>
      <w:r w:rsidR="00AE0A08" w:rsidRPr="00AE0A08">
        <w:t xml:space="preserve"> </w:t>
      </w:r>
      <w:r>
        <w:t xml:space="preserve">podría gestionar </w:t>
      </w:r>
      <w:r w:rsidR="00AE0A08" w:rsidRPr="00AE0A08">
        <w:t>1.204 trámit</w:t>
      </w:r>
      <w:r>
        <w:t xml:space="preserve">es, y </w:t>
      </w:r>
      <w:r w:rsidRPr="00AE0A08">
        <w:t>en caso de</w:t>
      </w:r>
      <w:r>
        <w:t xml:space="preserve"> adoptar el </w:t>
      </w:r>
      <w:proofErr w:type="spellStart"/>
      <w:r w:rsidRPr="006520A5">
        <w:rPr>
          <w:i/>
          <w:iCs/>
        </w:rPr>
        <w:t>reliance</w:t>
      </w:r>
      <w:proofErr w:type="spellEnd"/>
      <w:r w:rsidRPr="006520A5">
        <w:rPr>
          <w:i/>
          <w:iCs/>
        </w:rPr>
        <w:t xml:space="preserve"> integral</w:t>
      </w:r>
      <w:r w:rsidRPr="00AE0A08">
        <w:t xml:space="preserve"> </w:t>
      </w:r>
      <w:r w:rsidR="00AE0A08" w:rsidRPr="00AE0A08">
        <w:t>3.051 trámites.</w:t>
      </w:r>
      <w:r w:rsidR="006520A5">
        <w:t xml:space="preserve"> El análisis </w:t>
      </w:r>
      <w:r w:rsidR="006520A5" w:rsidRPr="003842EA">
        <w:t>estim</w:t>
      </w:r>
      <w:r w:rsidR="006520A5">
        <w:t>ó</w:t>
      </w:r>
      <w:r w:rsidR="006520A5" w:rsidRPr="003842EA">
        <w:t xml:space="preserve"> que la aplicación de</w:t>
      </w:r>
      <w:r w:rsidR="006520A5">
        <w:t xml:space="preserve">l </w:t>
      </w:r>
      <w:proofErr w:type="spellStart"/>
      <w:r w:rsidR="006520A5" w:rsidRPr="006520A5">
        <w:rPr>
          <w:i/>
          <w:iCs/>
        </w:rPr>
        <w:t>reliance</w:t>
      </w:r>
      <w:proofErr w:type="spellEnd"/>
      <w:r w:rsidR="006520A5" w:rsidRPr="003842EA">
        <w:t xml:space="preserve"> regulatori</w:t>
      </w:r>
      <w:r w:rsidR="006520A5">
        <w:t>o</w:t>
      </w:r>
      <w:r w:rsidR="006520A5" w:rsidRPr="003842EA">
        <w:t xml:space="preserve"> en procesos de evaluación de nuevas moléculas podría generar ahorros cercanos a los 2.045 millones de pesos</w:t>
      </w:r>
      <w:r w:rsidR="00CB71DD">
        <w:t xml:space="preserve"> (COP)</w:t>
      </w:r>
      <w:r w:rsidR="006520A5" w:rsidRPr="003842EA">
        <w:t>, mientras que para nuevas indicaciones el ahorro alcanzaría los 986 millones de pesos</w:t>
      </w:r>
      <w:r w:rsidR="00CB71DD">
        <w:t xml:space="preserve"> (COP)</w:t>
      </w:r>
      <w:r w:rsidR="006520A5" w:rsidRPr="003842EA">
        <w:t>.</w:t>
      </w:r>
    </w:p>
    <w:p w14:paraId="7DB3353A" w14:textId="77777777" w:rsidR="006520A5" w:rsidRDefault="006520A5" w:rsidP="00AE0A08"/>
    <w:p w14:paraId="383D0A32" w14:textId="036E72BB" w:rsidR="00AE0A08" w:rsidRPr="00AE0A08" w:rsidRDefault="00CB71DD" w:rsidP="00AE0A08">
      <w:r>
        <w:t>E</w:t>
      </w:r>
      <w:r w:rsidR="00AE0A08" w:rsidRPr="00AE0A08">
        <w:t xml:space="preserve">l estudio </w:t>
      </w:r>
      <w:r w:rsidR="00267512">
        <w:t xml:space="preserve">enfatiza que la adopción del </w:t>
      </w:r>
      <w:proofErr w:type="spellStart"/>
      <w:r w:rsidR="00267512">
        <w:t>Reliance</w:t>
      </w:r>
      <w:proofErr w:type="spellEnd"/>
      <w:r w:rsidR="00267512">
        <w:t xml:space="preserve"> permitiría </w:t>
      </w:r>
      <w:r w:rsidR="00AE0A08" w:rsidRPr="00AE0A08">
        <w:t xml:space="preserve">liberar el tiempo de los profesionales más calificados del país para </w:t>
      </w:r>
      <w:r>
        <w:t>que desempeñe</w:t>
      </w:r>
      <w:r w:rsidR="00AE0A08" w:rsidRPr="00AE0A08">
        <w:t xml:space="preserve">n funciones de </w:t>
      </w:r>
      <w:r>
        <w:t>gran</w:t>
      </w:r>
      <w:r w:rsidR="00AE0A08" w:rsidRPr="00AE0A08">
        <w:t xml:space="preserve"> valor</w:t>
      </w:r>
      <w:r w:rsidR="00267512">
        <w:t>,</w:t>
      </w:r>
      <w:r w:rsidR="00AE0A08" w:rsidRPr="00AE0A08">
        <w:t xml:space="preserve"> como la farmacovigilancia activa, el seguimiento de la seguridad de los medicamentos</w:t>
      </w:r>
      <w:r w:rsidR="00267512" w:rsidRPr="00267512">
        <w:t xml:space="preserve"> </w:t>
      </w:r>
      <w:r w:rsidR="00267512">
        <w:t>post comercialización</w:t>
      </w:r>
      <w:r w:rsidR="00AE0A08" w:rsidRPr="00AE0A08">
        <w:t xml:space="preserve">, el monitoreo de riesgos y la evaluación de productos que </w:t>
      </w:r>
      <w:r w:rsidR="00267512">
        <w:t>no han sido revisados por</w:t>
      </w:r>
      <w:r w:rsidR="00AE0A08" w:rsidRPr="00AE0A08">
        <w:t xml:space="preserve"> </w:t>
      </w:r>
      <w:r w:rsidR="00267512">
        <w:t>las</w:t>
      </w:r>
      <w:r w:rsidR="00AE0A08" w:rsidRPr="00AE0A08">
        <w:t xml:space="preserve"> agencias de referencia.</w:t>
      </w:r>
    </w:p>
    <w:p w14:paraId="4B124788" w14:textId="3F34346B" w:rsidR="00BE0291" w:rsidRDefault="00BE0291" w:rsidP="005C7FDC"/>
    <w:p w14:paraId="2C310591" w14:textId="44B465EC" w:rsidR="00963228" w:rsidRDefault="00267512" w:rsidP="00267512">
      <w:r>
        <w:t>Además, los colombianos podrían acceder a los medicamentos nuevos más rápidamente. S</w:t>
      </w:r>
      <w:r w:rsidR="003842EA" w:rsidRPr="003842EA">
        <w:t xml:space="preserve">egún </w:t>
      </w:r>
      <w:r w:rsidR="00963228">
        <w:t>el informe técnico de</w:t>
      </w:r>
      <w:r w:rsidR="003842EA" w:rsidRPr="003842EA">
        <w:t xml:space="preserve"> </w:t>
      </w:r>
      <w:r w:rsidR="00F60A77" w:rsidRPr="00182AB5">
        <w:rPr>
          <w:i/>
          <w:iCs/>
        </w:rPr>
        <w:t>UDELÁ Soluciones Regulatorias</w:t>
      </w:r>
      <w:r w:rsidR="003842EA" w:rsidRPr="003842EA">
        <w:t xml:space="preserve">, </w:t>
      </w:r>
      <w:r w:rsidR="00354EDC">
        <w:t xml:space="preserve">algunas </w:t>
      </w:r>
      <w:r w:rsidR="00963228" w:rsidRPr="003842EA">
        <w:t>terapias disponibles desde hace varios años en mercados como Europa, E</w:t>
      </w:r>
      <w:r w:rsidR="00963228">
        <w:t>E</w:t>
      </w:r>
      <w:r w:rsidR="00963228" w:rsidRPr="003842EA">
        <w:t xml:space="preserve"> U</w:t>
      </w:r>
      <w:r w:rsidR="00963228">
        <w:t>U</w:t>
      </w:r>
      <w:r w:rsidR="00963228" w:rsidRPr="003842EA">
        <w:t xml:space="preserve">, Canadá o Australia llegan a Colombia con retrasos </w:t>
      </w:r>
      <w:r w:rsidR="00354EDC">
        <w:t>de varios</w:t>
      </w:r>
      <w:r w:rsidR="00963228" w:rsidRPr="003842EA">
        <w:t xml:space="preserve"> años</w:t>
      </w:r>
      <w:r>
        <w:t xml:space="preserve">, debido al rezago del INVIMA en dar </w:t>
      </w:r>
      <w:r w:rsidR="003842EA" w:rsidRPr="003842EA">
        <w:t xml:space="preserve">una respuesta regulatoria. </w:t>
      </w:r>
    </w:p>
    <w:p w14:paraId="3496DF57" w14:textId="30D3560E" w:rsidR="003842EA" w:rsidRDefault="001C5070" w:rsidP="005C7FDC">
      <w:r>
        <w:t xml:space="preserve"> </w:t>
      </w:r>
    </w:p>
    <w:p w14:paraId="71ABF92F" w14:textId="0141FD80" w:rsidR="003842EA" w:rsidRDefault="0096175B" w:rsidP="003842EA">
      <w:r>
        <w:t>El</w:t>
      </w:r>
      <w:r w:rsidR="00F60A77" w:rsidRPr="00F60A77">
        <w:t xml:space="preserve"> director regulatorio regional de</w:t>
      </w:r>
      <w:r w:rsidR="00F60A77">
        <w:t xml:space="preserve"> </w:t>
      </w:r>
      <w:r w:rsidR="00F60A77" w:rsidRPr="00182AB5">
        <w:rPr>
          <w:i/>
          <w:iCs/>
        </w:rPr>
        <w:t>UDELÁ Soluciones Regulatorias</w:t>
      </w:r>
      <w:r w:rsidR="003842EA" w:rsidRPr="003842EA">
        <w:t xml:space="preserve">, </w:t>
      </w:r>
      <w:r w:rsidRPr="00F60A77">
        <w:t>Diego Gutiérrez</w:t>
      </w:r>
      <w:r w:rsidRPr="003842EA">
        <w:t xml:space="preserve"> </w:t>
      </w:r>
      <w:r>
        <w:t xml:space="preserve">considera que </w:t>
      </w:r>
      <w:r w:rsidR="003842EA" w:rsidRPr="003842EA">
        <w:t>la adopción de</w:t>
      </w:r>
      <w:r>
        <w:t xml:space="preserve">l </w:t>
      </w:r>
      <w:proofErr w:type="spellStart"/>
      <w:r w:rsidRPr="006520A5">
        <w:rPr>
          <w:i/>
          <w:iCs/>
        </w:rPr>
        <w:t>reliance</w:t>
      </w:r>
      <w:proofErr w:type="spellEnd"/>
      <w:r w:rsidR="003842EA" w:rsidRPr="003842EA">
        <w:t xml:space="preserve"> responde a una tendencia internacional consolidada. La OMS publicó en 2020 sus lineamientos de buenas prácticas en </w:t>
      </w:r>
      <w:proofErr w:type="spellStart"/>
      <w:r w:rsidR="00267512" w:rsidRPr="00267512">
        <w:rPr>
          <w:i/>
        </w:rPr>
        <w:lastRenderedPageBreak/>
        <w:t>R</w:t>
      </w:r>
      <w:r w:rsidRPr="006520A5">
        <w:rPr>
          <w:i/>
          <w:iCs/>
        </w:rPr>
        <w:t>eliance</w:t>
      </w:r>
      <w:proofErr w:type="spellEnd"/>
      <w:r w:rsidR="003842EA" w:rsidRPr="003842EA">
        <w:t xml:space="preserve"> regulatori</w:t>
      </w:r>
      <w:r>
        <w:t>o</w:t>
      </w:r>
      <w:r w:rsidR="003842EA" w:rsidRPr="003842EA">
        <w:t xml:space="preserve"> y considera</w:t>
      </w:r>
      <w:r w:rsidR="00F60A77">
        <w:t xml:space="preserve"> que</w:t>
      </w:r>
      <w:r w:rsidR="003842EA" w:rsidRPr="003842EA">
        <w:t xml:space="preserve"> estos mecanismos </w:t>
      </w:r>
      <w:r w:rsidR="00F60A77">
        <w:t>son</w:t>
      </w:r>
      <w:r w:rsidR="003842EA" w:rsidRPr="003842EA">
        <w:t xml:space="preserve"> una herramienta para mejorar la eficiencia de los sistemas </w:t>
      </w:r>
      <w:r w:rsidR="00267512">
        <w:t>de salud</w:t>
      </w:r>
      <w:r w:rsidR="003842EA" w:rsidRPr="003842EA">
        <w:t>,</w:t>
      </w:r>
      <w:r>
        <w:t xml:space="preserve"> </w:t>
      </w:r>
      <w:r w:rsidR="003842EA" w:rsidRPr="003842EA">
        <w:t>evitar duplicidades y</w:t>
      </w:r>
      <w:r>
        <w:t xml:space="preserve"> </w:t>
      </w:r>
      <w:r w:rsidR="003842EA" w:rsidRPr="003842EA">
        <w:t>optimizar el uso de recursos técnicos.</w:t>
      </w:r>
    </w:p>
    <w:p w14:paraId="0E8EC046" w14:textId="77777777" w:rsidR="0096175B" w:rsidRPr="003842EA" w:rsidRDefault="0096175B" w:rsidP="003842EA"/>
    <w:p w14:paraId="40057956" w14:textId="4822B3E4" w:rsidR="00993E05" w:rsidRDefault="003842EA" w:rsidP="00993E05">
      <w:r w:rsidRPr="003842EA">
        <w:t xml:space="preserve">El Invima anunció la puesta en marcha de un piloto de </w:t>
      </w:r>
      <w:proofErr w:type="spellStart"/>
      <w:r w:rsidR="00267512">
        <w:rPr>
          <w:i/>
          <w:iCs/>
        </w:rPr>
        <w:t>R</w:t>
      </w:r>
      <w:r w:rsidR="00205D87" w:rsidRPr="006520A5">
        <w:rPr>
          <w:i/>
          <w:iCs/>
        </w:rPr>
        <w:t>eliance</w:t>
      </w:r>
      <w:proofErr w:type="spellEnd"/>
      <w:r w:rsidRPr="003842EA">
        <w:t xml:space="preserve"> regulatori</w:t>
      </w:r>
      <w:r w:rsidR="00205D87">
        <w:t>o</w:t>
      </w:r>
      <w:r w:rsidRPr="003842EA">
        <w:t xml:space="preserve"> con agencias de referencia de la región, entre ellas </w:t>
      </w:r>
      <w:proofErr w:type="spellStart"/>
      <w:r w:rsidRPr="003842EA">
        <w:t>Anvisa</w:t>
      </w:r>
      <w:proofErr w:type="spellEnd"/>
      <w:r w:rsidRPr="003842EA">
        <w:t xml:space="preserve"> de Brasil, Cofepris de México </w:t>
      </w:r>
      <w:r w:rsidR="00205D87">
        <w:t>y el</w:t>
      </w:r>
      <w:r w:rsidRPr="003842EA">
        <w:t xml:space="preserve"> I</w:t>
      </w:r>
      <w:r w:rsidR="00205D87">
        <w:t xml:space="preserve">nstituto de </w:t>
      </w:r>
      <w:r w:rsidRPr="003842EA">
        <w:t>S</w:t>
      </w:r>
      <w:r w:rsidR="00205D87">
        <w:t xml:space="preserve">alud </w:t>
      </w:r>
      <w:r w:rsidRPr="003842EA">
        <w:t>P</w:t>
      </w:r>
      <w:r w:rsidR="00205D87">
        <w:t>ública</w:t>
      </w:r>
      <w:r w:rsidRPr="003842EA">
        <w:t xml:space="preserve"> de Chile</w:t>
      </w:r>
      <w:r w:rsidR="00205D87">
        <w:t xml:space="preserve"> y</w:t>
      </w:r>
      <w:r w:rsidRPr="003842EA">
        <w:t xml:space="preserve"> expidió la Resolución 2026025611 del 21 de mayo de 2026, mediante la cual adoptó un procedimiento de </w:t>
      </w:r>
      <w:r w:rsidRPr="00205D87">
        <w:rPr>
          <w:i/>
          <w:iCs/>
        </w:rPr>
        <w:t>‘</w:t>
      </w:r>
      <w:proofErr w:type="spellStart"/>
      <w:r w:rsidR="00267512">
        <w:rPr>
          <w:i/>
          <w:iCs/>
        </w:rPr>
        <w:t>R</w:t>
      </w:r>
      <w:r w:rsidRPr="00205D87">
        <w:rPr>
          <w:i/>
          <w:iCs/>
        </w:rPr>
        <w:t>eliance</w:t>
      </w:r>
      <w:proofErr w:type="spellEnd"/>
      <w:r w:rsidRPr="00205D87">
        <w:rPr>
          <w:i/>
          <w:iCs/>
        </w:rPr>
        <w:t>’</w:t>
      </w:r>
      <w:r w:rsidRPr="003842EA">
        <w:t xml:space="preserve"> dentro de su </w:t>
      </w:r>
      <w:r w:rsidR="009F0EE7">
        <w:t>P</w:t>
      </w:r>
      <w:r w:rsidRPr="003842EA">
        <w:t xml:space="preserve">lan de contingencia para </w:t>
      </w:r>
      <w:r w:rsidR="009F0EE7">
        <w:t>acelerar los</w:t>
      </w:r>
      <w:r w:rsidRPr="003842EA">
        <w:t xml:space="preserve"> trámites de registros sanitarios</w:t>
      </w:r>
      <w:r w:rsidR="009F0EE7">
        <w:t xml:space="preserve"> </w:t>
      </w:r>
      <w:r w:rsidR="00267512">
        <w:t>atra</w:t>
      </w:r>
      <w:r w:rsidR="009F0EE7">
        <w:t>sados</w:t>
      </w:r>
      <w:r w:rsidR="00FE2CC6">
        <w:t>; d</w:t>
      </w:r>
      <w:r w:rsidR="00993E05" w:rsidRPr="00993E05">
        <w:t>e esta manera, los pro</w:t>
      </w:r>
      <w:r w:rsidR="00267512">
        <w:t>ductos</w:t>
      </w:r>
      <w:r w:rsidR="00993E05" w:rsidRPr="00993E05">
        <w:t xml:space="preserve"> que ya fueron evaluados y aprobados en Brasil, México o Chile podrían </w:t>
      </w:r>
      <w:r w:rsidR="00267512">
        <w:t xml:space="preserve">someterse a </w:t>
      </w:r>
      <w:r w:rsidR="00993E05" w:rsidRPr="00993E05">
        <w:t>una revisión más ágil en Colombia</w:t>
      </w:r>
      <w:r w:rsidR="00502E96">
        <w:t>. F</w:t>
      </w:r>
      <w:r w:rsidR="00502E96" w:rsidRPr="00993E05">
        <w:t>alta el desarrollo de una guía técnica que detalle la implementación del mecanismo</w:t>
      </w:r>
      <w:r w:rsidR="00502E96">
        <w:t xml:space="preserve"> </w:t>
      </w:r>
      <w:proofErr w:type="spellStart"/>
      <w:r w:rsidR="00502E96">
        <w:t>colombinao</w:t>
      </w:r>
      <w:proofErr w:type="spellEnd"/>
      <w:r w:rsidR="00502E96">
        <w:t xml:space="preserve"> del </w:t>
      </w:r>
      <w:r w:rsidR="00502E96" w:rsidRPr="00205D87">
        <w:rPr>
          <w:i/>
          <w:iCs/>
        </w:rPr>
        <w:t>‘</w:t>
      </w:r>
      <w:proofErr w:type="spellStart"/>
      <w:r w:rsidR="00267512">
        <w:rPr>
          <w:i/>
          <w:iCs/>
        </w:rPr>
        <w:t>R</w:t>
      </w:r>
      <w:r w:rsidR="00502E96" w:rsidRPr="00205D87">
        <w:rPr>
          <w:i/>
          <w:iCs/>
        </w:rPr>
        <w:t>eliance</w:t>
      </w:r>
      <w:proofErr w:type="spellEnd"/>
      <w:r w:rsidR="00502E96" w:rsidRPr="00205D87">
        <w:rPr>
          <w:i/>
          <w:iCs/>
        </w:rPr>
        <w:t>’</w:t>
      </w:r>
      <w:r w:rsidR="00FE2CC6">
        <w:t xml:space="preserve"> [1]</w:t>
      </w:r>
      <w:r w:rsidR="00993E05" w:rsidRPr="00993E05">
        <w:t>.</w:t>
      </w:r>
    </w:p>
    <w:p w14:paraId="65F96499" w14:textId="77777777" w:rsidR="00FE2CC6" w:rsidRPr="00993E05" w:rsidRDefault="00FE2CC6" w:rsidP="00993E05"/>
    <w:p w14:paraId="584566D7" w14:textId="3E012D84" w:rsidR="00993E05" w:rsidRDefault="00993E05" w:rsidP="005C7FDC">
      <w:r w:rsidRPr="00993E05">
        <w:t xml:space="preserve">Algunas </w:t>
      </w:r>
      <w:r w:rsidR="00FE2CC6">
        <w:t>empres</w:t>
      </w:r>
      <w:r w:rsidRPr="00993E05">
        <w:t>as</w:t>
      </w:r>
      <w:r w:rsidR="00FE2CC6">
        <w:t xml:space="preserve"> farmacéuticas</w:t>
      </w:r>
      <w:r w:rsidRPr="00993E05">
        <w:t xml:space="preserve"> han sido informadas formalmente de que el Invima comenzará a trabajar con listados de trámites pendientes que ya cuentan con aprobación en otros países</w:t>
      </w:r>
      <w:r w:rsidR="00267512">
        <w:t>. L</w:t>
      </w:r>
      <w:r w:rsidRPr="00993E05">
        <w:t>as autoridades brasileñas recibieron un inventario de</w:t>
      </w:r>
      <w:r w:rsidR="00502E96">
        <w:t xml:space="preserve"> los</w:t>
      </w:r>
      <w:r w:rsidRPr="00993E05">
        <w:t xml:space="preserve"> expedientes que permanecen represados en Colombia y que podrían ser objeto de</w:t>
      </w:r>
      <w:r w:rsidR="00502E96">
        <w:t xml:space="preserve">l </w:t>
      </w:r>
      <w:proofErr w:type="spellStart"/>
      <w:r w:rsidR="00267512">
        <w:rPr>
          <w:i/>
          <w:iCs/>
        </w:rPr>
        <w:t>R</w:t>
      </w:r>
      <w:r w:rsidR="00502E96" w:rsidRPr="006520A5">
        <w:rPr>
          <w:i/>
          <w:iCs/>
        </w:rPr>
        <w:t>eliance</w:t>
      </w:r>
      <w:proofErr w:type="spellEnd"/>
      <w:r w:rsidRPr="00993E05">
        <w:t xml:space="preserve">. </w:t>
      </w:r>
    </w:p>
    <w:p w14:paraId="67F859D6" w14:textId="77777777" w:rsidR="003842EA" w:rsidRDefault="003842EA" w:rsidP="005C7FDC"/>
    <w:p w14:paraId="5DAE2715" w14:textId="1FE2B741" w:rsidR="005C7FDC" w:rsidRPr="00BE0291" w:rsidRDefault="005C7FDC" w:rsidP="005C7FDC">
      <w:pPr>
        <w:rPr>
          <w:b/>
          <w:bCs/>
          <w:sz w:val="18"/>
          <w:szCs w:val="22"/>
        </w:rPr>
      </w:pPr>
      <w:r w:rsidRPr="00BE0291">
        <w:rPr>
          <w:b/>
          <w:bCs/>
          <w:sz w:val="18"/>
          <w:szCs w:val="22"/>
        </w:rPr>
        <w:t>Fuente Original:</w:t>
      </w:r>
    </w:p>
    <w:p w14:paraId="3BDA6BDA" w14:textId="60C8DA11" w:rsidR="005C7FDC" w:rsidRPr="008C6B81" w:rsidRDefault="005C7FDC" w:rsidP="002478D5">
      <w:pPr>
        <w:pStyle w:val="Prrafodelista"/>
        <w:numPr>
          <w:ilvl w:val="0"/>
          <w:numId w:val="32"/>
        </w:numPr>
        <w:ind w:left="180" w:hanging="180"/>
        <w:rPr>
          <w:sz w:val="18"/>
          <w:szCs w:val="22"/>
        </w:rPr>
      </w:pPr>
      <w:r w:rsidRPr="008C6B81">
        <w:rPr>
          <w:sz w:val="18"/>
          <w:szCs w:val="22"/>
        </w:rPr>
        <w:t>E Caicedo.</w:t>
      </w:r>
      <w:r w:rsidR="00BE0291" w:rsidRPr="008C6B81">
        <w:rPr>
          <w:sz w:val="18"/>
          <w:szCs w:val="22"/>
        </w:rPr>
        <w:t xml:space="preserve"> El mecanismo que podría ayudar a que el Invima reduzca hasta en un 90 % los costos asociados a la evaluación de medicamentos innovadores en Colombia.</w:t>
      </w:r>
      <w:r w:rsidR="00BE0291" w:rsidRPr="008C6B81">
        <w:rPr>
          <w:b/>
          <w:bCs/>
          <w:sz w:val="18"/>
          <w:szCs w:val="22"/>
        </w:rPr>
        <w:t xml:space="preserve"> </w:t>
      </w:r>
      <w:r w:rsidR="00BE0291" w:rsidRPr="008C6B81">
        <w:rPr>
          <w:i/>
          <w:iCs/>
          <w:sz w:val="18"/>
          <w:szCs w:val="22"/>
        </w:rPr>
        <w:t>El Tiempo</w:t>
      </w:r>
      <w:r w:rsidR="00BE0291" w:rsidRPr="008C6B81">
        <w:rPr>
          <w:sz w:val="18"/>
          <w:szCs w:val="22"/>
        </w:rPr>
        <w:t>, 18 de junio del 2026</w:t>
      </w:r>
      <w:r w:rsidRPr="008C6B81">
        <w:rPr>
          <w:sz w:val="18"/>
          <w:szCs w:val="22"/>
        </w:rPr>
        <w:t xml:space="preserve"> </w:t>
      </w:r>
      <w:hyperlink r:id="rId47" w:history="1">
        <w:r w:rsidR="00BE0291" w:rsidRPr="008C6B81">
          <w:rPr>
            <w:rStyle w:val="Hipervnculo"/>
            <w:sz w:val="18"/>
            <w:szCs w:val="22"/>
          </w:rPr>
          <w:t>https://www.eltiempo.com/amp/salud/el-mecanismo-que-podria-ayudar-a-que-el-invima-reduzca-hasta-en-un-90-los-costos-asociados-a-la-evaluacion-de-medicamentos-innovadores-en-colombia-3565327</w:t>
        </w:r>
      </w:hyperlink>
    </w:p>
    <w:p w14:paraId="21B5533C" w14:textId="77777777" w:rsidR="00BE0291" w:rsidRDefault="00BE0291" w:rsidP="005C7FDC"/>
    <w:p w14:paraId="0A891B3E" w14:textId="1FD4701C" w:rsidR="005A4DC0" w:rsidRDefault="0037439A" w:rsidP="0037439A">
      <w:r w:rsidRPr="00A801A3">
        <w:rPr>
          <w:b/>
          <w:bCs/>
        </w:rPr>
        <w:t>Comentario de Salud y Fármacos:</w:t>
      </w:r>
      <w:r w:rsidR="002E1C54">
        <w:t xml:space="preserve"> </w:t>
      </w:r>
      <w:r w:rsidR="00547DEE">
        <w:t>Según l</w:t>
      </w:r>
      <w:r w:rsidR="002E1C54">
        <w:t>a OPS</w:t>
      </w:r>
      <w:r w:rsidR="00547DEE">
        <w:t>:</w:t>
      </w:r>
      <w:r w:rsidR="00A801A3">
        <w:rPr>
          <w:i/>
          <w:iCs/>
        </w:rPr>
        <w:t xml:space="preserve"> </w:t>
      </w:r>
      <w:r w:rsidR="00547DEE">
        <w:rPr>
          <w:i/>
          <w:iCs/>
        </w:rPr>
        <w:t>¨</w:t>
      </w:r>
      <w:r w:rsidR="00547DEE" w:rsidRPr="00547DEE">
        <w:rPr>
          <w:i/>
          <w:iCs/>
        </w:rPr>
        <w:t xml:space="preserve">La </w:t>
      </w:r>
      <w:proofErr w:type="spellStart"/>
      <w:r w:rsidR="00547DEE" w:rsidRPr="00547DEE">
        <w:rPr>
          <w:i/>
          <w:iCs/>
        </w:rPr>
        <w:t>utilización</w:t>
      </w:r>
      <w:proofErr w:type="spellEnd"/>
      <w:r w:rsidR="00547DEE" w:rsidRPr="00547DEE">
        <w:rPr>
          <w:i/>
          <w:iCs/>
        </w:rPr>
        <w:t xml:space="preserve"> de decisiones de autoridades regulatorias de otras jurisdicciones (</w:t>
      </w:r>
      <w:proofErr w:type="spellStart"/>
      <w:r w:rsidR="00547DEE" w:rsidRPr="00547DEE">
        <w:rPr>
          <w:i/>
          <w:iCs/>
        </w:rPr>
        <w:t>regulatory</w:t>
      </w:r>
      <w:proofErr w:type="spellEnd"/>
      <w:r w:rsidR="00547DEE" w:rsidRPr="00547DEE">
        <w:rPr>
          <w:i/>
          <w:iCs/>
        </w:rPr>
        <w:t xml:space="preserve"> </w:t>
      </w:r>
      <w:proofErr w:type="spellStart"/>
      <w:r w:rsidR="00547DEE" w:rsidRPr="00547DEE">
        <w:rPr>
          <w:i/>
          <w:iCs/>
        </w:rPr>
        <w:t>reliance</w:t>
      </w:r>
      <w:proofErr w:type="spellEnd"/>
      <w:r w:rsidR="00547DEE" w:rsidRPr="00547DEE">
        <w:rPr>
          <w:i/>
          <w:iCs/>
        </w:rPr>
        <w:t xml:space="preserve">, por su </w:t>
      </w:r>
      <w:proofErr w:type="spellStart"/>
      <w:r w:rsidR="00547DEE" w:rsidRPr="00547DEE">
        <w:rPr>
          <w:i/>
          <w:iCs/>
        </w:rPr>
        <w:t>denominación</w:t>
      </w:r>
      <w:proofErr w:type="spellEnd"/>
      <w:r w:rsidR="00547DEE" w:rsidRPr="00547DEE">
        <w:rPr>
          <w:i/>
          <w:iCs/>
        </w:rPr>
        <w:t xml:space="preserve"> en </w:t>
      </w:r>
      <w:proofErr w:type="spellStart"/>
      <w:r w:rsidR="00547DEE" w:rsidRPr="00547DEE">
        <w:rPr>
          <w:i/>
          <w:iCs/>
        </w:rPr>
        <w:t>inglés</w:t>
      </w:r>
      <w:proofErr w:type="spellEnd"/>
      <w:r w:rsidR="00547DEE" w:rsidRPr="00547DEE">
        <w:rPr>
          <w:i/>
          <w:iCs/>
        </w:rPr>
        <w:t xml:space="preserve">) es una eficiencia </w:t>
      </w:r>
      <w:proofErr w:type="spellStart"/>
      <w:r w:rsidR="00547DEE" w:rsidRPr="00547DEE">
        <w:rPr>
          <w:i/>
          <w:iCs/>
        </w:rPr>
        <w:t>crítica</w:t>
      </w:r>
      <w:proofErr w:type="spellEnd"/>
      <w:r w:rsidR="00547DEE" w:rsidRPr="00547DEE">
        <w:rPr>
          <w:i/>
          <w:iCs/>
        </w:rPr>
        <w:t xml:space="preserve"> de los sistemas regulatorios que puede aplicarse a una variedad de funciones regulatorias en etapas previas y posteriores a la </w:t>
      </w:r>
      <w:proofErr w:type="spellStart"/>
      <w:r w:rsidR="00547DEE" w:rsidRPr="00547DEE">
        <w:rPr>
          <w:i/>
          <w:iCs/>
        </w:rPr>
        <w:t>comercialización</w:t>
      </w:r>
      <w:proofErr w:type="spellEnd"/>
      <w:r w:rsidR="00547DEE" w:rsidRPr="00547DEE">
        <w:rPr>
          <w:i/>
          <w:iCs/>
        </w:rPr>
        <w:t xml:space="preserve"> de un </w:t>
      </w:r>
      <w:r w:rsidR="00547DEE" w:rsidRPr="00547DEE">
        <w:rPr>
          <w:i/>
          <w:iCs/>
        </w:rPr>
        <w:t xml:space="preserve">producto </w:t>
      </w:r>
      <w:proofErr w:type="spellStart"/>
      <w:r w:rsidR="00547DEE" w:rsidRPr="00547DEE">
        <w:rPr>
          <w:i/>
          <w:iCs/>
        </w:rPr>
        <w:t>médico</w:t>
      </w:r>
      <w:proofErr w:type="spellEnd"/>
      <w:r w:rsidR="00547DEE" w:rsidRPr="00547DEE">
        <w:rPr>
          <w:i/>
          <w:iCs/>
        </w:rPr>
        <w:t xml:space="preserve">. Este mecanismo ayuda a reducir la carga de trabajo para que los recursos se puedan priorizar en otras actividades en todos los sistemas regulatorios, indistintamente de su </w:t>
      </w:r>
      <w:proofErr w:type="spellStart"/>
      <w:r w:rsidR="00547DEE" w:rsidRPr="00547DEE">
        <w:rPr>
          <w:i/>
          <w:iCs/>
        </w:rPr>
        <w:t>tamaño</w:t>
      </w:r>
      <w:proofErr w:type="spellEnd"/>
      <w:r w:rsidR="00547DEE" w:rsidRPr="00547DEE">
        <w:rPr>
          <w:i/>
          <w:iCs/>
        </w:rPr>
        <w:t xml:space="preserve"> y/o recursos existentes</w:t>
      </w:r>
      <w:r w:rsidR="00AC3031">
        <w:rPr>
          <w:i/>
          <w:iCs/>
        </w:rPr>
        <w:t xml:space="preserve">¨ </w:t>
      </w:r>
      <w:r w:rsidR="00AC3031" w:rsidRPr="00AC3031">
        <w:t>[1]</w:t>
      </w:r>
      <w:r w:rsidR="00547DEE" w:rsidRPr="00AC3031">
        <w:t>.</w:t>
      </w:r>
      <w:r w:rsidR="002334B2">
        <w:rPr>
          <w:i/>
          <w:iCs/>
        </w:rPr>
        <w:t xml:space="preserve"> </w:t>
      </w:r>
    </w:p>
    <w:p w14:paraId="59FEE44A" w14:textId="77777777" w:rsidR="002E1C54" w:rsidRDefault="002E1C54" w:rsidP="002E1C54">
      <w:pPr>
        <w:rPr>
          <w:rFonts w:cs="Times New Roman"/>
          <w:szCs w:val="20"/>
        </w:rPr>
      </w:pPr>
    </w:p>
    <w:p w14:paraId="24B17D90" w14:textId="5BFFCDFD" w:rsidR="00716DDF" w:rsidRDefault="00BB1DC0" w:rsidP="00BB1DC0">
      <w:pPr>
        <w:rPr>
          <w:rFonts w:cs="Times New Roman"/>
          <w:b/>
          <w:bCs/>
          <w:szCs w:val="20"/>
        </w:rPr>
      </w:pPr>
      <w:r w:rsidRPr="00BB1DC0">
        <w:rPr>
          <w:rFonts w:cs="Times New Roman"/>
          <w:szCs w:val="20"/>
        </w:rPr>
        <w:t xml:space="preserve">En el marco del </w:t>
      </w:r>
      <w:r w:rsidR="001E57F5">
        <w:rPr>
          <w:rFonts w:cs="Times New Roman"/>
          <w:szCs w:val="20"/>
        </w:rPr>
        <w:t xml:space="preserve">Primer </w:t>
      </w:r>
      <w:r w:rsidRPr="00BB1DC0">
        <w:rPr>
          <w:rFonts w:cs="Times New Roman"/>
          <w:szCs w:val="20"/>
        </w:rPr>
        <w:t xml:space="preserve">ciclo de conferencias sobre </w:t>
      </w:r>
      <w:r w:rsidR="00675EA0">
        <w:rPr>
          <w:rFonts w:cs="Times New Roman"/>
          <w:szCs w:val="20"/>
        </w:rPr>
        <w:t xml:space="preserve">los </w:t>
      </w:r>
      <w:r w:rsidRPr="00BB1DC0">
        <w:rPr>
          <w:rFonts w:cs="Times New Roman"/>
          <w:szCs w:val="20"/>
        </w:rPr>
        <w:t xml:space="preserve">determinantes socioeconómicos del acceso a los medicamentos en América Latina organizado por Salud y Fármacos </w:t>
      </w:r>
      <w:r w:rsidR="001E57F5">
        <w:rPr>
          <w:rFonts w:cs="Times New Roman"/>
          <w:szCs w:val="20"/>
        </w:rPr>
        <w:t>en 2026</w:t>
      </w:r>
      <w:r w:rsidR="00267512">
        <w:rPr>
          <w:rFonts w:cs="Times New Roman"/>
          <w:szCs w:val="20"/>
        </w:rPr>
        <w:t>,</w:t>
      </w:r>
      <w:r w:rsidR="001E57F5">
        <w:rPr>
          <w:rFonts w:cs="Times New Roman"/>
          <w:szCs w:val="20"/>
        </w:rPr>
        <w:t xml:space="preserve"> </w:t>
      </w:r>
      <w:r w:rsidRPr="00BB1DC0">
        <w:rPr>
          <w:rFonts w:cs="Times New Roman"/>
          <w:szCs w:val="20"/>
        </w:rPr>
        <w:t>con la colaboración de múltiples expertos internacionales, el Doctor</w:t>
      </w:r>
      <w:r>
        <w:rPr>
          <w:rFonts w:cs="Times New Roman"/>
          <w:b/>
          <w:bCs/>
          <w:szCs w:val="20"/>
        </w:rPr>
        <w:t xml:space="preserve"> </w:t>
      </w:r>
      <w:r w:rsidRPr="00DA2803">
        <w:rPr>
          <w:rFonts w:cs="Times New Roman"/>
          <w:szCs w:val="20"/>
        </w:rPr>
        <w:t>Carlos Durán, médico</w:t>
      </w:r>
      <w:r w:rsidR="00675EA0">
        <w:rPr>
          <w:rFonts w:cs="Times New Roman"/>
          <w:szCs w:val="20"/>
        </w:rPr>
        <w:t>, investigador</w:t>
      </w:r>
      <w:r w:rsidRPr="00DA2803">
        <w:rPr>
          <w:rFonts w:cs="Times New Roman"/>
          <w:szCs w:val="20"/>
        </w:rPr>
        <w:t xml:space="preserve"> y exviceministro de salud </w:t>
      </w:r>
      <w:r w:rsidR="00675EA0">
        <w:rPr>
          <w:rFonts w:cs="Times New Roman"/>
          <w:szCs w:val="20"/>
        </w:rPr>
        <w:t xml:space="preserve">y gobernanza </w:t>
      </w:r>
      <w:r w:rsidRPr="00DA2803">
        <w:rPr>
          <w:rFonts w:cs="Times New Roman"/>
          <w:szCs w:val="20"/>
        </w:rPr>
        <w:t xml:space="preserve">de Ecuador, </w:t>
      </w:r>
      <w:r w:rsidR="00267512">
        <w:rPr>
          <w:rFonts w:cs="Times New Roman"/>
          <w:szCs w:val="20"/>
        </w:rPr>
        <w:t xml:space="preserve">habló sobre su </w:t>
      </w:r>
      <w:r w:rsidRPr="00DA2803">
        <w:rPr>
          <w:rFonts w:cs="Times New Roman"/>
          <w:szCs w:val="20"/>
        </w:rPr>
        <w:t xml:space="preserve">análisis </w:t>
      </w:r>
      <w:r w:rsidR="00267512">
        <w:rPr>
          <w:rFonts w:cs="Times New Roman"/>
          <w:szCs w:val="20"/>
        </w:rPr>
        <w:t xml:space="preserve">de la adopción del </w:t>
      </w:r>
      <w:r w:rsidRPr="00233E7C">
        <w:rPr>
          <w:rFonts w:cs="Times New Roman"/>
          <w:i/>
          <w:iCs/>
          <w:szCs w:val="20"/>
        </w:rPr>
        <w:t>"</w:t>
      </w:r>
      <w:proofErr w:type="spellStart"/>
      <w:r w:rsidRPr="00233E7C">
        <w:rPr>
          <w:rFonts w:cs="Times New Roman"/>
          <w:i/>
          <w:iCs/>
          <w:szCs w:val="20"/>
        </w:rPr>
        <w:t>Reliance</w:t>
      </w:r>
      <w:proofErr w:type="spellEnd"/>
      <w:r w:rsidRPr="00233E7C">
        <w:rPr>
          <w:rFonts w:cs="Times New Roman"/>
          <w:i/>
          <w:iCs/>
          <w:szCs w:val="20"/>
        </w:rPr>
        <w:t xml:space="preserve"> regulatorio"</w:t>
      </w:r>
      <w:r w:rsidRPr="00DA2803">
        <w:rPr>
          <w:rFonts w:cs="Times New Roman"/>
          <w:szCs w:val="20"/>
        </w:rPr>
        <w:t xml:space="preserve"> </w:t>
      </w:r>
      <w:r w:rsidR="00267512">
        <w:rPr>
          <w:rFonts w:cs="Times New Roman"/>
          <w:szCs w:val="20"/>
        </w:rPr>
        <w:t>en</w:t>
      </w:r>
      <w:r w:rsidRPr="00DA2803">
        <w:rPr>
          <w:rFonts w:cs="Times New Roman"/>
          <w:szCs w:val="20"/>
        </w:rPr>
        <w:t xml:space="preserve"> América Latina </w:t>
      </w:r>
      <w:r w:rsidR="00267512">
        <w:rPr>
          <w:rFonts w:cs="Times New Roman"/>
          <w:szCs w:val="20"/>
        </w:rPr>
        <w:t>[2]</w:t>
      </w:r>
      <w:r w:rsidR="00325259">
        <w:rPr>
          <w:rFonts w:cs="Times New Roman"/>
          <w:szCs w:val="20"/>
        </w:rPr>
        <w:t xml:space="preserve">. </w:t>
      </w:r>
    </w:p>
    <w:p w14:paraId="6FAF8418" w14:textId="1AACFFFC" w:rsidR="00716DDF" w:rsidRDefault="00716DDF" w:rsidP="002E1C54">
      <w:pPr>
        <w:rPr>
          <w:rFonts w:cs="Times New Roman"/>
          <w:szCs w:val="20"/>
        </w:rPr>
      </w:pPr>
    </w:p>
    <w:p w14:paraId="689F92E9" w14:textId="36486B10" w:rsidR="002E1C54" w:rsidRDefault="00325259" w:rsidP="002E1C54">
      <w:pPr>
        <w:rPr>
          <w:rFonts w:cs="Times New Roman"/>
          <w:szCs w:val="20"/>
        </w:rPr>
      </w:pPr>
      <w:r>
        <w:rPr>
          <w:rFonts w:cs="Times New Roman"/>
          <w:szCs w:val="20"/>
        </w:rPr>
        <w:t>Durán mencionó que l</w:t>
      </w:r>
      <w:r w:rsidR="002E1C54">
        <w:rPr>
          <w:rFonts w:cs="Times New Roman"/>
          <w:szCs w:val="20"/>
        </w:rPr>
        <w:t>a agencia reguladora nacional qu</w:t>
      </w:r>
      <w:r w:rsidR="00267512">
        <w:rPr>
          <w:rFonts w:cs="Times New Roman"/>
          <w:szCs w:val="20"/>
        </w:rPr>
        <w:t xml:space="preserve">e toma </w:t>
      </w:r>
      <w:r w:rsidR="002E1C54">
        <w:rPr>
          <w:rFonts w:cs="Times New Roman"/>
          <w:szCs w:val="20"/>
        </w:rPr>
        <w:t xml:space="preserve">decisiones </w:t>
      </w:r>
      <w:r w:rsidR="00267512">
        <w:rPr>
          <w:rFonts w:cs="Times New Roman"/>
          <w:szCs w:val="20"/>
        </w:rPr>
        <w:t>en</w:t>
      </w:r>
      <w:r w:rsidR="002E1C54">
        <w:rPr>
          <w:rFonts w:cs="Times New Roman"/>
          <w:szCs w:val="20"/>
        </w:rPr>
        <w:t xml:space="preserve"> base </w:t>
      </w:r>
      <w:r w:rsidR="00267512">
        <w:rPr>
          <w:rFonts w:cs="Times New Roman"/>
          <w:szCs w:val="20"/>
        </w:rPr>
        <w:t>a</w:t>
      </w:r>
      <w:r w:rsidR="002E1C54">
        <w:rPr>
          <w:rFonts w:cs="Times New Roman"/>
          <w:szCs w:val="20"/>
        </w:rPr>
        <w:t xml:space="preserve"> la confianza que deposita en un tercero s</w:t>
      </w:r>
      <w:r w:rsidR="00267512">
        <w:rPr>
          <w:rFonts w:cs="Times New Roman"/>
          <w:szCs w:val="20"/>
        </w:rPr>
        <w:t>igue siendo</w:t>
      </w:r>
      <w:r w:rsidR="002E1C54">
        <w:rPr>
          <w:rFonts w:cs="Times New Roman"/>
          <w:szCs w:val="20"/>
        </w:rPr>
        <w:t xml:space="preserve"> responsable de sus decisiones y debe rendir cuenta de ellas. En principio, la autoridad reguladora de la otra jurisdicción </w:t>
      </w:r>
      <w:r w:rsidR="00267512">
        <w:rPr>
          <w:rFonts w:cs="Times New Roman"/>
          <w:szCs w:val="20"/>
        </w:rPr>
        <w:t>debería haber</w:t>
      </w:r>
      <w:r w:rsidR="002E1C54">
        <w:rPr>
          <w:rFonts w:cs="Times New Roman"/>
          <w:szCs w:val="20"/>
        </w:rPr>
        <w:t xml:space="preserve"> alcanzado niveles superiores de madurez o </w:t>
      </w:r>
      <w:r w:rsidR="000F44CC">
        <w:rPr>
          <w:rFonts w:cs="Times New Roman"/>
          <w:szCs w:val="20"/>
        </w:rPr>
        <w:t xml:space="preserve">de </w:t>
      </w:r>
      <w:r w:rsidR="002E1C54">
        <w:rPr>
          <w:rFonts w:cs="Times New Roman"/>
          <w:szCs w:val="20"/>
        </w:rPr>
        <w:t>reconocimiento internacional</w:t>
      </w:r>
      <w:r w:rsidR="00267512">
        <w:rPr>
          <w:rFonts w:cs="Times New Roman"/>
          <w:szCs w:val="20"/>
        </w:rPr>
        <w:t xml:space="preserve">, y por eso </w:t>
      </w:r>
      <w:r w:rsidR="002E1C54">
        <w:rPr>
          <w:rFonts w:cs="Times New Roman"/>
          <w:szCs w:val="20"/>
        </w:rPr>
        <w:t xml:space="preserve">se justifica la confianza que </w:t>
      </w:r>
      <w:r w:rsidR="00267512">
        <w:rPr>
          <w:rFonts w:cs="Times New Roman"/>
          <w:szCs w:val="20"/>
        </w:rPr>
        <w:t xml:space="preserve">en ella </w:t>
      </w:r>
      <w:r w:rsidR="002E1C54">
        <w:rPr>
          <w:rFonts w:cs="Times New Roman"/>
          <w:szCs w:val="20"/>
        </w:rPr>
        <w:t>deposita</w:t>
      </w:r>
      <w:r w:rsidR="000F44CC">
        <w:rPr>
          <w:rFonts w:cs="Times New Roman"/>
          <w:szCs w:val="20"/>
        </w:rPr>
        <w:t>n</w:t>
      </w:r>
      <w:r w:rsidR="002E1C54">
        <w:rPr>
          <w:rFonts w:cs="Times New Roman"/>
          <w:szCs w:val="20"/>
        </w:rPr>
        <w:t xml:space="preserve"> </w:t>
      </w:r>
      <w:r w:rsidR="00267512">
        <w:rPr>
          <w:rFonts w:cs="Times New Roman"/>
          <w:szCs w:val="20"/>
        </w:rPr>
        <w:t>otras</w:t>
      </w:r>
      <w:r w:rsidR="002E1C54">
        <w:rPr>
          <w:rFonts w:cs="Times New Roman"/>
          <w:szCs w:val="20"/>
        </w:rPr>
        <w:t xml:space="preserve"> autoridad</w:t>
      </w:r>
      <w:r w:rsidR="000F44CC">
        <w:rPr>
          <w:rFonts w:cs="Times New Roman"/>
          <w:szCs w:val="20"/>
        </w:rPr>
        <w:t>es</w:t>
      </w:r>
      <w:r w:rsidR="002E1C54">
        <w:rPr>
          <w:rFonts w:cs="Times New Roman"/>
          <w:szCs w:val="20"/>
        </w:rPr>
        <w:t xml:space="preserve"> </w:t>
      </w:r>
      <w:r w:rsidR="00267512">
        <w:rPr>
          <w:rFonts w:cs="Times New Roman"/>
          <w:szCs w:val="20"/>
        </w:rPr>
        <w:t>nacionales</w:t>
      </w:r>
      <w:r w:rsidR="000F44CC">
        <w:rPr>
          <w:rFonts w:cs="Times New Roman"/>
          <w:szCs w:val="20"/>
        </w:rPr>
        <w:t>.</w:t>
      </w:r>
    </w:p>
    <w:p w14:paraId="67F32BB1" w14:textId="77777777" w:rsidR="000F44CC" w:rsidRDefault="000F44CC" w:rsidP="002E1C54">
      <w:pPr>
        <w:rPr>
          <w:rFonts w:cs="Times New Roman"/>
          <w:szCs w:val="20"/>
        </w:rPr>
      </w:pPr>
    </w:p>
    <w:p w14:paraId="79BE1CAE" w14:textId="34A3578B" w:rsidR="00AC3031" w:rsidRDefault="002E1C54" w:rsidP="002E1C54">
      <w:pPr>
        <w:rPr>
          <w:rFonts w:cs="Times New Roman"/>
          <w:szCs w:val="20"/>
        </w:rPr>
      </w:pPr>
      <w:r w:rsidRPr="00DA2803">
        <w:rPr>
          <w:rFonts w:cs="Times New Roman"/>
          <w:szCs w:val="20"/>
        </w:rPr>
        <w:t xml:space="preserve">Durán </w:t>
      </w:r>
      <w:r w:rsidR="000F44CC">
        <w:rPr>
          <w:rFonts w:cs="Times New Roman"/>
          <w:szCs w:val="20"/>
        </w:rPr>
        <w:t>explic</w:t>
      </w:r>
      <w:r>
        <w:rPr>
          <w:rFonts w:cs="Times New Roman"/>
          <w:szCs w:val="20"/>
        </w:rPr>
        <w:t>ó que en América Latina también se utilizó durante varios años el término: ¨Homologación de registros sanitarios¨ que, según la OPS, es la demostración de máxima confianza</w:t>
      </w:r>
      <w:r w:rsidR="00267512">
        <w:rPr>
          <w:rFonts w:cs="Times New Roman"/>
          <w:szCs w:val="20"/>
        </w:rPr>
        <w:t>,</w:t>
      </w:r>
      <w:r>
        <w:rPr>
          <w:rFonts w:cs="Times New Roman"/>
          <w:szCs w:val="20"/>
        </w:rPr>
        <w:t xml:space="preserve"> y por ende es la máxima expresión de </w:t>
      </w:r>
      <w:proofErr w:type="spellStart"/>
      <w:r w:rsidRPr="00536B53">
        <w:rPr>
          <w:rFonts w:cs="Times New Roman"/>
          <w:i/>
          <w:iCs/>
          <w:szCs w:val="20"/>
        </w:rPr>
        <w:t>Reliance</w:t>
      </w:r>
      <w:proofErr w:type="spellEnd"/>
      <w:r w:rsidRPr="00536B53">
        <w:rPr>
          <w:rFonts w:cs="Times New Roman"/>
          <w:i/>
          <w:iCs/>
          <w:szCs w:val="20"/>
        </w:rPr>
        <w:t xml:space="preserve"> regulatorio</w:t>
      </w:r>
      <w:r>
        <w:rPr>
          <w:rFonts w:cs="Times New Roman"/>
          <w:szCs w:val="20"/>
        </w:rPr>
        <w:t>.</w:t>
      </w:r>
    </w:p>
    <w:p w14:paraId="4CD3F3CC" w14:textId="4B8A2F91" w:rsidR="002E1C54" w:rsidRDefault="002E1C54" w:rsidP="002E1C54">
      <w:pPr>
        <w:rPr>
          <w:rFonts w:cs="Times New Roman"/>
          <w:szCs w:val="20"/>
        </w:rPr>
      </w:pPr>
    </w:p>
    <w:p w14:paraId="7A3CBC50" w14:textId="139D4080" w:rsidR="002E1C54" w:rsidRDefault="000F44CC" w:rsidP="002E1C54">
      <w:pPr>
        <w:rPr>
          <w:rFonts w:cs="Times New Roman"/>
          <w:szCs w:val="20"/>
        </w:rPr>
      </w:pPr>
      <w:r>
        <w:rPr>
          <w:rFonts w:cs="Times New Roman"/>
          <w:szCs w:val="20"/>
        </w:rPr>
        <w:t>U</w:t>
      </w:r>
      <w:r w:rsidR="002E1C54" w:rsidRPr="00DA2803">
        <w:rPr>
          <w:rFonts w:cs="Times New Roman"/>
          <w:szCs w:val="20"/>
        </w:rPr>
        <w:t xml:space="preserve">n estudio </w:t>
      </w:r>
      <w:r>
        <w:rPr>
          <w:rFonts w:cs="Times New Roman"/>
          <w:szCs w:val="20"/>
        </w:rPr>
        <w:t>en el que participó el Dr. Durán,</w:t>
      </w:r>
      <w:r w:rsidR="002E1C54">
        <w:rPr>
          <w:rFonts w:cs="Times New Roman"/>
          <w:szCs w:val="20"/>
        </w:rPr>
        <w:t xml:space="preserve"> </w:t>
      </w:r>
      <w:r w:rsidR="002E1C54" w:rsidRPr="00DA2803">
        <w:rPr>
          <w:rFonts w:cs="Times New Roman"/>
          <w:szCs w:val="20"/>
        </w:rPr>
        <w:t>public</w:t>
      </w:r>
      <w:r>
        <w:rPr>
          <w:rFonts w:cs="Times New Roman"/>
          <w:szCs w:val="20"/>
        </w:rPr>
        <w:t>ado</w:t>
      </w:r>
      <w:r w:rsidR="002E1C54" w:rsidRPr="00DA2803">
        <w:rPr>
          <w:rFonts w:cs="Times New Roman"/>
          <w:szCs w:val="20"/>
        </w:rPr>
        <w:t xml:space="preserve"> en la revista Panamericana de Salud Pública </w:t>
      </w:r>
      <w:r w:rsidR="002E1C54">
        <w:rPr>
          <w:rFonts w:cs="Times New Roman"/>
          <w:szCs w:val="20"/>
        </w:rPr>
        <w:t xml:space="preserve">(Durán et al, 2021: </w:t>
      </w:r>
      <w:proofErr w:type="spellStart"/>
      <w:r w:rsidR="002E1C54" w:rsidRPr="00233E7C">
        <w:rPr>
          <w:rFonts w:cs="Times New Roman"/>
          <w:i/>
          <w:iCs/>
          <w:szCs w:val="20"/>
        </w:rPr>
        <w:t>Regulatory</w:t>
      </w:r>
      <w:proofErr w:type="spellEnd"/>
      <w:r w:rsidR="002E1C54" w:rsidRPr="00233E7C">
        <w:rPr>
          <w:rFonts w:cs="Times New Roman"/>
          <w:i/>
          <w:iCs/>
          <w:szCs w:val="20"/>
        </w:rPr>
        <w:t xml:space="preserve"> </w:t>
      </w:r>
      <w:proofErr w:type="spellStart"/>
      <w:r w:rsidR="002E1C54" w:rsidRPr="00233E7C">
        <w:rPr>
          <w:rFonts w:cs="Times New Roman"/>
          <w:i/>
          <w:iCs/>
          <w:szCs w:val="20"/>
        </w:rPr>
        <w:t>reliance</w:t>
      </w:r>
      <w:proofErr w:type="spellEnd"/>
      <w:r w:rsidR="002E1C54" w:rsidRPr="00233E7C">
        <w:rPr>
          <w:rFonts w:cs="Times New Roman"/>
          <w:i/>
          <w:iCs/>
          <w:szCs w:val="20"/>
        </w:rPr>
        <w:t xml:space="preserve"> </w:t>
      </w:r>
      <w:proofErr w:type="spellStart"/>
      <w:r w:rsidR="002E1C54" w:rsidRPr="00233E7C">
        <w:rPr>
          <w:rFonts w:cs="Times New Roman"/>
          <w:i/>
          <w:iCs/>
          <w:szCs w:val="20"/>
        </w:rPr>
        <w:t>to</w:t>
      </w:r>
      <w:proofErr w:type="spellEnd"/>
      <w:r w:rsidR="002E1C54" w:rsidRPr="00233E7C">
        <w:rPr>
          <w:rFonts w:cs="Times New Roman"/>
          <w:i/>
          <w:iCs/>
          <w:szCs w:val="20"/>
        </w:rPr>
        <w:t xml:space="preserve"> </w:t>
      </w:r>
      <w:proofErr w:type="spellStart"/>
      <w:r w:rsidR="002E1C54" w:rsidRPr="00233E7C">
        <w:rPr>
          <w:rFonts w:cs="Times New Roman"/>
          <w:i/>
          <w:iCs/>
          <w:szCs w:val="20"/>
        </w:rPr>
        <w:t>approve</w:t>
      </w:r>
      <w:proofErr w:type="spellEnd"/>
      <w:r w:rsidR="002E1C54" w:rsidRPr="00233E7C">
        <w:rPr>
          <w:rFonts w:cs="Times New Roman"/>
          <w:i/>
          <w:iCs/>
          <w:szCs w:val="20"/>
        </w:rPr>
        <w:t xml:space="preserve"> new medicinal </w:t>
      </w:r>
      <w:proofErr w:type="spellStart"/>
      <w:r w:rsidR="002E1C54" w:rsidRPr="00233E7C">
        <w:rPr>
          <w:rFonts w:cs="Times New Roman"/>
          <w:i/>
          <w:iCs/>
          <w:szCs w:val="20"/>
        </w:rPr>
        <w:t>products</w:t>
      </w:r>
      <w:proofErr w:type="spellEnd"/>
      <w:r w:rsidR="002E1C54" w:rsidRPr="00233E7C">
        <w:rPr>
          <w:rFonts w:cs="Times New Roman"/>
          <w:i/>
          <w:iCs/>
          <w:szCs w:val="20"/>
        </w:rPr>
        <w:t xml:space="preserve"> in </w:t>
      </w:r>
      <w:proofErr w:type="spellStart"/>
      <w:r w:rsidR="002E1C54" w:rsidRPr="00233E7C">
        <w:rPr>
          <w:rFonts w:cs="Times New Roman"/>
          <w:i/>
          <w:iCs/>
          <w:szCs w:val="20"/>
        </w:rPr>
        <w:t>Latin</w:t>
      </w:r>
      <w:proofErr w:type="spellEnd"/>
      <w:r w:rsidR="002E1C54" w:rsidRPr="00233E7C">
        <w:rPr>
          <w:rFonts w:cs="Times New Roman"/>
          <w:i/>
          <w:iCs/>
          <w:szCs w:val="20"/>
        </w:rPr>
        <w:t xml:space="preserve"> American and </w:t>
      </w:r>
      <w:proofErr w:type="spellStart"/>
      <w:r w:rsidR="002E1C54" w:rsidRPr="00233E7C">
        <w:rPr>
          <w:rFonts w:cs="Times New Roman"/>
          <w:i/>
          <w:iCs/>
          <w:szCs w:val="20"/>
        </w:rPr>
        <w:t>Caribbean</w:t>
      </w:r>
      <w:proofErr w:type="spellEnd"/>
      <w:r w:rsidR="002E1C54" w:rsidRPr="00233E7C">
        <w:rPr>
          <w:rFonts w:cs="Times New Roman"/>
          <w:i/>
          <w:iCs/>
          <w:szCs w:val="20"/>
        </w:rPr>
        <w:t xml:space="preserve"> </w:t>
      </w:r>
      <w:proofErr w:type="spellStart"/>
      <w:r w:rsidR="002E1C54" w:rsidRPr="00233E7C">
        <w:rPr>
          <w:rFonts w:cs="Times New Roman"/>
          <w:i/>
          <w:iCs/>
          <w:szCs w:val="20"/>
        </w:rPr>
        <w:t>countries</w:t>
      </w:r>
      <w:proofErr w:type="spellEnd"/>
      <w:r w:rsidR="002E1C54">
        <w:rPr>
          <w:rFonts w:cs="Times New Roman"/>
          <w:szCs w:val="20"/>
        </w:rPr>
        <w:t xml:space="preserve">), </w:t>
      </w:r>
      <w:r w:rsidR="002E1C54" w:rsidRPr="00DA2803">
        <w:rPr>
          <w:rFonts w:cs="Times New Roman"/>
          <w:szCs w:val="20"/>
        </w:rPr>
        <w:t>identific</w:t>
      </w:r>
      <w:r w:rsidR="00267512">
        <w:rPr>
          <w:rFonts w:cs="Times New Roman"/>
          <w:szCs w:val="20"/>
        </w:rPr>
        <w:t>ó a</w:t>
      </w:r>
      <w:r w:rsidR="002E1C54" w:rsidRPr="00DA2803">
        <w:rPr>
          <w:rFonts w:cs="Times New Roman"/>
          <w:szCs w:val="20"/>
        </w:rPr>
        <w:t xml:space="preserve"> </w:t>
      </w:r>
      <w:r w:rsidR="002E1C54">
        <w:rPr>
          <w:rFonts w:cs="Times New Roman"/>
          <w:szCs w:val="20"/>
        </w:rPr>
        <w:t>l</w:t>
      </w:r>
      <w:r w:rsidR="002E1C54" w:rsidRPr="00DA2803">
        <w:rPr>
          <w:rFonts w:cs="Times New Roman"/>
          <w:szCs w:val="20"/>
        </w:rPr>
        <w:t xml:space="preserve">os países </w:t>
      </w:r>
      <w:r w:rsidR="002E1C54">
        <w:rPr>
          <w:rFonts w:cs="Times New Roman"/>
          <w:szCs w:val="20"/>
        </w:rPr>
        <w:t>d</w:t>
      </w:r>
      <w:r w:rsidR="002E1C54" w:rsidRPr="00DA2803">
        <w:rPr>
          <w:rFonts w:cs="Times New Roman"/>
          <w:szCs w:val="20"/>
        </w:rPr>
        <w:t xml:space="preserve">e América Latina </w:t>
      </w:r>
      <w:r w:rsidR="002E1C54">
        <w:rPr>
          <w:rFonts w:cs="Times New Roman"/>
          <w:szCs w:val="20"/>
        </w:rPr>
        <w:t xml:space="preserve">y El Caribe que </w:t>
      </w:r>
      <w:r w:rsidR="002E1C54" w:rsidRPr="00DA2803">
        <w:rPr>
          <w:rFonts w:cs="Times New Roman"/>
          <w:szCs w:val="20"/>
        </w:rPr>
        <w:t xml:space="preserve">han modificado su legislación para aceptar este mecanismo de </w:t>
      </w:r>
      <w:proofErr w:type="spellStart"/>
      <w:r w:rsidR="002E1C54">
        <w:rPr>
          <w:rFonts w:cs="Times New Roman"/>
          <w:i/>
          <w:iCs/>
          <w:szCs w:val="20"/>
        </w:rPr>
        <w:t>R</w:t>
      </w:r>
      <w:r w:rsidR="002E1C54" w:rsidRPr="005F6A12">
        <w:rPr>
          <w:rFonts w:cs="Times New Roman"/>
          <w:i/>
          <w:iCs/>
          <w:szCs w:val="20"/>
        </w:rPr>
        <w:t>eliance</w:t>
      </w:r>
      <w:proofErr w:type="spellEnd"/>
      <w:r w:rsidR="002E1C54">
        <w:rPr>
          <w:rFonts w:cs="Times New Roman"/>
          <w:szCs w:val="20"/>
        </w:rPr>
        <w:t xml:space="preserve"> dentro de sus guías de trabajo </w:t>
      </w:r>
      <w:r w:rsidR="00267512">
        <w:rPr>
          <w:rFonts w:cs="Times New Roman"/>
          <w:szCs w:val="20"/>
        </w:rPr>
        <w:t>para la</w:t>
      </w:r>
      <w:r w:rsidR="002E1C54">
        <w:rPr>
          <w:rFonts w:cs="Times New Roman"/>
          <w:szCs w:val="20"/>
        </w:rPr>
        <w:t xml:space="preserve"> aprobación de nuevos productos,</w:t>
      </w:r>
      <w:r w:rsidR="002E1C54" w:rsidRPr="00DA2803">
        <w:rPr>
          <w:rFonts w:cs="Times New Roman"/>
          <w:szCs w:val="20"/>
        </w:rPr>
        <w:t xml:space="preserve"> mostrando ejemplos como </w:t>
      </w:r>
      <w:r w:rsidR="002E1C54">
        <w:rPr>
          <w:rFonts w:cs="Times New Roman"/>
          <w:szCs w:val="20"/>
        </w:rPr>
        <w:t xml:space="preserve">el de </w:t>
      </w:r>
      <w:r w:rsidR="002E1C54" w:rsidRPr="00DA2803">
        <w:rPr>
          <w:rFonts w:cs="Times New Roman"/>
          <w:szCs w:val="20"/>
        </w:rPr>
        <w:t xml:space="preserve">México </w:t>
      </w:r>
      <w:r w:rsidR="002E1C54">
        <w:rPr>
          <w:rFonts w:cs="Times New Roman"/>
          <w:szCs w:val="20"/>
        </w:rPr>
        <w:t xml:space="preserve">(Ver Figura 1, flecha verde), </w:t>
      </w:r>
      <w:r w:rsidR="002E1C54" w:rsidRPr="00DA2803">
        <w:rPr>
          <w:rFonts w:cs="Times New Roman"/>
          <w:szCs w:val="20"/>
        </w:rPr>
        <w:t xml:space="preserve">que confía </w:t>
      </w:r>
      <w:r w:rsidR="002E1C54">
        <w:rPr>
          <w:rFonts w:cs="Times New Roman"/>
          <w:szCs w:val="20"/>
        </w:rPr>
        <w:t xml:space="preserve">y adopta las </w:t>
      </w:r>
      <w:r w:rsidR="002E1C54" w:rsidRPr="00DA2803">
        <w:rPr>
          <w:rFonts w:cs="Times New Roman"/>
          <w:szCs w:val="20"/>
        </w:rPr>
        <w:t xml:space="preserve">decisiones de </w:t>
      </w:r>
      <w:r w:rsidR="002E1C54">
        <w:rPr>
          <w:rFonts w:cs="Times New Roman"/>
          <w:szCs w:val="20"/>
        </w:rPr>
        <w:t xml:space="preserve">cinco agencias internacionales: </w:t>
      </w:r>
      <w:r w:rsidR="002E1C54" w:rsidRPr="00DA2803">
        <w:rPr>
          <w:rFonts w:cs="Times New Roman"/>
          <w:szCs w:val="20"/>
        </w:rPr>
        <w:t xml:space="preserve">la FDA, </w:t>
      </w:r>
      <w:r w:rsidR="002E1C54">
        <w:rPr>
          <w:rFonts w:cs="Times New Roman"/>
          <w:szCs w:val="20"/>
        </w:rPr>
        <w:t xml:space="preserve">la </w:t>
      </w:r>
      <w:r w:rsidR="002E1C54" w:rsidRPr="00DA2803">
        <w:rPr>
          <w:rFonts w:cs="Times New Roman"/>
          <w:szCs w:val="20"/>
        </w:rPr>
        <w:t xml:space="preserve">EMA, </w:t>
      </w:r>
      <w:proofErr w:type="spellStart"/>
      <w:r w:rsidR="002E1C54">
        <w:rPr>
          <w:rFonts w:cs="Times New Roman"/>
          <w:szCs w:val="20"/>
        </w:rPr>
        <w:t>Health</w:t>
      </w:r>
      <w:proofErr w:type="spellEnd"/>
      <w:r w:rsidR="002E1C54">
        <w:rPr>
          <w:rFonts w:cs="Times New Roman"/>
          <w:szCs w:val="20"/>
        </w:rPr>
        <w:t xml:space="preserve"> </w:t>
      </w:r>
      <w:proofErr w:type="spellStart"/>
      <w:r w:rsidR="002E1C54" w:rsidRPr="00DA2803">
        <w:rPr>
          <w:rFonts w:cs="Times New Roman"/>
          <w:szCs w:val="20"/>
        </w:rPr>
        <w:t>Canad</w:t>
      </w:r>
      <w:r w:rsidR="002E1C54">
        <w:rPr>
          <w:rFonts w:cs="Times New Roman"/>
          <w:szCs w:val="20"/>
        </w:rPr>
        <w:t>a</w:t>
      </w:r>
      <w:proofErr w:type="spellEnd"/>
      <w:r w:rsidR="002E1C54" w:rsidRPr="00DA2803">
        <w:rPr>
          <w:rFonts w:cs="Times New Roman"/>
          <w:szCs w:val="20"/>
        </w:rPr>
        <w:t xml:space="preserve"> </w:t>
      </w:r>
      <w:r w:rsidR="002E1C54">
        <w:rPr>
          <w:rFonts w:cs="Times New Roman"/>
          <w:szCs w:val="20"/>
        </w:rPr>
        <w:t xml:space="preserve">y las autoridades reguladoras de </w:t>
      </w:r>
      <w:r w:rsidR="002E1C54" w:rsidRPr="00DA2803">
        <w:rPr>
          <w:rFonts w:cs="Times New Roman"/>
          <w:szCs w:val="20"/>
        </w:rPr>
        <w:t>Suiza y Australia</w:t>
      </w:r>
      <w:r w:rsidR="002E1C54">
        <w:rPr>
          <w:rFonts w:cs="Times New Roman"/>
          <w:szCs w:val="20"/>
        </w:rPr>
        <w:t>.</w:t>
      </w:r>
    </w:p>
    <w:p w14:paraId="57798AFA" w14:textId="77777777" w:rsidR="00FE22D8" w:rsidRDefault="00FE22D8" w:rsidP="0037439A">
      <w:pPr>
        <w:sectPr w:rsidR="00FE22D8" w:rsidSect="00FE22D8">
          <w:type w:val="continuous"/>
          <w:pgSz w:w="12240" w:h="15840" w:code="1"/>
          <w:pgMar w:top="720" w:right="720" w:bottom="720" w:left="720" w:header="288" w:footer="288" w:gutter="0"/>
          <w:cols w:num="2" w:space="288"/>
          <w:docGrid w:linePitch="360"/>
        </w:sectPr>
      </w:pPr>
    </w:p>
    <w:p w14:paraId="6A82AE6C" w14:textId="77777777" w:rsidR="002A2E6A" w:rsidRDefault="002A2E6A" w:rsidP="001D6D18">
      <w:pPr>
        <w:rPr>
          <w:rFonts w:cs="Times New Roman"/>
          <w:szCs w:val="20"/>
        </w:rPr>
      </w:pPr>
    </w:p>
    <w:p w14:paraId="52E05B00" w14:textId="30924FB3" w:rsidR="0037439A" w:rsidRPr="001E57F5" w:rsidRDefault="00B97DE0" w:rsidP="008C6B81">
      <w:pPr>
        <w:jc w:val="center"/>
        <w:rPr>
          <w:b/>
          <w:bCs/>
        </w:rPr>
      </w:pPr>
      <w:r w:rsidRPr="001E57F5">
        <w:rPr>
          <w:b/>
          <w:bCs/>
        </w:rPr>
        <w:t>Figura 1. Autoridad</w:t>
      </w:r>
      <w:r w:rsidR="001E57F5" w:rsidRPr="001E57F5">
        <w:rPr>
          <w:b/>
          <w:bCs/>
        </w:rPr>
        <w:t>es</w:t>
      </w:r>
      <w:r w:rsidRPr="001E57F5">
        <w:rPr>
          <w:b/>
          <w:bCs/>
        </w:rPr>
        <w:t xml:space="preserve"> reguladora</w:t>
      </w:r>
      <w:r w:rsidR="001E57F5" w:rsidRPr="001E57F5">
        <w:rPr>
          <w:b/>
          <w:bCs/>
        </w:rPr>
        <w:t>s</w:t>
      </w:r>
      <w:r w:rsidRPr="001E57F5">
        <w:rPr>
          <w:b/>
          <w:bCs/>
        </w:rPr>
        <w:t xml:space="preserve"> de referencia (confiable</w:t>
      </w:r>
      <w:r w:rsidR="001E57F5" w:rsidRPr="001E57F5">
        <w:rPr>
          <w:b/>
          <w:bCs/>
        </w:rPr>
        <w:t>s</w:t>
      </w:r>
      <w:r w:rsidRPr="001E57F5">
        <w:rPr>
          <w:b/>
          <w:bCs/>
        </w:rPr>
        <w:t>)</w:t>
      </w:r>
      <w:r w:rsidR="001E57F5" w:rsidRPr="001E57F5">
        <w:rPr>
          <w:b/>
          <w:bCs/>
        </w:rPr>
        <w:t xml:space="preserve"> para países de América Latina y El </w:t>
      </w:r>
      <w:r w:rsidR="001E57F5">
        <w:rPr>
          <w:b/>
          <w:bCs/>
        </w:rPr>
        <w:t>C</w:t>
      </w:r>
      <w:r w:rsidR="001E57F5" w:rsidRPr="001E57F5">
        <w:rPr>
          <w:b/>
          <w:bCs/>
        </w:rPr>
        <w:t>aribe</w:t>
      </w:r>
    </w:p>
    <w:p w14:paraId="29C35834" w14:textId="387A7CF9" w:rsidR="00A1541B" w:rsidRDefault="001541A9" w:rsidP="008C6B81">
      <w:pPr>
        <w:jc w:val="center"/>
      </w:pPr>
      <w:r w:rsidRPr="001541A9">
        <w:drawing>
          <wp:inline distT="0" distB="0" distL="0" distR="0" wp14:anchorId="4E193F10" wp14:editId="67A7FD7F">
            <wp:extent cx="5920197" cy="3028619"/>
            <wp:effectExtent l="0" t="0" r="4445"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5340" cy="3041481"/>
                    </a:xfrm>
                    <a:prstGeom prst="rect">
                      <a:avLst/>
                    </a:prstGeom>
                  </pic:spPr>
                </pic:pic>
              </a:graphicData>
            </a:graphic>
          </wp:inline>
        </w:drawing>
      </w:r>
    </w:p>
    <w:p w14:paraId="045B74AF" w14:textId="77777777" w:rsidR="00A1541B" w:rsidRPr="00F25512" w:rsidRDefault="00A1541B" w:rsidP="001541A9">
      <w:pPr>
        <w:ind w:right="630"/>
        <w:rPr>
          <w:rFonts w:cs="Times New Roman"/>
          <w:sz w:val="18"/>
          <w:szCs w:val="18"/>
          <w:lang w:val="en-US"/>
        </w:rPr>
      </w:pPr>
      <w:r w:rsidRPr="00233E7C">
        <w:rPr>
          <w:rFonts w:cs="Times New Roman"/>
          <w:b/>
          <w:bCs/>
          <w:sz w:val="18"/>
          <w:szCs w:val="18"/>
        </w:rPr>
        <w:t>Fuente:</w:t>
      </w:r>
      <w:r w:rsidRPr="00233E7C">
        <w:rPr>
          <w:rFonts w:cs="Times New Roman"/>
          <w:sz w:val="18"/>
          <w:szCs w:val="18"/>
        </w:rPr>
        <w:t xml:space="preserve"> Durán CE, </w:t>
      </w:r>
      <w:proofErr w:type="spellStart"/>
      <w:r w:rsidRPr="00233E7C">
        <w:rPr>
          <w:rFonts w:cs="Times New Roman"/>
          <w:sz w:val="18"/>
          <w:szCs w:val="18"/>
        </w:rPr>
        <w:t>Cañás</w:t>
      </w:r>
      <w:proofErr w:type="spellEnd"/>
      <w:r w:rsidRPr="00233E7C">
        <w:rPr>
          <w:rFonts w:cs="Times New Roman"/>
          <w:sz w:val="18"/>
          <w:szCs w:val="18"/>
        </w:rPr>
        <w:t xml:space="preserve"> M, Urtasun MA, </w:t>
      </w:r>
      <w:proofErr w:type="spellStart"/>
      <w:r w:rsidRPr="00233E7C">
        <w:rPr>
          <w:rFonts w:cs="Times New Roman"/>
          <w:sz w:val="18"/>
          <w:szCs w:val="18"/>
        </w:rPr>
        <w:t>Elseviers</w:t>
      </w:r>
      <w:proofErr w:type="spellEnd"/>
      <w:r w:rsidRPr="00233E7C">
        <w:rPr>
          <w:rFonts w:cs="Times New Roman"/>
          <w:sz w:val="18"/>
          <w:szCs w:val="18"/>
        </w:rPr>
        <w:t xml:space="preserve"> M, Andia T, Vander </w:t>
      </w:r>
      <w:proofErr w:type="spellStart"/>
      <w:r w:rsidRPr="00233E7C">
        <w:rPr>
          <w:rFonts w:cs="Times New Roman"/>
          <w:sz w:val="18"/>
          <w:szCs w:val="18"/>
        </w:rPr>
        <w:t>Stichele</w:t>
      </w:r>
      <w:proofErr w:type="spellEnd"/>
      <w:r w:rsidRPr="00233E7C">
        <w:rPr>
          <w:rFonts w:cs="Times New Roman"/>
          <w:sz w:val="18"/>
          <w:szCs w:val="18"/>
        </w:rPr>
        <w:t xml:space="preserve"> R, et al. </w:t>
      </w:r>
      <w:r w:rsidRPr="00233E7C">
        <w:rPr>
          <w:rFonts w:cs="Times New Roman"/>
          <w:sz w:val="18"/>
          <w:szCs w:val="18"/>
          <w:lang w:val="en-US"/>
        </w:rPr>
        <w:t xml:space="preserve">Regulatory reliance to approve new medicinal products in Latin American and Caribbean countries. </w:t>
      </w:r>
      <w:r w:rsidRPr="00F25512">
        <w:rPr>
          <w:rFonts w:cs="Times New Roman"/>
          <w:i/>
          <w:iCs/>
          <w:sz w:val="18"/>
          <w:szCs w:val="18"/>
          <w:lang w:val="en-US"/>
        </w:rPr>
        <w:t xml:space="preserve">Rev </w:t>
      </w:r>
      <w:proofErr w:type="spellStart"/>
      <w:r w:rsidRPr="00F25512">
        <w:rPr>
          <w:rFonts w:cs="Times New Roman"/>
          <w:i/>
          <w:iCs/>
          <w:sz w:val="18"/>
          <w:szCs w:val="18"/>
          <w:lang w:val="en-US"/>
        </w:rPr>
        <w:t>Panam</w:t>
      </w:r>
      <w:proofErr w:type="spellEnd"/>
      <w:r w:rsidRPr="00F25512">
        <w:rPr>
          <w:rFonts w:cs="Times New Roman"/>
          <w:i/>
          <w:iCs/>
          <w:sz w:val="18"/>
          <w:szCs w:val="18"/>
          <w:lang w:val="en-US"/>
        </w:rPr>
        <w:t xml:space="preserve"> </w:t>
      </w:r>
      <w:proofErr w:type="spellStart"/>
      <w:r w:rsidRPr="00F25512">
        <w:rPr>
          <w:rFonts w:cs="Times New Roman"/>
          <w:i/>
          <w:iCs/>
          <w:sz w:val="18"/>
          <w:szCs w:val="18"/>
          <w:lang w:val="en-US"/>
        </w:rPr>
        <w:t>Salud</w:t>
      </w:r>
      <w:proofErr w:type="spellEnd"/>
      <w:r w:rsidRPr="00F25512">
        <w:rPr>
          <w:rFonts w:cs="Times New Roman"/>
          <w:i/>
          <w:iCs/>
          <w:sz w:val="18"/>
          <w:szCs w:val="18"/>
          <w:lang w:val="en-US"/>
        </w:rPr>
        <w:t xml:space="preserve"> Publica</w:t>
      </w:r>
      <w:r w:rsidRPr="00F25512">
        <w:rPr>
          <w:rFonts w:cs="Times New Roman"/>
          <w:sz w:val="18"/>
          <w:szCs w:val="18"/>
          <w:lang w:val="en-US"/>
        </w:rPr>
        <w:t>. 2021;45:e10. https://doi.org/10.26633/ RPSP.2021.10</w:t>
      </w:r>
    </w:p>
    <w:p w14:paraId="70112109" w14:textId="77777777" w:rsidR="0037439A" w:rsidRPr="00F25512" w:rsidRDefault="0037439A" w:rsidP="0037439A">
      <w:pPr>
        <w:rPr>
          <w:lang w:val="en-US"/>
        </w:rPr>
      </w:pPr>
    </w:p>
    <w:p w14:paraId="5D65A448" w14:textId="77777777" w:rsidR="001541A9" w:rsidRDefault="001541A9" w:rsidP="00FE22D8">
      <w:pPr>
        <w:rPr>
          <w:rFonts w:cs="Times New Roman"/>
          <w:szCs w:val="20"/>
        </w:rPr>
        <w:sectPr w:rsidR="001541A9" w:rsidSect="00F25512">
          <w:type w:val="continuous"/>
          <w:pgSz w:w="12240" w:h="15840" w:code="1"/>
          <w:pgMar w:top="720" w:right="720" w:bottom="720" w:left="720" w:header="288" w:footer="288" w:gutter="0"/>
          <w:cols w:space="288"/>
          <w:docGrid w:linePitch="360"/>
        </w:sectPr>
      </w:pPr>
    </w:p>
    <w:p w14:paraId="18146C9D" w14:textId="32B4CE93" w:rsidR="00FE22D8" w:rsidRDefault="00FE22D8" w:rsidP="00FE22D8">
      <w:pPr>
        <w:rPr>
          <w:rFonts w:cs="Times New Roman"/>
          <w:szCs w:val="20"/>
        </w:rPr>
      </w:pPr>
      <w:r w:rsidRPr="00DA2803">
        <w:rPr>
          <w:rFonts w:cs="Times New Roman"/>
          <w:szCs w:val="20"/>
        </w:rPr>
        <w:t xml:space="preserve">Durán </w:t>
      </w:r>
      <w:r>
        <w:rPr>
          <w:rFonts w:cs="Times New Roman"/>
          <w:szCs w:val="20"/>
        </w:rPr>
        <w:t>expuso</w:t>
      </w:r>
      <w:r w:rsidRPr="00DA2803">
        <w:rPr>
          <w:rFonts w:cs="Times New Roman"/>
          <w:szCs w:val="20"/>
        </w:rPr>
        <w:t xml:space="preserve"> </w:t>
      </w:r>
      <w:r>
        <w:rPr>
          <w:rFonts w:cs="Times New Roman"/>
          <w:szCs w:val="20"/>
        </w:rPr>
        <w:t>s</w:t>
      </w:r>
      <w:r w:rsidRPr="00DA2803">
        <w:rPr>
          <w:rFonts w:cs="Times New Roman"/>
          <w:szCs w:val="20"/>
        </w:rPr>
        <w:t xml:space="preserve">u análisis sobre los mecanismos de aprobación de medicamentos en América Latina, destacando deficiencias en los procedimientos de revisión </w:t>
      </w:r>
      <w:r>
        <w:rPr>
          <w:rFonts w:cs="Times New Roman"/>
          <w:szCs w:val="20"/>
        </w:rPr>
        <w:t xml:space="preserve">documental </w:t>
      </w:r>
      <w:r w:rsidRPr="00DA2803">
        <w:rPr>
          <w:rFonts w:cs="Times New Roman"/>
          <w:szCs w:val="20"/>
        </w:rPr>
        <w:t xml:space="preserve">y </w:t>
      </w:r>
      <w:r>
        <w:rPr>
          <w:rFonts w:cs="Times New Roman"/>
          <w:szCs w:val="20"/>
        </w:rPr>
        <w:t xml:space="preserve">manifestando </w:t>
      </w:r>
      <w:r w:rsidRPr="00DA2803">
        <w:rPr>
          <w:rFonts w:cs="Times New Roman"/>
          <w:szCs w:val="20"/>
        </w:rPr>
        <w:t xml:space="preserve">la necesidad de mejorar la transparencia en la aprobación de medicamentos. </w:t>
      </w:r>
    </w:p>
    <w:p w14:paraId="62977B88" w14:textId="77777777" w:rsidR="00FE22D8" w:rsidRDefault="00FE22D8" w:rsidP="00FE22D8">
      <w:pPr>
        <w:rPr>
          <w:rFonts w:cs="Times New Roman"/>
          <w:szCs w:val="20"/>
        </w:rPr>
      </w:pPr>
    </w:p>
    <w:p w14:paraId="30956D32" w14:textId="686A0767" w:rsidR="00FE22D8" w:rsidRDefault="00FE22D8" w:rsidP="00B97DE0">
      <w:pPr>
        <w:rPr>
          <w:rFonts w:cs="Times New Roman"/>
          <w:szCs w:val="20"/>
        </w:rPr>
      </w:pPr>
      <w:r>
        <w:rPr>
          <w:rFonts w:cs="Times New Roman"/>
          <w:szCs w:val="20"/>
        </w:rPr>
        <w:t>Al respecto, Durán</w:t>
      </w:r>
      <w:r w:rsidRPr="00233E7C">
        <w:rPr>
          <w:rFonts w:cs="Times New Roman"/>
          <w:szCs w:val="20"/>
        </w:rPr>
        <w:t xml:space="preserve"> </w:t>
      </w:r>
      <w:r>
        <w:rPr>
          <w:rFonts w:cs="Times New Roman"/>
          <w:szCs w:val="20"/>
        </w:rPr>
        <w:t xml:space="preserve">explicó lo que sucede en Ecuador.  Ecuador confía no solo en las decisiones de aprobación de entes reguladores como la FDA y la EMA, sino también las de siete autoridades latinoamericanas (Ver Figura 1, flecha azul), como ANVISA (Brasil), COFEPRIS (México), INVIMA (Colombia) y ANMAT (Argentina), instituciones que también basan las decisiones de comercialización de nuevos medicamentos en la FDA y la EMA; y </w:t>
      </w:r>
      <w:r w:rsidRPr="00233E7C">
        <w:rPr>
          <w:rFonts w:cs="Times New Roman"/>
          <w:szCs w:val="20"/>
        </w:rPr>
        <w:t>mencionó que la falta de transparencia en la información que publican las agencias reguladoras latinoamericanas</w:t>
      </w:r>
      <w:r>
        <w:rPr>
          <w:rFonts w:cs="Times New Roman"/>
          <w:szCs w:val="20"/>
        </w:rPr>
        <w:t xml:space="preserve"> (por ejemplo</w:t>
      </w:r>
      <w:r w:rsidRPr="00233E7C">
        <w:rPr>
          <w:rFonts w:cs="Times New Roman"/>
          <w:szCs w:val="20"/>
        </w:rPr>
        <w:t xml:space="preserve"> en sus páginas web</w:t>
      </w:r>
      <w:r>
        <w:rPr>
          <w:rFonts w:cs="Times New Roman"/>
          <w:szCs w:val="20"/>
        </w:rPr>
        <w:t xml:space="preserve">), </w:t>
      </w:r>
      <w:r w:rsidRPr="00233E7C">
        <w:rPr>
          <w:rFonts w:cs="Times New Roman"/>
          <w:szCs w:val="20"/>
        </w:rPr>
        <w:t xml:space="preserve">es </w:t>
      </w:r>
      <w:r>
        <w:rPr>
          <w:rFonts w:cs="Times New Roman"/>
          <w:szCs w:val="20"/>
        </w:rPr>
        <w:t xml:space="preserve">una </w:t>
      </w:r>
      <w:r w:rsidRPr="00233E7C">
        <w:rPr>
          <w:rFonts w:cs="Times New Roman"/>
          <w:szCs w:val="20"/>
        </w:rPr>
        <w:t xml:space="preserve">característica </w:t>
      </w:r>
      <w:r>
        <w:rPr>
          <w:rFonts w:cs="Times New Roman"/>
          <w:szCs w:val="20"/>
        </w:rPr>
        <w:t>regional que dificulta la compresión de ciertos mecanismos de aprobación.</w:t>
      </w:r>
    </w:p>
    <w:p w14:paraId="3CEE2BD5" w14:textId="77777777" w:rsidR="00FE22D8" w:rsidRDefault="00FE22D8" w:rsidP="00B97DE0">
      <w:pPr>
        <w:rPr>
          <w:rFonts w:cs="Times New Roman"/>
          <w:szCs w:val="20"/>
        </w:rPr>
      </w:pPr>
    </w:p>
    <w:p w14:paraId="3924E41D" w14:textId="6F8ADA86" w:rsidR="00B97DE0" w:rsidRPr="00233E7C" w:rsidRDefault="00B97DE0" w:rsidP="00B97DE0">
      <w:pPr>
        <w:rPr>
          <w:rFonts w:cs="Times New Roman"/>
          <w:szCs w:val="20"/>
        </w:rPr>
      </w:pPr>
      <w:r>
        <w:rPr>
          <w:rFonts w:cs="Times New Roman"/>
          <w:szCs w:val="20"/>
        </w:rPr>
        <w:t xml:space="preserve">El Dr. Durán hizo énfasis en lo que ocurre por ejemplo cuando, agencias reguladoras como la ecuatoriana, basan sus decisiones </w:t>
      </w:r>
      <w:r>
        <w:rPr>
          <w:rFonts w:cs="Times New Roman"/>
          <w:szCs w:val="20"/>
        </w:rPr>
        <w:t xml:space="preserve">de comercialización en las aprobaciones de la agencia mexicana, </w:t>
      </w:r>
      <w:r w:rsidR="00267512">
        <w:rPr>
          <w:rFonts w:cs="Times New Roman"/>
          <w:szCs w:val="20"/>
        </w:rPr>
        <w:t>pues hay</w:t>
      </w:r>
      <w:r>
        <w:rPr>
          <w:rFonts w:cs="Times New Roman"/>
          <w:szCs w:val="20"/>
        </w:rPr>
        <w:t xml:space="preserve"> incertidumbre </w:t>
      </w:r>
      <w:r w:rsidR="00267512">
        <w:rPr>
          <w:rFonts w:cs="Times New Roman"/>
          <w:szCs w:val="20"/>
        </w:rPr>
        <w:t>sobre el</w:t>
      </w:r>
      <w:r>
        <w:rPr>
          <w:rFonts w:cs="Times New Roman"/>
          <w:szCs w:val="20"/>
        </w:rPr>
        <w:t xml:space="preserve"> mecanismo que COFEPRIS utilizó; ¿se basó en una vía de aprobación regular nacional o hizo uso del </w:t>
      </w:r>
      <w:proofErr w:type="spellStart"/>
      <w:r w:rsidRPr="00233E7C">
        <w:rPr>
          <w:rFonts w:cs="Times New Roman"/>
          <w:i/>
          <w:iCs/>
          <w:szCs w:val="20"/>
        </w:rPr>
        <w:t>reliance</w:t>
      </w:r>
      <w:proofErr w:type="spellEnd"/>
      <w:r>
        <w:rPr>
          <w:rFonts w:cs="Times New Roman"/>
          <w:szCs w:val="20"/>
        </w:rPr>
        <w:t xml:space="preserve"> confiando en los procesos de aprobación de reguladores como la FDA o la EMA? ¿estaría entonces Ecuador basando sus decisiones de aprobación de medicamentos en un doble </w:t>
      </w:r>
      <w:proofErr w:type="spellStart"/>
      <w:r w:rsidRPr="00233E7C">
        <w:rPr>
          <w:rFonts w:cs="Times New Roman"/>
          <w:i/>
          <w:iCs/>
          <w:szCs w:val="20"/>
        </w:rPr>
        <w:t>reliance</w:t>
      </w:r>
      <w:proofErr w:type="spellEnd"/>
      <w:r>
        <w:rPr>
          <w:rFonts w:cs="Times New Roman"/>
          <w:i/>
          <w:iCs/>
          <w:szCs w:val="20"/>
        </w:rPr>
        <w:t xml:space="preserve">?... </w:t>
      </w:r>
      <w:r>
        <w:rPr>
          <w:rFonts w:cs="Times New Roman"/>
          <w:szCs w:val="20"/>
        </w:rPr>
        <w:t>¨no es transparente y nadie sabe muy bien qué es lo que está pasando¨, dijo Durán</w:t>
      </w:r>
      <w:r w:rsidRPr="00233E7C">
        <w:rPr>
          <w:rFonts w:cs="Times New Roman"/>
          <w:szCs w:val="20"/>
        </w:rPr>
        <w:t>.</w:t>
      </w:r>
    </w:p>
    <w:p w14:paraId="69067E37" w14:textId="77777777" w:rsidR="00B97DE0" w:rsidRDefault="00B97DE0" w:rsidP="0037439A"/>
    <w:p w14:paraId="6FB1AD53" w14:textId="72D667B7" w:rsidR="00A1541B" w:rsidRPr="006C467D" w:rsidRDefault="00AC3031" w:rsidP="0037439A">
      <w:pPr>
        <w:rPr>
          <w:b/>
          <w:bCs/>
          <w:sz w:val="18"/>
          <w:szCs w:val="22"/>
        </w:rPr>
      </w:pPr>
      <w:r w:rsidRPr="006C467D">
        <w:rPr>
          <w:b/>
          <w:bCs/>
          <w:sz w:val="18"/>
          <w:szCs w:val="22"/>
        </w:rPr>
        <w:t>Referencias:</w:t>
      </w:r>
    </w:p>
    <w:p w14:paraId="75BC6B6A" w14:textId="4C7EF490" w:rsidR="00AC3031" w:rsidRPr="006C467D" w:rsidRDefault="00AC3031" w:rsidP="008C6B81">
      <w:pPr>
        <w:ind w:left="180" w:hanging="180"/>
        <w:rPr>
          <w:sz w:val="18"/>
          <w:szCs w:val="22"/>
        </w:rPr>
      </w:pPr>
      <w:r w:rsidRPr="006C467D">
        <w:rPr>
          <w:sz w:val="18"/>
          <w:szCs w:val="22"/>
        </w:rPr>
        <w:t xml:space="preserve">1.OPS. La utilización de decisiones de otras autoridades regulatorias para una mayor convergencia en las Américas. Portal web OPS, 17 de noviembre del 2022. </w:t>
      </w:r>
      <w:hyperlink r:id="rId49" w:history="1">
        <w:r w:rsidRPr="006C467D">
          <w:rPr>
            <w:rStyle w:val="Hipervnculo"/>
            <w:sz w:val="18"/>
            <w:szCs w:val="22"/>
          </w:rPr>
          <w:t>https://www.paho.org/es/noticias/17-11-2022-utilizacion-decisiones-otras-autoridades-regulatorias-para-mayor-convergencia</w:t>
        </w:r>
      </w:hyperlink>
    </w:p>
    <w:p w14:paraId="0A646B7E" w14:textId="1A2BF7B3" w:rsidR="004C4A5D" w:rsidRPr="006C467D" w:rsidRDefault="00AC3031" w:rsidP="008C6B81">
      <w:pPr>
        <w:ind w:left="180" w:hanging="180"/>
        <w:rPr>
          <w:rFonts w:cs="Times New Roman"/>
          <w:sz w:val="18"/>
          <w:szCs w:val="18"/>
        </w:rPr>
      </w:pPr>
      <w:r w:rsidRPr="006C467D">
        <w:rPr>
          <w:sz w:val="18"/>
          <w:szCs w:val="22"/>
        </w:rPr>
        <w:t>2.</w:t>
      </w:r>
      <w:r w:rsidR="001E57F5" w:rsidRPr="006C467D">
        <w:rPr>
          <w:sz w:val="18"/>
          <w:szCs w:val="22"/>
        </w:rPr>
        <w:t xml:space="preserve">Salud y Fármacos. Ciclo de conferencias </w:t>
      </w:r>
      <w:r w:rsidR="001E57F5" w:rsidRPr="006C467D">
        <w:rPr>
          <w:rFonts w:cs="Times New Roman"/>
          <w:sz w:val="18"/>
          <w:szCs w:val="18"/>
        </w:rPr>
        <w:t>Determinantes socioeconómicos del acceso a los medicamentos en América Latina</w:t>
      </w:r>
      <w:r w:rsidR="004C4A5D" w:rsidRPr="006C467D">
        <w:rPr>
          <w:rFonts w:cs="Times New Roman"/>
          <w:sz w:val="18"/>
          <w:szCs w:val="18"/>
        </w:rPr>
        <w:t xml:space="preserve">, marzo y abril de 2026. Módulo 3: La investigación y el desarrollo de los medicamentos, las autoridades reguladoras y el marketing de medicamentos. Conferencia 3: </w:t>
      </w:r>
      <w:proofErr w:type="spellStart"/>
      <w:r w:rsidR="004C4A5D" w:rsidRPr="006C467D">
        <w:rPr>
          <w:rFonts w:cs="Times New Roman"/>
          <w:i/>
          <w:iCs/>
          <w:sz w:val="18"/>
          <w:szCs w:val="18"/>
        </w:rPr>
        <w:t>Reliance</w:t>
      </w:r>
      <w:proofErr w:type="spellEnd"/>
      <w:r w:rsidR="004C4A5D" w:rsidRPr="006C467D">
        <w:rPr>
          <w:rFonts w:cs="Times New Roman"/>
          <w:i/>
          <w:iCs/>
          <w:sz w:val="18"/>
          <w:szCs w:val="18"/>
        </w:rPr>
        <w:t xml:space="preserve"> regulatorio</w:t>
      </w:r>
      <w:r w:rsidR="004C4A5D" w:rsidRPr="006C467D">
        <w:rPr>
          <w:rFonts w:cs="Times New Roman"/>
          <w:sz w:val="18"/>
          <w:szCs w:val="18"/>
        </w:rPr>
        <w:t xml:space="preserve"> y aprobación acelerada de nuevos medicamentos. Ponente: Carlos Durán Salinas</w:t>
      </w:r>
      <w:r w:rsidR="0001451D">
        <w:rPr>
          <w:rFonts w:cs="Times New Roman"/>
          <w:sz w:val="18"/>
          <w:szCs w:val="18"/>
        </w:rPr>
        <w:t>;</w:t>
      </w:r>
      <w:r w:rsidR="004C4A5D" w:rsidRPr="006C467D">
        <w:rPr>
          <w:rFonts w:cs="Times New Roman"/>
          <w:sz w:val="18"/>
          <w:szCs w:val="18"/>
        </w:rPr>
        <w:t xml:space="preserve"> Disponible en</w:t>
      </w:r>
      <w:r w:rsidR="00A76988" w:rsidRPr="006C467D">
        <w:rPr>
          <w:rFonts w:cs="Times New Roman"/>
          <w:sz w:val="18"/>
          <w:szCs w:val="18"/>
        </w:rPr>
        <w:t xml:space="preserve"> el canal de YouTube de Salud y fármacos: </w:t>
      </w:r>
      <w:hyperlink r:id="rId50" w:tgtFrame="_blank" w:history="1">
        <w:r w:rsidR="00A76988" w:rsidRPr="006C467D">
          <w:rPr>
            <w:rStyle w:val="Hipervnculo"/>
            <w:rFonts w:cs="Times New Roman"/>
            <w:sz w:val="18"/>
            <w:szCs w:val="18"/>
          </w:rPr>
          <w:t>https://youtu.be/MdmrChsjBn0</w:t>
        </w:r>
      </w:hyperlink>
    </w:p>
    <w:p w14:paraId="34A58C37" w14:textId="77777777" w:rsidR="001541A9" w:rsidRDefault="001541A9" w:rsidP="00AC3031">
      <w:pPr>
        <w:rPr>
          <w:b/>
          <w:bCs/>
        </w:rPr>
        <w:sectPr w:rsidR="001541A9" w:rsidSect="001541A9">
          <w:type w:val="continuous"/>
          <w:pgSz w:w="12240" w:h="15840" w:code="1"/>
          <w:pgMar w:top="720" w:right="720" w:bottom="720" w:left="720" w:header="288" w:footer="288" w:gutter="0"/>
          <w:cols w:num="2" w:space="288"/>
          <w:docGrid w:linePitch="360"/>
        </w:sectPr>
      </w:pPr>
    </w:p>
    <w:p w14:paraId="6815F607" w14:textId="1F5C57EB" w:rsidR="00AC3031" w:rsidRPr="00AC3031" w:rsidRDefault="00AC3031" w:rsidP="00AC3031">
      <w:pPr>
        <w:rPr>
          <w:b/>
          <w:bCs/>
        </w:rPr>
      </w:pPr>
    </w:p>
    <w:p w14:paraId="506CC7F2" w14:textId="77777777" w:rsidR="0037439A" w:rsidRDefault="0037439A" w:rsidP="0037439A"/>
    <w:p w14:paraId="098F27FD" w14:textId="7A863AC2" w:rsidR="003004A6" w:rsidRPr="00D85247" w:rsidRDefault="003004A6" w:rsidP="00D85247">
      <w:pPr>
        <w:jc w:val="center"/>
      </w:pPr>
      <w:r w:rsidRPr="00D85247">
        <w:t xml:space="preserve">El Salvador. </w:t>
      </w:r>
      <w:r w:rsidR="005627D9" w:rsidRPr="00D85247">
        <w:rPr>
          <w:b/>
          <w:bCs/>
        </w:rPr>
        <w:t>SRS y FDA intercambian experiencias para fortalecer las capacidades regulatorias y la cooperación técnica</w:t>
      </w:r>
    </w:p>
    <w:p w14:paraId="66E3664D" w14:textId="7C94FB20" w:rsidR="005627D9" w:rsidRPr="00D85247" w:rsidRDefault="005627D9" w:rsidP="00D85247">
      <w:pPr>
        <w:jc w:val="center"/>
      </w:pPr>
      <w:r w:rsidRPr="00D85247">
        <w:rPr>
          <w:i/>
          <w:iCs/>
        </w:rPr>
        <w:t>Superintendencia de Regulación Sanitaria (SRS),</w:t>
      </w:r>
      <w:r w:rsidRPr="00D85247">
        <w:t xml:space="preserve"> 18 de junio de 2026</w:t>
      </w:r>
    </w:p>
    <w:p w14:paraId="0AE765AC" w14:textId="6858B84D" w:rsidR="00C51D08" w:rsidRDefault="00B00DA4" w:rsidP="00D85247">
      <w:pPr>
        <w:jc w:val="center"/>
      </w:pPr>
      <w:hyperlink r:id="rId51" w:history="1">
        <w:r w:rsidR="00C51D08" w:rsidRPr="00CC1F71">
          <w:rPr>
            <w:rStyle w:val="Hipervnculo"/>
          </w:rPr>
          <w:t>https://www.srs.gob.sv/?p=14357</w:t>
        </w:r>
      </w:hyperlink>
    </w:p>
    <w:p w14:paraId="4DDEC502" w14:textId="1625A815" w:rsidR="00D85247" w:rsidRDefault="00D85247" w:rsidP="00D85247">
      <w:pPr>
        <w:jc w:val="center"/>
      </w:pPr>
    </w:p>
    <w:p w14:paraId="16E401F6" w14:textId="77777777" w:rsidR="001541A9" w:rsidRDefault="001541A9" w:rsidP="005627D9">
      <w:pPr>
        <w:rPr>
          <w:b/>
          <w:bCs/>
          <w:sz w:val="18"/>
          <w:szCs w:val="22"/>
        </w:rPr>
        <w:sectPr w:rsidR="001541A9" w:rsidSect="00F25512">
          <w:type w:val="continuous"/>
          <w:pgSz w:w="12240" w:h="15840" w:code="1"/>
          <w:pgMar w:top="720" w:right="720" w:bottom="720" w:left="720" w:header="288" w:footer="288" w:gutter="0"/>
          <w:cols w:space="288"/>
          <w:docGrid w:linePitch="360"/>
        </w:sectPr>
      </w:pPr>
    </w:p>
    <w:p w14:paraId="12CC95BC" w14:textId="4E00FC83" w:rsidR="005627D9" w:rsidRPr="00F312B7" w:rsidRDefault="005627D9" w:rsidP="005627D9">
      <w:pPr>
        <w:rPr>
          <w:b/>
          <w:bCs/>
          <w:sz w:val="18"/>
          <w:szCs w:val="22"/>
        </w:rPr>
      </w:pPr>
      <w:r w:rsidRPr="00F312B7">
        <w:rPr>
          <w:b/>
          <w:bCs/>
          <w:sz w:val="18"/>
          <w:szCs w:val="22"/>
        </w:rPr>
        <w:t>Tags:</w:t>
      </w:r>
      <w:r w:rsidR="00F312B7" w:rsidRPr="00F312B7">
        <w:rPr>
          <w:b/>
          <w:bCs/>
          <w:sz w:val="18"/>
          <w:szCs w:val="22"/>
        </w:rPr>
        <w:t xml:space="preserve"> capacidades regulatorias, cooperación técnica farmacéutica, intercambio técnico</w:t>
      </w:r>
    </w:p>
    <w:p w14:paraId="46A301DF" w14:textId="65F5380E" w:rsidR="005627D9" w:rsidRPr="005627D9" w:rsidRDefault="005627D9" w:rsidP="005627D9"/>
    <w:p w14:paraId="333AA0A1" w14:textId="43AEA53C" w:rsidR="005627D9" w:rsidRPr="00C51D08" w:rsidRDefault="005627D9" w:rsidP="00C51D08">
      <w:r w:rsidRPr="00C51D08">
        <w:t>La Superintendencia de Regulación Sanitaria (SRS) sostuvo un importante intercambio técnico con representantes de la</w:t>
      </w:r>
      <w:r w:rsidR="00C51D08">
        <w:t xml:space="preserve"> FDA</w:t>
      </w:r>
      <w:r w:rsidRPr="00C51D08">
        <w:t xml:space="preserve"> orientado al fortalecimiento de la cooperación institucional, al intercambio de experiencias y a la identificación de oportunidades de mejora para los servicios regulatorios.</w:t>
      </w:r>
    </w:p>
    <w:p w14:paraId="13A8B657" w14:textId="77777777" w:rsidR="00C51D08" w:rsidRDefault="00C51D08" w:rsidP="00C51D08"/>
    <w:p w14:paraId="6B310412" w14:textId="66AB531D" w:rsidR="005627D9" w:rsidRDefault="005627D9" w:rsidP="00C51D08">
      <w:r w:rsidRPr="00C51D08">
        <w:t>La delegación de la FDA estuvo encabezada por Michelle Rodríguez, PhD, RAC, directora regional para América Latina, quien, junto a su equipo, conoció de primera mano los avances impulsados por la SRS para fortalecer la eficiencia, la calidad y la oportunidad de los servicios que brinda a la población salvadoreña.</w:t>
      </w:r>
    </w:p>
    <w:p w14:paraId="21A7E3A5" w14:textId="77777777" w:rsidR="00C51D08" w:rsidRPr="00C51D08" w:rsidRDefault="00C51D08" w:rsidP="00C51D08"/>
    <w:p w14:paraId="52762099" w14:textId="77777777" w:rsidR="005627D9" w:rsidRPr="00C51D08" w:rsidRDefault="005627D9" w:rsidP="00C51D08">
      <w:r w:rsidRPr="00C51D08">
        <w:t>Durante el encuentro, autoridades y equipos técnicos de ambas instituciones abordaron temas relacionados con la gestión basada en datos, los indicadores de desempeño, la mejora continua de procesos, el fortalecimiento institucional y la modernización regulatoria.</w:t>
      </w:r>
    </w:p>
    <w:p w14:paraId="468A3DA8" w14:textId="77777777" w:rsidR="00C51D08" w:rsidRDefault="00C51D08" w:rsidP="00C51D08"/>
    <w:p w14:paraId="18CD6361" w14:textId="40D500BE" w:rsidR="005627D9" w:rsidRDefault="005627D9" w:rsidP="00C51D08">
      <w:r w:rsidRPr="00C51D08">
        <w:t>Asimismo, se intercambiaron experiencias sobre los desafíos que enfrentan las autoridades regulatorias en un contexto marcado por la innovación tecnológica, la transformación digital y la necesidad de garantizar servicios cada vez más ágiles, eficientes y alineados con las necesidades de la población.</w:t>
      </w:r>
    </w:p>
    <w:p w14:paraId="05AAAC5B" w14:textId="77777777" w:rsidR="00C51D08" w:rsidRPr="00C51D08" w:rsidRDefault="00C51D08" w:rsidP="00C51D08"/>
    <w:p w14:paraId="1A6A32E4" w14:textId="77777777" w:rsidR="005627D9" w:rsidRDefault="005627D9" w:rsidP="00C51D08">
      <w:r w:rsidRPr="00C51D08">
        <w:t>Durante la reunión, también se destacó la importancia de fortalecer las alianzas estratégicas y el intercambio de experiencias con organismos de referencia internacional, como herramientas para impulsar la mejora continua de los procesos institucionales y elevar la calidad de los servicios que la SRS brinda a la población salvadoreña.</w:t>
      </w:r>
    </w:p>
    <w:p w14:paraId="5B1038EE" w14:textId="77777777" w:rsidR="00C51D08" w:rsidRPr="00C51D08" w:rsidRDefault="00C51D08" w:rsidP="00C51D08"/>
    <w:p w14:paraId="772F2692" w14:textId="77777777" w:rsidR="005627D9" w:rsidRDefault="005627D9" w:rsidP="00C51D08">
      <w:r w:rsidRPr="00C51D08">
        <w:t xml:space="preserve">El superintendente de Regulación Sanitaria, </w:t>
      </w:r>
      <w:proofErr w:type="spellStart"/>
      <w:r w:rsidRPr="00C51D08">
        <w:t>Ph.D</w:t>
      </w:r>
      <w:proofErr w:type="spellEnd"/>
      <w:r w:rsidRPr="00C51D08">
        <w:t>. Noé Geovanni García Iraheta, destacó que estos espacios contribuyen al fortalecimiento de las capacidades institucionales y permiten conocer buenas prácticas internacionales que aportan al desarrollo de una regulación sanitaria moderna, eficiente y orientada al bienestar de la población.</w:t>
      </w:r>
    </w:p>
    <w:p w14:paraId="71E57650" w14:textId="77777777" w:rsidR="00C51D08" w:rsidRPr="00C51D08" w:rsidRDefault="00C51D08" w:rsidP="00C51D08"/>
    <w:p w14:paraId="66E7B5C2" w14:textId="77777777" w:rsidR="005627D9" w:rsidRDefault="005627D9" w:rsidP="00C51D08">
      <w:r w:rsidRPr="00C51D08">
        <w:t>“La cooperación técnica y el intercambio de experiencias con instituciones de referencia internacional fortalecen nuestras capacidades regulatorias y contribuyen a la mejora continua de los servicios que brindamos a la población”, expresó.</w:t>
      </w:r>
    </w:p>
    <w:p w14:paraId="0620EC10" w14:textId="77777777" w:rsidR="00544D9E" w:rsidRPr="00C51D08" w:rsidRDefault="00544D9E" w:rsidP="00C51D08"/>
    <w:p w14:paraId="6234C418" w14:textId="77777777" w:rsidR="005627D9" w:rsidRPr="00C51D08" w:rsidRDefault="005627D9" w:rsidP="00C51D08">
      <w:r w:rsidRPr="00C51D08">
        <w:t>La SRS reafirma su compromiso de continuar fortaleciendo los vínculos de cooperación con organismos y autoridades regulatorias de referencia internacional, promoviendo el intercambio técnico, la adopción de buenas prácticas y el fortalecimiento de capacidades que contribuyan a una regulación sanitaria moderna, eficiente y alineada con los más altos estándares de calidad.</w:t>
      </w:r>
    </w:p>
    <w:p w14:paraId="67586638" w14:textId="77777777" w:rsidR="001541A9" w:rsidRDefault="001541A9" w:rsidP="00C51D08">
      <w:pPr>
        <w:sectPr w:rsidR="001541A9" w:rsidSect="001541A9">
          <w:type w:val="continuous"/>
          <w:pgSz w:w="12240" w:h="15840" w:code="1"/>
          <w:pgMar w:top="720" w:right="720" w:bottom="720" w:left="720" w:header="288" w:footer="288" w:gutter="0"/>
          <w:cols w:num="2" w:space="288"/>
          <w:docGrid w:linePitch="360"/>
        </w:sectPr>
      </w:pPr>
    </w:p>
    <w:p w14:paraId="6C9B6259" w14:textId="442C0213" w:rsidR="005627D9" w:rsidRDefault="005627D9" w:rsidP="00C51D08"/>
    <w:p w14:paraId="5017236F" w14:textId="455671F2" w:rsidR="00904CD7" w:rsidRDefault="00904CD7" w:rsidP="00C51D08"/>
    <w:p w14:paraId="205E3791" w14:textId="598689AB" w:rsidR="001541A9" w:rsidRDefault="001541A9" w:rsidP="00C51D08"/>
    <w:p w14:paraId="195C56B7" w14:textId="06776C0C" w:rsidR="001541A9" w:rsidRDefault="001541A9" w:rsidP="00C51D08"/>
    <w:p w14:paraId="2E78B95D" w14:textId="686BF6AE" w:rsidR="001541A9" w:rsidRDefault="001541A9" w:rsidP="00C51D08"/>
    <w:p w14:paraId="10E35F82" w14:textId="77777777" w:rsidR="001541A9" w:rsidRDefault="001541A9" w:rsidP="00C51D08"/>
    <w:p w14:paraId="103563E1" w14:textId="77777777" w:rsidR="00F81EDF" w:rsidRPr="008A1583" w:rsidRDefault="00F81EDF" w:rsidP="00F81EDF">
      <w:pPr>
        <w:jc w:val="center"/>
        <w:rPr>
          <w:b/>
          <w:bCs/>
        </w:rPr>
      </w:pPr>
      <w:r>
        <w:lastRenderedPageBreak/>
        <w:t xml:space="preserve">México. </w:t>
      </w:r>
      <w:r w:rsidRPr="008A1583">
        <w:rPr>
          <w:b/>
          <w:bCs/>
        </w:rPr>
        <w:t>Vía Regulatoria Abreviada (</w:t>
      </w:r>
      <w:proofErr w:type="spellStart"/>
      <w:r w:rsidRPr="008A1583">
        <w:rPr>
          <w:b/>
          <w:bCs/>
        </w:rPr>
        <w:t>Reliance</w:t>
      </w:r>
      <w:proofErr w:type="spellEnd"/>
      <w:r w:rsidRPr="008A1583">
        <w:rPr>
          <w:b/>
          <w:bCs/>
        </w:rPr>
        <w:t>)</w:t>
      </w:r>
      <w:r>
        <w:rPr>
          <w:b/>
          <w:bCs/>
        </w:rPr>
        <w:t xml:space="preserve"> </w:t>
      </w:r>
      <w:r w:rsidRPr="008D4052">
        <w:rPr>
          <w:b/>
          <w:bCs/>
        </w:rPr>
        <w:t>para otorgar registros sanitarios de insumos para la salud</w:t>
      </w:r>
    </w:p>
    <w:p w14:paraId="6B455746" w14:textId="77777777" w:rsidR="00F81EDF" w:rsidRDefault="00F81EDF" w:rsidP="00F81EDF">
      <w:pPr>
        <w:jc w:val="center"/>
      </w:pPr>
      <w:r w:rsidRPr="00904CD7">
        <w:rPr>
          <w:i/>
          <w:iCs/>
        </w:rPr>
        <w:t>Comisión Federal para la Protección contra Riesgos Sanitarios</w:t>
      </w:r>
      <w:r>
        <w:rPr>
          <w:i/>
          <w:iCs/>
        </w:rPr>
        <w:t xml:space="preserve"> </w:t>
      </w:r>
      <w:r w:rsidRPr="00904CD7">
        <w:rPr>
          <w:i/>
          <w:iCs/>
          <w:color w:val="000000" w:themeColor="text1"/>
        </w:rPr>
        <w:t>(COFEPRIS)</w:t>
      </w:r>
      <w:r w:rsidRPr="00904CD7">
        <w:rPr>
          <w:i/>
          <w:iCs/>
        </w:rPr>
        <w:t>,</w:t>
      </w:r>
      <w:r>
        <w:t xml:space="preserve"> 19</w:t>
      </w:r>
      <w:r w:rsidRPr="00904CD7">
        <w:t xml:space="preserve"> de ju</w:t>
      </w:r>
      <w:r>
        <w:t>n</w:t>
      </w:r>
      <w:r w:rsidRPr="00904CD7">
        <w:t>io de 2026</w:t>
      </w:r>
    </w:p>
    <w:p w14:paraId="5E31FC88" w14:textId="77777777" w:rsidR="00F81EDF" w:rsidRDefault="00B00DA4" w:rsidP="00F81EDF">
      <w:pPr>
        <w:jc w:val="center"/>
      </w:pPr>
      <w:hyperlink r:id="rId52" w:history="1">
        <w:r w:rsidR="00F81EDF" w:rsidRPr="00D9077B">
          <w:rPr>
            <w:rStyle w:val="Hipervnculo"/>
          </w:rPr>
          <w:t>https://www.gob.mx/cofepris/acciones-y-programas/via-regulatoria-abreviada-reliance-2-0-428913</w:t>
        </w:r>
      </w:hyperlink>
    </w:p>
    <w:p w14:paraId="3EB1E105" w14:textId="77777777" w:rsidR="00F81EDF" w:rsidRDefault="00F81EDF" w:rsidP="00F81EDF">
      <w:pPr>
        <w:jc w:val="center"/>
      </w:pPr>
    </w:p>
    <w:p w14:paraId="0302EB1C" w14:textId="77777777" w:rsidR="001541A9" w:rsidRDefault="001541A9" w:rsidP="00F81EDF">
      <w:pPr>
        <w:rPr>
          <w:b/>
          <w:bCs/>
        </w:rPr>
        <w:sectPr w:rsidR="001541A9" w:rsidSect="00F25512">
          <w:type w:val="continuous"/>
          <w:pgSz w:w="12240" w:h="15840" w:code="1"/>
          <w:pgMar w:top="720" w:right="720" w:bottom="720" w:left="720" w:header="288" w:footer="288" w:gutter="0"/>
          <w:cols w:space="288"/>
          <w:docGrid w:linePitch="360"/>
        </w:sectPr>
      </w:pPr>
    </w:p>
    <w:p w14:paraId="49126112" w14:textId="6529788F" w:rsidR="00F81EDF" w:rsidRDefault="00F81EDF" w:rsidP="00F81EDF">
      <w:pPr>
        <w:rPr>
          <w:b/>
          <w:bCs/>
        </w:rPr>
      </w:pPr>
      <w:r w:rsidRPr="008A1583">
        <w:rPr>
          <w:b/>
          <w:bCs/>
        </w:rPr>
        <w:t xml:space="preserve">Vía </w:t>
      </w:r>
      <w:proofErr w:type="spellStart"/>
      <w:r w:rsidRPr="008A1583">
        <w:rPr>
          <w:b/>
          <w:bCs/>
        </w:rPr>
        <w:t>Reliance</w:t>
      </w:r>
      <w:proofErr w:type="spellEnd"/>
      <w:r>
        <w:rPr>
          <w:b/>
          <w:bCs/>
        </w:rPr>
        <w:t>: Evaluación</w:t>
      </w:r>
      <w:r w:rsidRPr="008A1583">
        <w:rPr>
          <w:b/>
          <w:bCs/>
        </w:rPr>
        <w:t xml:space="preserve"> </w:t>
      </w:r>
      <w:r>
        <w:rPr>
          <w:b/>
          <w:bCs/>
        </w:rPr>
        <w:t>a</w:t>
      </w:r>
      <w:r w:rsidRPr="008A1583">
        <w:rPr>
          <w:b/>
          <w:bCs/>
        </w:rPr>
        <w:t>breviada</w:t>
      </w:r>
      <w:r>
        <w:rPr>
          <w:b/>
          <w:bCs/>
        </w:rPr>
        <w:t xml:space="preserve"> basada en Autoridades Regulatorias de Referencia (ARR)</w:t>
      </w:r>
    </w:p>
    <w:p w14:paraId="6122CABA" w14:textId="77777777" w:rsidR="00F81EDF" w:rsidRDefault="00F81EDF" w:rsidP="00F81EDF">
      <w:pPr>
        <w:rPr>
          <w:b/>
          <w:bCs/>
        </w:rPr>
      </w:pPr>
    </w:p>
    <w:p w14:paraId="0EC81D96" w14:textId="32F5006F" w:rsidR="00F81EDF" w:rsidRPr="002A598C" w:rsidRDefault="00F81EDF" w:rsidP="00F81EDF">
      <w:r w:rsidRPr="002A598C">
        <w:t>Esta modalidad permite a las empresas farmacéuticas y de dispositivos médicos obtener registros sanitarios en México basándose en aprobaciones previas de</w:t>
      </w:r>
      <w:r w:rsidR="002334B2">
        <w:t xml:space="preserve"> </w:t>
      </w:r>
      <w:r w:rsidRPr="002A598C">
        <w:t>Autoridades Regulatorias de Referencia (ARR)</w:t>
      </w:r>
      <w:r w:rsidR="002334B2">
        <w:t xml:space="preserve"> </w:t>
      </w:r>
      <w:r w:rsidRPr="002A598C">
        <w:t>reconocidas por México, lo que facilita un acceso al mercado más rápido y eficiente; asegurando la calidad, seguridad y eficacia de dichos insumos.</w:t>
      </w:r>
    </w:p>
    <w:p w14:paraId="2E23B911" w14:textId="373AF831" w:rsidR="00F81EDF" w:rsidRPr="002A598C" w:rsidRDefault="002334B2" w:rsidP="00F81EDF">
      <w:r>
        <w:t xml:space="preserve"> </w:t>
      </w:r>
    </w:p>
    <w:p w14:paraId="58AFE288" w14:textId="61E6BA30" w:rsidR="00F81EDF" w:rsidRPr="002A598C" w:rsidRDefault="001541A9" w:rsidP="00F81EDF">
      <w:r>
        <w:t>L</w:t>
      </w:r>
      <w:r w:rsidR="00F81EDF" w:rsidRPr="002A598C">
        <w:t xml:space="preserve">a Vía </w:t>
      </w:r>
      <w:proofErr w:type="spellStart"/>
      <w:r w:rsidR="00F81EDF" w:rsidRPr="002A598C">
        <w:t>Reliance</w:t>
      </w:r>
      <w:proofErr w:type="spellEnd"/>
      <w:r>
        <w:t xml:space="preserve"> e</w:t>
      </w:r>
      <w:r w:rsidR="00F81EDF" w:rsidRPr="002A598C">
        <w:t>s un procedimiento de evaluación abreviad</w:t>
      </w:r>
      <w:r w:rsidR="00F81EDF">
        <w:t>o</w:t>
      </w:r>
      <w:r w:rsidR="00F81EDF" w:rsidRPr="002A598C">
        <w:t xml:space="preserve"> en el que</w:t>
      </w:r>
      <w:r w:rsidR="002334B2">
        <w:t xml:space="preserve"> </w:t>
      </w:r>
      <w:r w:rsidR="00F81EDF" w:rsidRPr="002A598C">
        <w:t>COFEPRIS</w:t>
      </w:r>
      <w:r w:rsidR="002334B2">
        <w:t xml:space="preserve"> </w:t>
      </w:r>
      <w:r w:rsidR="00F81EDF" w:rsidRPr="002A598C">
        <w:t>reconoce las evaluaciones realizadas por</w:t>
      </w:r>
      <w:r w:rsidR="002334B2">
        <w:t xml:space="preserve"> </w:t>
      </w:r>
      <w:r w:rsidR="00F81EDF" w:rsidRPr="002A598C">
        <w:t>ARR</w:t>
      </w:r>
      <w:r w:rsidR="002334B2">
        <w:t xml:space="preserve"> </w:t>
      </w:r>
      <w:r w:rsidR="00F81EDF" w:rsidRPr="002A598C">
        <w:t>para emitir el registro sanitario en México.</w:t>
      </w:r>
    </w:p>
    <w:p w14:paraId="6E92541E" w14:textId="77777777" w:rsidR="00F81EDF" w:rsidRDefault="00F81EDF" w:rsidP="00F81EDF"/>
    <w:p w14:paraId="7EB2057F" w14:textId="77777777" w:rsidR="00F81EDF" w:rsidRDefault="00F81EDF" w:rsidP="00F81EDF">
      <w:r w:rsidRPr="002A598C">
        <w:rPr>
          <w:noProof/>
        </w:rPr>
        <w:drawing>
          <wp:inline distT="0" distB="0" distL="0" distR="0" wp14:anchorId="2D87D5CB" wp14:editId="61374680">
            <wp:extent cx="3266469" cy="1006869"/>
            <wp:effectExtent l="0" t="0" r="0" b="3175"/>
            <wp:docPr id="13212948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294898" name=""/>
                    <pic:cNvPicPr/>
                  </pic:nvPicPr>
                  <pic:blipFill>
                    <a:blip r:embed="rId53"/>
                    <a:stretch>
                      <a:fillRect/>
                    </a:stretch>
                  </pic:blipFill>
                  <pic:spPr>
                    <a:xfrm>
                      <a:off x="0" y="0"/>
                      <a:ext cx="3324686" cy="1024814"/>
                    </a:xfrm>
                    <a:prstGeom prst="rect">
                      <a:avLst/>
                    </a:prstGeom>
                  </pic:spPr>
                </pic:pic>
              </a:graphicData>
            </a:graphic>
          </wp:inline>
        </w:drawing>
      </w:r>
    </w:p>
    <w:p w14:paraId="0E89CA0F" w14:textId="77777777" w:rsidR="00F81EDF" w:rsidRDefault="00F81EDF" w:rsidP="00F81EDF">
      <w:pPr>
        <w:jc w:val="center"/>
      </w:pPr>
    </w:p>
    <w:p w14:paraId="0054EB5D" w14:textId="708A01DE" w:rsidR="00F81EDF" w:rsidRPr="00267512" w:rsidRDefault="00F81EDF" w:rsidP="00F81EDF">
      <w:pPr>
        <w:rPr>
          <w:b/>
          <w:bCs/>
        </w:rPr>
      </w:pPr>
      <w:r w:rsidRPr="00C46A5C">
        <w:rPr>
          <w:b/>
          <w:bCs/>
        </w:rPr>
        <w:t>Resumen del esquema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6"/>
        <w:gridCol w:w="4090"/>
      </w:tblGrid>
      <w:tr w:rsidR="00F81EDF" w14:paraId="33DBA364" w14:textId="77777777" w:rsidTr="00267512">
        <w:tc>
          <w:tcPr>
            <w:tcW w:w="1170" w:type="dxa"/>
            <w:tcBorders>
              <w:top w:val="single" w:sz="4" w:space="0" w:color="auto"/>
              <w:bottom w:val="single" w:sz="4" w:space="0" w:color="auto"/>
            </w:tcBorders>
            <w:tcMar>
              <w:top w:w="86" w:type="dxa"/>
              <w:left w:w="115" w:type="dxa"/>
              <w:right w:w="115" w:type="dxa"/>
            </w:tcMar>
          </w:tcPr>
          <w:p w14:paraId="54D5F2D3" w14:textId="77777777" w:rsidR="00F81EDF" w:rsidRPr="00C46A5C" w:rsidRDefault="00F81EDF" w:rsidP="00A75BA2">
            <w:pPr>
              <w:rPr>
                <w:b/>
                <w:bCs/>
                <w:sz w:val="18"/>
                <w:szCs w:val="22"/>
              </w:rPr>
            </w:pPr>
            <w:r w:rsidRPr="00C46A5C">
              <w:rPr>
                <w:b/>
                <w:bCs/>
                <w:sz w:val="18"/>
                <w:szCs w:val="22"/>
              </w:rPr>
              <w:t>Aspecto</w:t>
            </w:r>
          </w:p>
        </w:tc>
        <w:tc>
          <w:tcPr>
            <w:tcW w:w="4410" w:type="dxa"/>
            <w:tcBorders>
              <w:top w:val="single" w:sz="4" w:space="0" w:color="auto"/>
              <w:bottom w:val="single" w:sz="4" w:space="0" w:color="auto"/>
            </w:tcBorders>
            <w:tcMar>
              <w:top w:w="86" w:type="dxa"/>
              <w:left w:w="115" w:type="dxa"/>
              <w:right w:w="115" w:type="dxa"/>
            </w:tcMar>
          </w:tcPr>
          <w:p w14:paraId="2ED170A8" w14:textId="77777777" w:rsidR="00F81EDF" w:rsidRPr="00C46A5C" w:rsidRDefault="00F81EDF" w:rsidP="00267512">
            <w:pPr>
              <w:ind w:right="-26"/>
              <w:rPr>
                <w:b/>
                <w:bCs/>
                <w:sz w:val="18"/>
                <w:szCs w:val="22"/>
              </w:rPr>
            </w:pPr>
            <w:r w:rsidRPr="00C46A5C">
              <w:rPr>
                <w:b/>
                <w:bCs/>
                <w:sz w:val="18"/>
                <w:szCs w:val="22"/>
              </w:rPr>
              <w:t>Descripción</w:t>
            </w:r>
          </w:p>
        </w:tc>
      </w:tr>
      <w:tr w:rsidR="00F81EDF" w14:paraId="54A1913C" w14:textId="77777777" w:rsidTr="00267512">
        <w:tc>
          <w:tcPr>
            <w:tcW w:w="1170" w:type="dxa"/>
            <w:tcBorders>
              <w:top w:val="single" w:sz="4" w:space="0" w:color="auto"/>
            </w:tcBorders>
            <w:tcMar>
              <w:top w:w="86" w:type="dxa"/>
              <w:left w:w="115" w:type="dxa"/>
              <w:right w:w="115" w:type="dxa"/>
            </w:tcMar>
          </w:tcPr>
          <w:p w14:paraId="0C17FC50" w14:textId="77777777" w:rsidR="00F81EDF" w:rsidRPr="00C46A5C" w:rsidRDefault="00F81EDF" w:rsidP="00A75BA2">
            <w:pPr>
              <w:rPr>
                <w:sz w:val="18"/>
                <w:szCs w:val="22"/>
              </w:rPr>
            </w:pPr>
            <w:r w:rsidRPr="00C46A5C">
              <w:rPr>
                <w:sz w:val="18"/>
                <w:szCs w:val="22"/>
              </w:rPr>
              <w:t>Alcance</w:t>
            </w:r>
          </w:p>
        </w:tc>
        <w:tc>
          <w:tcPr>
            <w:tcW w:w="4410" w:type="dxa"/>
            <w:tcBorders>
              <w:top w:val="single" w:sz="4" w:space="0" w:color="auto"/>
            </w:tcBorders>
            <w:tcMar>
              <w:top w:w="86" w:type="dxa"/>
              <w:left w:w="115" w:type="dxa"/>
              <w:right w:w="115" w:type="dxa"/>
            </w:tcMar>
          </w:tcPr>
          <w:p w14:paraId="0F373965" w14:textId="77777777" w:rsidR="00F81EDF" w:rsidRPr="00C46A5C" w:rsidRDefault="00F81EDF" w:rsidP="00267512">
            <w:pPr>
              <w:ind w:right="-26"/>
              <w:rPr>
                <w:sz w:val="18"/>
                <w:szCs w:val="22"/>
              </w:rPr>
            </w:pPr>
            <w:r w:rsidRPr="00C46A5C">
              <w:rPr>
                <w:sz w:val="18"/>
                <w:szCs w:val="22"/>
              </w:rPr>
              <w:t>Medicamentos y dispositivos médicos</w:t>
            </w:r>
          </w:p>
        </w:tc>
      </w:tr>
      <w:tr w:rsidR="00F81EDF" w14:paraId="75A4EBDC" w14:textId="77777777" w:rsidTr="00267512">
        <w:tc>
          <w:tcPr>
            <w:tcW w:w="1170" w:type="dxa"/>
            <w:tcMar>
              <w:top w:w="86" w:type="dxa"/>
              <w:left w:w="115" w:type="dxa"/>
              <w:right w:w="115" w:type="dxa"/>
            </w:tcMar>
          </w:tcPr>
          <w:p w14:paraId="554D97D1" w14:textId="79769975" w:rsidR="00F81EDF" w:rsidRPr="00C46A5C" w:rsidRDefault="00F81EDF" w:rsidP="00A75BA2">
            <w:pPr>
              <w:rPr>
                <w:sz w:val="18"/>
                <w:szCs w:val="22"/>
              </w:rPr>
            </w:pPr>
            <w:r>
              <w:rPr>
                <w:sz w:val="18"/>
                <w:szCs w:val="22"/>
              </w:rPr>
              <w:t>B</w:t>
            </w:r>
            <w:r w:rsidR="00267512">
              <w:rPr>
                <w:sz w:val="18"/>
                <w:szCs w:val="22"/>
              </w:rPr>
              <w:t>a</w:t>
            </w:r>
            <w:r>
              <w:rPr>
                <w:sz w:val="18"/>
                <w:szCs w:val="22"/>
              </w:rPr>
              <w:t>sado en</w:t>
            </w:r>
          </w:p>
        </w:tc>
        <w:tc>
          <w:tcPr>
            <w:tcW w:w="4410" w:type="dxa"/>
            <w:tcMar>
              <w:top w:w="86" w:type="dxa"/>
              <w:left w:w="115" w:type="dxa"/>
              <w:right w:w="115" w:type="dxa"/>
            </w:tcMar>
          </w:tcPr>
          <w:p w14:paraId="1CC611C8" w14:textId="77777777" w:rsidR="00F81EDF" w:rsidRPr="00C46A5C" w:rsidRDefault="00F81EDF" w:rsidP="00267512">
            <w:pPr>
              <w:ind w:right="-26"/>
              <w:rPr>
                <w:sz w:val="18"/>
                <w:szCs w:val="22"/>
              </w:rPr>
            </w:pPr>
            <w:r w:rsidRPr="00C46A5C">
              <w:rPr>
                <w:sz w:val="18"/>
                <w:szCs w:val="22"/>
              </w:rPr>
              <w:t>Decisiones de Autoridades Regulatorias de Referencia (ARR)</w:t>
            </w:r>
          </w:p>
        </w:tc>
      </w:tr>
      <w:tr w:rsidR="00F81EDF" w14:paraId="33945BF5" w14:textId="77777777" w:rsidTr="00267512">
        <w:tc>
          <w:tcPr>
            <w:tcW w:w="1170" w:type="dxa"/>
            <w:tcMar>
              <w:top w:w="86" w:type="dxa"/>
              <w:left w:w="115" w:type="dxa"/>
              <w:right w:w="115" w:type="dxa"/>
            </w:tcMar>
          </w:tcPr>
          <w:p w14:paraId="52F95EB1" w14:textId="77777777" w:rsidR="00F81EDF" w:rsidRPr="00C46A5C" w:rsidRDefault="00F81EDF" w:rsidP="00A75BA2">
            <w:pPr>
              <w:rPr>
                <w:sz w:val="18"/>
                <w:szCs w:val="22"/>
              </w:rPr>
            </w:pPr>
            <w:r>
              <w:rPr>
                <w:sz w:val="18"/>
                <w:szCs w:val="22"/>
              </w:rPr>
              <w:t>Objetivo</w:t>
            </w:r>
          </w:p>
        </w:tc>
        <w:tc>
          <w:tcPr>
            <w:tcW w:w="4410" w:type="dxa"/>
            <w:tcMar>
              <w:top w:w="86" w:type="dxa"/>
              <w:left w:w="115" w:type="dxa"/>
              <w:right w:w="115" w:type="dxa"/>
            </w:tcMar>
          </w:tcPr>
          <w:p w14:paraId="43B28B3C" w14:textId="77777777" w:rsidR="00F81EDF" w:rsidRPr="00C46A5C" w:rsidRDefault="00F81EDF" w:rsidP="00267512">
            <w:pPr>
              <w:ind w:right="-26"/>
              <w:rPr>
                <w:sz w:val="18"/>
                <w:szCs w:val="22"/>
              </w:rPr>
            </w:pPr>
            <w:r w:rsidRPr="00163BDF">
              <w:rPr>
                <w:sz w:val="18"/>
                <w:szCs w:val="22"/>
              </w:rPr>
              <w:t>Agilizar la evaluación para el otorgamiento del registro sanitario</w:t>
            </w:r>
          </w:p>
        </w:tc>
      </w:tr>
      <w:tr w:rsidR="00F81EDF" w14:paraId="3245832E" w14:textId="77777777" w:rsidTr="00267512">
        <w:tc>
          <w:tcPr>
            <w:tcW w:w="1170" w:type="dxa"/>
            <w:tcMar>
              <w:top w:w="86" w:type="dxa"/>
              <w:left w:w="115" w:type="dxa"/>
              <w:right w:w="115" w:type="dxa"/>
            </w:tcMar>
          </w:tcPr>
          <w:p w14:paraId="5D9893B4" w14:textId="77777777" w:rsidR="00F81EDF" w:rsidRPr="00C46A5C" w:rsidRDefault="00F81EDF" w:rsidP="00A75BA2">
            <w:pPr>
              <w:rPr>
                <w:sz w:val="18"/>
                <w:szCs w:val="22"/>
              </w:rPr>
            </w:pPr>
            <w:r>
              <w:rPr>
                <w:sz w:val="18"/>
                <w:szCs w:val="22"/>
              </w:rPr>
              <w:t>Beneficio</w:t>
            </w:r>
          </w:p>
        </w:tc>
        <w:tc>
          <w:tcPr>
            <w:tcW w:w="4410" w:type="dxa"/>
            <w:tcMar>
              <w:top w:w="86" w:type="dxa"/>
              <w:left w:w="115" w:type="dxa"/>
              <w:right w:w="115" w:type="dxa"/>
            </w:tcMar>
          </w:tcPr>
          <w:p w14:paraId="41674817" w14:textId="77777777" w:rsidR="00F81EDF" w:rsidRPr="00C46A5C" w:rsidRDefault="00F81EDF" w:rsidP="00267512">
            <w:pPr>
              <w:ind w:right="-26"/>
              <w:rPr>
                <w:sz w:val="18"/>
                <w:szCs w:val="22"/>
              </w:rPr>
            </w:pPr>
            <w:r w:rsidRPr="00163BDF">
              <w:rPr>
                <w:sz w:val="18"/>
                <w:szCs w:val="22"/>
              </w:rPr>
              <w:t>Acceso más oportuno al mercado con estándares de calidad, seguridad y eficacia</w:t>
            </w:r>
          </w:p>
        </w:tc>
      </w:tr>
      <w:tr w:rsidR="00F81EDF" w14:paraId="45243921" w14:textId="77777777" w:rsidTr="00267512">
        <w:tc>
          <w:tcPr>
            <w:tcW w:w="1170" w:type="dxa"/>
            <w:tcBorders>
              <w:bottom w:val="single" w:sz="4" w:space="0" w:color="auto"/>
            </w:tcBorders>
            <w:tcMar>
              <w:top w:w="86" w:type="dxa"/>
              <w:left w:w="115" w:type="dxa"/>
              <w:right w:w="115" w:type="dxa"/>
            </w:tcMar>
          </w:tcPr>
          <w:p w14:paraId="2FC659F9" w14:textId="77777777" w:rsidR="00F81EDF" w:rsidRPr="00C46A5C" w:rsidRDefault="00F81EDF" w:rsidP="00A75BA2">
            <w:pPr>
              <w:rPr>
                <w:sz w:val="18"/>
                <w:szCs w:val="22"/>
              </w:rPr>
            </w:pPr>
            <w:r>
              <w:rPr>
                <w:sz w:val="18"/>
                <w:szCs w:val="22"/>
              </w:rPr>
              <w:t>Fundamento</w:t>
            </w:r>
          </w:p>
        </w:tc>
        <w:tc>
          <w:tcPr>
            <w:tcW w:w="4410" w:type="dxa"/>
            <w:tcBorders>
              <w:bottom w:val="single" w:sz="4" w:space="0" w:color="auto"/>
            </w:tcBorders>
            <w:tcMar>
              <w:top w:w="86" w:type="dxa"/>
              <w:left w:w="115" w:type="dxa"/>
              <w:right w:w="115" w:type="dxa"/>
            </w:tcMar>
          </w:tcPr>
          <w:p w14:paraId="67766C43" w14:textId="77777777" w:rsidR="00F81EDF" w:rsidRPr="00C46A5C" w:rsidRDefault="00F81EDF" w:rsidP="00267512">
            <w:pPr>
              <w:ind w:right="-26"/>
              <w:rPr>
                <w:sz w:val="18"/>
                <w:szCs w:val="22"/>
              </w:rPr>
            </w:pPr>
            <w:r w:rsidRPr="00163BDF">
              <w:rPr>
                <w:sz w:val="18"/>
                <w:szCs w:val="22"/>
              </w:rPr>
              <w:t>Acuerdos de equivalencia y reconocimientos internacionales</w:t>
            </w:r>
          </w:p>
        </w:tc>
      </w:tr>
    </w:tbl>
    <w:p w14:paraId="19B08B52" w14:textId="77777777" w:rsidR="00F81EDF" w:rsidRDefault="00F81EDF" w:rsidP="00F81EDF">
      <w:pPr>
        <w:rPr>
          <w:b/>
          <w:bCs/>
        </w:rPr>
      </w:pPr>
    </w:p>
    <w:p w14:paraId="61342005" w14:textId="6B819F5F" w:rsidR="00F81EDF" w:rsidRDefault="00F81EDF" w:rsidP="00F81EDF">
      <w:pPr>
        <w:rPr>
          <w:b/>
          <w:bCs/>
        </w:rPr>
      </w:pPr>
      <w:r w:rsidRPr="00163BDF">
        <w:rPr>
          <w:b/>
          <w:bCs/>
        </w:rPr>
        <w:t>Documentos disponibles</w:t>
      </w:r>
    </w:p>
    <w:p w14:paraId="27BD3C21" w14:textId="77777777" w:rsidR="00F81EDF" w:rsidRDefault="00F81EDF" w:rsidP="00F81EDF">
      <w:pPr>
        <w:rPr>
          <w:b/>
          <w:bCs/>
        </w:rPr>
      </w:pPr>
      <w:r>
        <w:rPr>
          <w:b/>
          <w:bCs/>
        </w:rPr>
        <w:t>Medicamentos</w:t>
      </w:r>
    </w:p>
    <w:p w14:paraId="21B88F70" w14:textId="77777777" w:rsidR="00F81EDF" w:rsidRDefault="00F81EDF" w:rsidP="00F81EDF">
      <w:r>
        <w:t>Documento Médico Común</w:t>
      </w:r>
      <w:r w:rsidRPr="00981575">
        <w:t xml:space="preserve"> Versión 3.0:</w:t>
      </w:r>
      <w:r>
        <w:rPr>
          <w:b/>
          <w:bCs/>
        </w:rPr>
        <w:t xml:space="preserve"> </w:t>
      </w:r>
      <w:r w:rsidRPr="00981575">
        <w:t>Estos documentos orientan en la integración del Expediente de solicitud de registro sanitario y sus modificaciones, para medicamentos y productos biológicos.</w:t>
      </w:r>
    </w:p>
    <w:p w14:paraId="4063802C" w14:textId="77777777" w:rsidR="00F81EDF" w:rsidRDefault="00B00DA4" w:rsidP="00F81EDF">
      <w:hyperlink r:id="rId54" w:history="1">
        <w:r w:rsidR="00F81EDF" w:rsidRPr="00981575">
          <w:rPr>
            <w:rStyle w:val="Hipervnculo"/>
          </w:rPr>
          <w:t>https://www.gob.mx/cofepris/documentos/documento-tecnico-comun-ctd-version-3-0</w:t>
        </w:r>
      </w:hyperlink>
    </w:p>
    <w:p w14:paraId="4438F293" w14:textId="77777777" w:rsidR="00F81EDF" w:rsidRDefault="00F81EDF" w:rsidP="00F81EDF"/>
    <w:p w14:paraId="57BEBC08" w14:textId="77777777" w:rsidR="00F81EDF" w:rsidRDefault="00F81EDF" w:rsidP="00F81EDF">
      <w:r>
        <w:t xml:space="preserve">Acuerdos de equivalencias en México para Medicamentos, </w:t>
      </w:r>
      <w:proofErr w:type="spellStart"/>
      <w:r>
        <w:t>Reliance</w:t>
      </w:r>
      <w:proofErr w:type="spellEnd"/>
      <w:r>
        <w:t>:</w:t>
      </w:r>
    </w:p>
    <w:p w14:paraId="4B405573" w14:textId="77777777" w:rsidR="00F81EDF" w:rsidRDefault="00B00DA4" w:rsidP="00F81EDF">
      <w:hyperlink r:id="rId55" w:history="1">
        <w:r w:rsidR="00F81EDF" w:rsidRPr="00D9077B">
          <w:rPr>
            <w:rStyle w:val="Hipervnculo"/>
          </w:rPr>
          <w:t>https://www.gob.mx/cms/uploads/attachment/file/1084560/Acuerdos_equivalencias_M_xico_Med_RELIANCE_06-06.pdf</w:t>
        </w:r>
      </w:hyperlink>
    </w:p>
    <w:p w14:paraId="7E1AEEBF" w14:textId="77777777" w:rsidR="00F81EDF" w:rsidRDefault="00F81EDF" w:rsidP="00F81EDF">
      <w:pPr>
        <w:rPr>
          <w:b/>
          <w:bCs/>
        </w:rPr>
      </w:pPr>
    </w:p>
    <w:p w14:paraId="6A460AA6" w14:textId="77777777" w:rsidR="00F81EDF" w:rsidRPr="00163BDF" w:rsidRDefault="00F81EDF" w:rsidP="00F81EDF">
      <w:r>
        <w:rPr>
          <w:b/>
          <w:bCs/>
        </w:rPr>
        <w:t>Dispositivos Médicos</w:t>
      </w:r>
    </w:p>
    <w:p w14:paraId="1C13667D" w14:textId="77777777" w:rsidR="00F81EDF" w:rsidRDefault="00F81EDF" w:rsidP="00F81EDF">
      <w:r>
        <w:t>Guía de la COFEPRIS sobre los requisitos para el trámite de registro sanitario d</w:t>
      </w:r>
      <w:r w:rsidRPr="00E37FEE">
        <w:t>e dispositivos médicos mediante acuerdos de equivalencia y vía regulatoria abreviada</w:t>
      </w:r>
      <w:r>
        <w:t xml:space="preserve">: </w:t>
      </w:r>
      <w:hyperlink r:id="rId56" w:history="1">
        <w:r w:rsidRPr="00D9077B">
          <w:rPr>
            <w:rStyle w:val="Hipervnculo"/>
          </w:rPr>
          <w:t>https://www.gob.mx/cms/uploads/attachment/file/1084062/GUIA_DE_REQUISITOS_VIA_R_abreviada_-_12062026__002__F.pdf</w:t>
        </w:r>
      </w:hyperlink>
    </w:p>
    <w:p w14:paraId="2F4F7745" w14:textId="77777777" w:rsidR="00F81EDF" w:rsidRDefault="00F81EDF" w:rsidP="00F81EDF"/>
    <w:p w14:paraId="169F4BD7" w14:textId="77777777" w:rsidR="00F81EDF" w:rsidRDefault="00F81EDF" w:rsidP="00F81EDF">
      <w:r>
        <w:t xml:space="preserve">Acuerdos de equivalencias en México para Dispositivos Médicos, </w:t>
      </w:r>
      <w:proofErr w:type="spellStart"/>
      <w:r>
        <w:t>Reliance</w:t>
      </w:r>
      <w:proofErr w:type="spellEnd"/>
      <w:r>
        <w:t xml:space="preserve">: </w:t>
      </w:r>
      <w:hyperlink r:id="rId57" w:history="1">
        <w:r w:rsidRPr="00D9077B">
          <w:rPr>
            <w:rStyle w:val="Hipervnculo"/>
          </w:rPr>
          <w:t>https://www.gob.mx/cms/uploads/attachment/file/1084063/RELIANCE_12062026.pdf</w:t>
        </w:r>
      </w:hyperlink>
    </w:p>
    <w:p w14:paraId="782D2C4D" w14:textId="77777777" w:rsidR="00F81EDF" w:rsidRDefault="00F81EDF" w:rsidP="00F81EDF"/>
    <w:p w14:paraId="780984D3" w14:textId="190610B4" w:rsidR="00F81EDF" w:rsidRDefault="00F81EDF" w:rsidP="00F81EDF">
      <w:r w:rsidRPr="00902BBC">
        <w:rPr>
          <w:b/>
          <w:bCs/>
        </w:rPr>
        <w:t>Comentario de Salud y Fármacos:</w:t>
      </w:r>
      <w:r>
        <w:t xml:space="preserve"> L</w:t>
      </w:r>
      <w:r w:rsidRPr="00417DC1">
        <w:t xml:space="preserve">a </w:t>
      </w:r>
      <w:r>
        <w:t xml:space="preserve">nueva </w:t>
      </w:r>
      <w:r w:rsidRPr="00417DC1">
        <w:t xml:space="preserve">medida </w:t>
      </w:r>
      <w:r>
        <w:t xml:space="preserve">de la COFEPRIS </w:t>
      </w:r>
      <w:r w:rsidRPr="00417DC1">
        <w:t xml:space="preserve">contempla el reconocimiento de </w:t>
      </w:r>
      <w:r>
        <w:t xml:space="preserve">las </w:t>
      </w:r>
      <w:r w:rsidRPr="00417DC1">
        <w:t xml:space="preserve">autorizaciones emitidas por </w:t>
      </w:r>
      <w:r>
        <w:t>los miembros permanentes del Consejo Internacional para la Armonización o por aquellos entes designados como Autoridades por la Organización Mundial de la Salud (OMS) con funciones de autorización de comercialización, entre los que se encuentra</w:t>
      </w:r>
      <w:r w:rsidRPr="00417DC1">
        <w:t xml:space="preserve"> la FDA, la</w:t>
      </w:r>
      <w:r>
        <w:t xml:space="preserve"> </w:t>
      </w:r>
      <w:r w:rsidRPr="00417DC1">
        <w:t xml:space="preserve">EMA, </w:t>
      </w:r>
      <w:proofErr w:type="spellStart"/>
      <w:r w:rsidRPr="00417DC1">
        <w:t>Health</w:t>
      </w:r>
      <w:proofErr w:type="spellEnd"/>
      <w:r w:rsidRPr="00417DC1">
        <w:t xml:space="preserve"> </w:t>
      </w:r>
      <w:proofErr w:type="spellStart"/>
      <w:r w:rsidRPr="00417DC1">
        <w:t>Canada</w:t>
      </w:r>
      <w:proofErr w:type="spellEnd"/>
      <w:r w:rsidRPr="00417DC1">
        <w:t xml:space="preserve">, </w:t>
      </w:r>
      <w:proofErr w:type="spellStart"/>
      <w:r w:rsidRPr="00417DC1">
        <w:t>Swissmedic</w:t>
      </w:r>
      <w:proofErr w:type="spellEnd"/>
      <w:r w:rsidRPr="00417DC1">
        <w:t xml:space="preserve"> y</w:t>
      </w:r>
      <w:r>
        <w:t xml:space="preserve"> otras</w:t>
      </w:r>
      <w:r w:rsidRPr="00417DC1">
        <w:t xml:space="preserve"> autoridades regulatorias</w:t>
      </w:r>
      <w:r>
        <w:t xml:space="preserve"> [1, 2]</w:t>
      </w:r>
      <w:r w:rsidRPr="00417DC1">
        <w:t>.</w:t>
      </w:r>
    </w:p>
    <w:p w14:paraId="2039806D" w14:textId="77777777" w:rsidR="00F81EDF" w:rsidRDefault="00F81EDF" w:rsidP="00F81EDF"/>
    <w:p w14:paraId="59008D1E" w14:textId="77777777" w:rsidR="00F81EDF" w:rsidRDefault="00F81EDF" w:rsidP="00F81EDF">
      <w:r>
        <w:t>En el marco de la nueva vía regulatoria abreviada (</w:t>
      </w:r>
      <w:proofErr w:type="spellStart"/>
      <w:r w:rsidRPr="002334B2">
        <w:rPr>
          <w:i/>
        </w:rPr>
        <w:t>Reliance</w:t>
      </w:r>
      <w:proofErr w:type="spellEnd"/>
      <w:r>
        <w:t>), México designó oficialmente al Ministerio de Seguridad Alimentaria y Farmacéutica de Corea del Sur como una Autoridad Reguladora de Referencia para medicamentos, una decisión que agiliza el ingreso de productos farmacéuticos surcoreanos a ese país y que fortalece el comercio farmacéutico transpacífico [2].</w:t>
      </w:r>
    </w:p>
    <w:p w14:paraId="0532A898" w14:textId="77777777" w:rsidR="00F81EDF" w:rsidRDefault="00F81EDF" w:rsidP="00F81EDF"/>
    <w:p w14:paraId="037A89E4" w14:textId="518186D9" w:rsidR="00F81EDF" w:rsidRDefault="00F81EDF" w:rsidP="00F81EDF">
      <w:r w:rsidRPr="00D2577A">
        <w:t>Las implicaciones de esta nueva vía abreviada</w:t>
      </w:r>
      <w:r w:rsidR="002334B2">
        <w:t>,</w:t>
      </w:r>
      <w:r w:rsidRPr="00D2577A">
        <w:t xml:space="preserve"> avalada por la COFEPRIS</w:t>
      </w:r>
      <w:r w:rsidR="002334B2">
        <w:t>,</w:t>
      </w:r>
      <w:r w:rsidRPr="00D2577A">
        <w:t xml:space="preserve"> atrae </w:t>
      </w:r>
      <w:r w:rsidR="002334B2">
        <w:t xml:space="preserve">a </w:t>
      </w:r>
      <w:r w:rsidRPr="00D2577A">
        <w:t>inversionistas farmacéuticos</w:t>
      </w:r>
      <w:r>
        <w:t>,</w:t>
      </w:r>
      <w:r w:rsidRPr="00D2577A">
        <w:t xml:space="preserve"> promueve la competitividad de este mercado mexicano</w:t>
      </w:r>
      <w:r>
        <w:t xml:space="preserve"> y</w:t>
      </w:r>
      <w:r w:rsidR="00D0790C">
        <w:t>,</w:t>
      </w:r>
      <w:r>
        <w:t xml:space="preserve"> la </w:t>
      </w:r>
      <w:r w:rsidRPr="00D2577A">
        <w:t xml:space="preserve">posibilidad de reducir </w:t>
      </w:r>
      <w:r>
        <w:t xml:space="preserve">los </w:t>
      </w:r>
      <w:r w:rsidRPr="00D2577A">
        <w:t xml:space="preserve">tiempos </w:t>
      </w:r>
      <w:r>
        <w:t xml:space="preserve">de aprobación </w:t>
      </w:r>
      <w:r w:rsidRPr="00D2577A">
        <w:t>regulatori</w:t>
      </w:r>
      <w:r>
        <w:t>a</w:t>
      </w:r>
      <w:r w:rsidRPr="00D2577A">
        <w:t xml:space="preserve"> p</w:t>
      </w:r>
      <w:r>
        <w:t>uede</w:t>
      </w:r>
      <w:r w:rsidRPr="00D2577A">
        <w:t xml:space="preserve"> acelerar la </w:t>
      </w:r>
      <w:r>
        <w:t>entra</w:t>
      </w:r>
      <w:r w:rsidRPr="00D2577A">
        <w:t xml:space="preserve">da de medicamentos que ya fueron evaluados y autorizados por </w:t>
      </w:r>
      <w:r>
        <w:t xml:space="preserve">otras </w:t>
      </w:r>
      <w:r w:rsidRPr="00D2577A">
        <w:t xml:space="preserve">autoridades sanitarias internacionales </w:t>
      </w:r>
      <w:r>
        <w:t xml:space="preserve">que gozan </w:t>
      </w:r>
      <w:r w:rsidRPr="00D2577A">
        <w:t>de alto prestigio</w:t>
      </w:r>
      <w:r w:rsidR="002334B2">
        <w:t>. Sin embargo</w:t>
      </w:r>
      <w:r w:rsidRPr="00D2577A">
        <w:t>, especialistas advierten que la rapidez regulatoria debe mantenerse acompañada de mecanismos sólidos de vigilancia sanitaria</w:t>
      </w:r>
      <w:r w:rsidR="002334B2">
        <w:t>,</w:t>
      </w:r>
      <w:r>
        <w:t xml:space="preserve"> porque l</w:t>
      </w:r>
      <w:r w:rsidRPr="00D2577A">
        <w:t xml:space="preserve">a confianza en el sistema depende tanto de la eficiencia como de la capacidad </w:t>
      </w:r>
      <w:r>
        <w:t xml:space="preserve">de las autoridades regulatorias </w:t>
      </w:r>
      <w:r w:rsidRPr="00D2577A">
        <w:t>para garantizar seguridad, calidad y eficacia de los productos disponibles en el mercado</w:t>
      </w:r>
      <w:r>
        <w:t xml:space="preserve"> [1]</w:t>
      </w:r>
      <w:r w:rsidRPr="00D2577A">
        <w:t>.</w:t>
      </w:r>
      <w:r>
        <w:t xml:space="preserve"> Y, con la nueva medida, la COFEPRIS simplificará notoriamente las revisiones técnicas de la calidad, seguridad y eficacia de productos farmacéuticos coreanos [y de otros países], cuyo mecanismo acelerado hará que las decisiones de aprobación final se emitan en un plazo máximo de 45 días hábiles [2]. </w:t>
      </w:r>
    </w:p>
    <w:p w14:paraId="0F08ABED" w14:textId="77777777" w:rsidR="00F81EDF" w:rsidRDefault="00F81EDF" w:rsidP="00F81EDF"/>
    <w:p w14:paraId="5AB84A22" w14:textId="39851A93" w:rsidR="00F81EDF" w:rsidRDefault="00F81EDF" w:rsidP="00F81EDF">
      <w:r>
        <w:t>El acuerdo abarca también los estándares de fabricación</w:t>
      </w:r>
      <w:r w:rsidR="002334B2">
        <w:t>,</w:t>
      </w:r>
      <w:r>
        <w:t xml:space="preserve"> por lo que México reconocerá plenamente los certificados de Buenas Prácticas de Manufactura emitidos por el Ministerio de Seguridad Alimentaria y Farmacéutica de Corea [2]. </w:t>
      </w:r>
    </w:p>
    <w:p w14:paraId="6B00EC8A" w14:textId="77777777" w:rsidR="00F81EDF" w:rsidRDefault="00F81EDF" w:rsidP="00F81EDF"/>
    <w:p w14:paraId="1D7F6372" w14:textId="77777777" w:rsidR="00F81EDF" w:rsidRPr="001D1DCA" w:rsidRDefault="00F81EDF" w:rsidP="00F81EDF">
      <w:pPr>
        <w:rPr>
          <w:b/>
          <w:bCs/>
          <w:sz w:val="18"/>
          <w:szCs w:val="22"/>
        </w:rPr>
      </w:pPr>
      <w:r w:rsidRPr="001D1DCA">
        <w:rPr>
          <w:b/>
          <w:bCs/>
          <w:sz w:val="18"/>
          <w:szCs w:val="22"/>
        </w:rPr>
        <w:t>Referencia</w:t>
      </w:r>
      <w:r>
        <w:rPr>
          <w:b/>
          <w:bCs/>
          <w:sz w:val="18"/>
          <w:szCs w:val="22"/>
        </w:rPr>
        <w:t>s</w:t>
      </w:r>
      <w:r w:rsidRPr="001D1DCA">
        <w:rPr>
          <w:b/>
          <w:bCs/>
          <w:sz w:val="18"/>
          <w:szCs w:val="22"/>
        </w:rPr>
        <w:t>:</w:t>
      </w:r>
    </w:p>
    <w:p w14:paraId="733F5A53" w14:textId="1A71B1AB" w:rsidR="00F81EDF" w:rsidRPr="00F15491" w:rsidRDefault="00F81EDF" w:rsidP="002334B2">
      <w:pPr>
        <w:tabs>
          <w:tab w:val="left" w:pos="90"/>
        </w:tabs>
        <w:ind w:left="180" w:hanging="180"/>
        <w:rPr>
          <w:sz w:val="18"/>
          <w:szCs w:val="22"/>
        </w:rPr>
      </w:pPr>
      <w:r>
        <w:rPr>
          <w:sz w:val="18"/>
          <w:szCs w:val="22"/>
        </w:rPr>
        <w:t>1.</w:t>
      </w:r>
      <w:r w:rsidRPr="00F15491">
        <w:rPr>
          <w:sz w:val="18"/>
          <w:szCs w:val="22"/>
        </w:rPr>
        <w:t>OM Beteta.</w:t>
      </w:r>
      <w:r w:rsidRPr="00F15491">
        <w:rPr>
          <w:rFonts w:ascii="Arial" w:eastAsia="Times New Roman" w:hAnsi="Arial" w:cs="Arial"/>
          <w:b/>
          <w:bCs/>
          <w:i/>
          <w:iCs/>
          <w:color w:val="000000"/>
          <w:kern w:val="0"/>
          <w:sz w:val="30"/>
          <w:szCs w:val="30"/>
          <w:lang w:eastAsia="es-CO"/>
          <w14:ligatures w14:val="none"/>
        </w:rPr>
        <w:t xml:space="preserve"> </w:t>
      </w:r>
      <w:r w:rsidRPr="00F15491">
        <w:rPr>
          <w:sz w:val="18"/>
          <w:szCs w:val="22"/>
        </w:rPr>
        <w:t xml:space="preserve">México abre la puerta a medicamentos aprobados en EU y Europa. </w:t>
      </w:r>
      <w:r w:rsidRPr="00F15491">
        <w:rPr>
          <w:i/>
          <w:iCs/>
          <w:sz w:val="18"/>
          <w:szCs w:val="22"/>
        </w:rPr>
        <w:t>OMB,</w:t>
      </w:r>
      <w:r w:rsidRPr="00F15491">
        <w:rPr>
          <w:sz w:val="18"/>
          <w:szCs w:val="22"/>
        </w:rPr>
        <w:t xml:space="preserve"> 18 de junio de 2026 </w:t>
      </w:r>
      <w:hyperlink r:id="rId58" w:history="1">
        <w:r w:rsidRPr="00D9077B">
          <w:rPr>
            <w:rStyle w:val="Hipervnculo"/>
            <w:sz w:val="18"/>
            <w:szCs w:val="22"/>
          </w:rPr>
          <w:t>https://oscarmariobeteta.com/mexico-abre-la-puerta-a-medicamentos-aprobados-en-eu-y-europa</w:t>
        </w:r>
      </w:hyperlink>
    </w:p>
    <w:p w14:paraId="4944A62E" w14:textId="77777777" w:rsidR="001541A9" w:rsidRDefault="00F81EDF" w:rsidP="002334B2">
      <w:pPr>
        <w:tabs>
          <w:tab w:val="left" w:pos="90"/>
        </w:tabs>
        <w:ind w:left="180" w:hanging="180"/>
        <w:rPr>
          <w:sz w:val="18"/>
          <w:szCs w:val="22"/>
        </w:rPr>
        <w:sectPr w:rsidR="001541A9" w:rsidSect="001541A9">
          <w:type w:val="continuous"/>
          <w:pgSz w:w="12240" w:h="15840" w:code="1"/>
          <w:pgMar w:top="720" w:right="720" w:bottom="720" w:left="720" w:header="288" w:footer="288" w:gutter="0"/>
          <w:cols w:num="2" w:space="288"/>
          <w:docGrid w:linePitch="360"/>
        </w:sectPr>
      </w:pPr>
      <w:r w:rsidRPr="00564D6D">
        <w:rPr>
          <w:sz w:val="18"/>
          <w:szCs w:val="22"/>
          <w:lang w:val="en-US"/>
        </w:rPr>
        <w:t xml:space="preserve">2.J Dong-chan. </w:t>
      </w:r>
      <w:r w:rsidRPr="001D1DCA">
        <w:rPr>
          <w:sz w:val="18"/>
          <w:szCs w:val="22"/>
          <w:lang w:val="en-US"/>
        </w:rPr>
        <w:t>Mexico fast-tracks Korean drug approvals.</w:t>
      </w:r>
      <w:r w:rsidRPr="001D1DCA">
        <w:rPr>
          <w:b/>
          <w:bCs/>
          <w:sz w:val="18"/>
          <w:szCs w:val="22"/>
          <w:lang w:val="en-US"/>
        </w:rPr>
        <w:t xml:space="preserve"> </w:t>
      </w:r>
      <w:proofErr w:type="spellStart"/>
      <w:r w:rsidRPr="001D1DCA">
        <w:rPr>
          <w:i/>
          <w:iCs/>
          <w:sz w:val="18"/>
          <w:szCs w:val="22"/>
        </w:rPr>
        <w:t>The</w:t>
      </w:r>
      <w:proofErr w:type="spellEnd"/>
      <w:r w:rsidRPr="001D1DCA">
        <w:rPr>
          <w:i/>
          <w:iCs/>
          <w:sz w:val="18"/>
          <w:szCs w:val="22"/>
        </w:rPr>
        <w:t xml:space="preserve"> </w:t>
      </w:r>
      <w:proofErr w:type="spellStart"/>
      <w:r w:rsidRPr="001D1DCA">
        <w:rPr>
          <w:i/>
          <w:iCs/>
          <w:sz w:val="18"/>
          <w:szCs w:val="22"/>
        </w:rPr>
        <w:t>Korea</w:t>
      </w:r>
      <w:proofErr w:type="spellEnd"/>
      <w:r w:rsidRPr="001D1DCA">
        <w:rPr>
          <w:i/>
          <w:iCs/>
          <w:sz w:val="18"/>
          <w:szCs w:val="22"/>
        </w:rPr>
        <w:t xml:space="preserve"> Times,</w:t>
      </w:r>
      <w:r w:rsidRPr="001D1DCA">
        <w:rPr>
          <w:sz w:val="18"/>
          <w:szCs w:val="22"/>
        </w:rPr>
        <w:t xml:space="preserve"> 24 de junio de 2026 </w:t>
      </w:r>
      <w:hyperlink r:id="rId59" w:history="1">
        <w:r w:rsidRPr="001D1DCA">
          <w:rPr>
            <w:rStyle w:val="Hipervnculo"/>
            <w:sz w:val="18"/>
            <w:szCs w:val="22"/>
          </w:rPr>
          <w:t>https://www.koreatimes.co.kr/amp/southkorea/health/20260623/mexico-fast-tracks-korean-drug-approvals</w:t>
        </w:r>
      </w:hyperlink>
      <w:r>
        <w:rPr>
          <w:sz w:val="18"/>
          <w:szCs w:val="22"/>
        </w:rPr>
        <w:t xml:space="preserve"> </w:t>
      </w:r>
    </w:p>
    <w:p w14:paraId="46CF0D13" w14:textId="66CBFAD7" w:rsidR="00F81EDF" w:rsidRDefault="00F81EDF" w:rsidP="001541A9">
      <w:pPr>
        <w:rPr>
          <w:sz w:val="18"/>
          <w:szCs w:val="22"/>
        </w:rPr>
      </w:pPr>
    </w:p>
    <w:p w14:paraId="3A6309B6" w14:textId="77777777" w:rsidR="001541A9" w:rsidRPr="00F25512" w:rsidRDefault="001541A9" w:rsidP="001541A9">
      <w:pPr>
        <w:rPr>
          <w:lang w:val="es-ES"/>
        </w:rPr>
      </w:pPr>
    </w:p>
    <w:p w14:paraId="4F70D7FA" w14:textId="77777777" w:rsidR="00F25512" w:rsidRDefault="00405B8E" w:rsidP="00405B8E">
      <w:pPr>
        <w:jc w:val="center"/>
        <w:rPr>
          <w:b/>
          <w:bCs/>
        </w:rPr>
      </w:pPr>
      <w:r>
        <w:lastRenderedPageBreak/>
        <w:t xml:space="preserve">México. </w:t>
      </w:r>
      <w:r w:rsidRPr="00BD14B3">
        <w:rPr>
          <w:b/>
          <w:bCs/>
        </w:rPr>
        <w:t xml:space="preserve">COFEPRIS reduce trámites y anuncia nuevo modelo regulatorio para medicamentos, </w:t>
      </w:r>
    </w:p>
    <w:p w14:paraId="404D819E" w14:textId="6AF18B10" w:rsidR="00405B8E" w:rsidRPr="00BD14B3" w:rsidRDefault="00405B8E" w:rsidP="00405B8E">
      <w:pPr>
        <w:jc w:val="center"/>
        <w:rPr>
          <w:b/>
          <w:bCs/>
        </w:rPr>
      </w:pPr>
      <w:r w:rsidRPr="00BD14B3">
        <w:rPr>
          <w:b/>
          <w:bCs/>
        </w:rPr>
        <w:t>dispositivos médicos e investigación clínica</w:t>
      </w:r>
    </w:p>
    <w:p w14:paraId="78725D1E" w14:textId="77777777" w:rsidR="00405B8E" w:rsidRDefault="00405B8E" w:rsidP="00405B8E">
      <w:pPr>
        <w:jc w:val="center"/>
      </w:pPr>
      <w:proofErr w:type="spellStart"/>
      <w:r w:rsidRPr="00904CD7">
        <w:rPr>
          <w:i/>
          <w:iCs/>
        </w:rPr>
        <w:t>Co</w:t>
      </w:r>
      <w:r>
        <w:rPr>
          <w:i/>
          <w:iCs/>
        </w:rPr>
        <w:t>nsultorSalud</w:t>
      </w:r>
      <w:proofErr w:type="spellEnd"/>
      <w:r w:rsidRPr="00904CD7">
        <w:rPr>
          <w:i/>
          <w:iCs/>
        </w:rPr>
        <w:t>,</w:t>
      </w:r>
      <w:r>
        <w:t xml:space="preserve"> 10</w:t>
      </w:r>
      <w:r w:rsidRPr="00904CD7">
        <w:t xml:space="preserve"> de ju</w:t>
      </w:r>
      <w:r>
        <w:t>n</w:t>
      </w:r>
      <w:r w:rsidRPr="00904CD7">
        <w:t>io de 2026</w:t>
      </w:r>
    </w:p>
    <w:p w14:paraId="566B361E" w14:textId="77777777" w:rsidR="00405B8E" w:rsidRDefault="00B00DA4" w:rsidP="00405B8E">
      <w:pPr>
        <w:jc w:val="center"/>
      </w:pPr>
      <w:hyperlink r:id="rId60" w:history="1">
        <w:r w:rsidR="00405B8E" w:rsidRPr="00D9077B">
          <w:rPr>
            <w:rStyle w:val="Hipervnculo"/>
          </w:rPr>
          <w:t>https://consultorsalud.com.mx/cofepris-reduce-tramites-medicamentos/</w:t>
        </w:r>
      </w:hyperlink>
    </w:p>
    <w:p w14:paraId="6A07FE3A" w14:textId="77777777" w:rsidR="00405B8E" w:rsidRDefault="00405B8E" w:rsidP="00405B8E">
      <w:pPr>
        <w:jc w:val="center"/>
      </w:pPr>
    </w:p>
    <w:p w14:paraId="781ECF3E" w14:textId="77777777" w:rsidR="00C448A6" w:rsidRDefault="00C448A6" w:rsidP="00405B8E">
      <w:pPr>
        <w:sectPr w:rsidR="00C448A6" w:rsidSect="00F25512">
          <w:type w:val="continuous"/>
          <w:pgSz w:w="12240" w:h="15840" w:code="1"/>
          <w:pgMar w:top="720" w:right="720" w:bottom="720" w:left="720" w:header="288" w:footer="288" w:gutter="0"/>
          <w:cols w:space="288"/>
          <w:docGrid w:linePitch="360"/>
        </w:sectPr>
      </w:pPr>
    </w:p>
    <w:p w14:paraId="4FB0F566" w14:textId="527F48F5" w:rsidR="00405B8E" w:rsidRDefault="00405B8E" w:rsidP="00405B8E">
      <w:r w:rsidRPr="00BD14B3">
        <w:t>La COFEPRIS presentó una reorganización de sus trámites y tiempos de respuesta como parte de una estrategia de simplificación regulatoria vinculada al Plan México.</w:t>
      </w:r>
    </w:p>
    <w:p w14:paraId="52C32D55" w14:textId="77777777" w:rsidR="00405B8E" w:rsidRDefault="00405B8E" w:rsidP="00405B8E"/>
    <w:p w14:paraId="24AF0992" w14:textId="77777777" w:rsidR="00405B8E" w:rsidRDefault="00405B8E" w:rsidP="00405B8E">
      <w:r w:rsidRPr="00BD14B3">
        <w:t xml:space="preserve">La Comisión Federal para la Protección contra Riesgos Sanitarios </w:t>
      </w:r>
      <w:r>
        <w:t>(</w:t>
      </w:r>
      <w:r w:rsidRPr="00BD14B3">
        <w:t>COFEPRIS</w:t>
      </w:r>
      <w:r>
        <w:t>)</w:t>
      </w:r>
      <w:r w:rsidRPr="00BD14B3">
        <w:t xml:space="preserve"> anunció una reducción significativa en su carga administrativa y en los tiempos promedio de respuesta para los regulados. Durante su intervención en la conferencia matutina organizada por la Presidencia mexicana, el director de la entidad, el doctor Víctor Hugo Borja Aburto, explicó que el cambio no consiste en eliminar controles sanitarios necesarios, sino en retirar requisitos duplicados o innecesarios</w:t>
      </w:r>
      <w:r>
        <w:t xml:space="preserve">: </w:t>
      </w:r>
      <w:r w:rsidRPr="00BD14B3">
        <w:rPr>
          <w:i/>
          <w:iCs/>
        </w:rPr>
        <w:t>“No se trató de eliminar trámites que la gente necesita para proteger su salud, sino de quitar requisitos que estaban de más e integrar procesos que antes se duplicaban</w:t>
      </w:r>
      <w:r w:rsidRPr="00965D24">
        <w:rPr>
          <w:i/>
          <w:iCs/>
        </w:rPr>
        <w:t>”</w:t>
      </w:r>
      <w:r w:rsidRPr="00965D24">
        <w:t xml:space="preserve">, </w:t>
      </w:r>
      <w:r w:rsidRPr="00BD14B3">
        <w:t>señaló el funcionario, al explicar el sentido de la transformación operativa de la autoridad sanitaria.</w:t>
      </w:r>
    </w:p>
    <w:p w14:paraId="6A0EEAE5" w14:textId="77777777" w:rsidR="00405B8E" w:rsidRDefault="00405B8E" w:rsidP="00405B8E"/>
    <w:p w14:paraId="5956509F" w14:textId="2086FEDB" w:rsidR="00405B8E" w:rsidRPr="00BD14B3" w:rsidRDefault="00405B8E" w:rsidP="00405B8E">
      <w:r w:rsidRPr="00BD14B3">
        <w:t>Según lo expuesto, COFEPRIS</w:t>
      </w:r>
      <w:r w:rsidR="002334B2">
        <w:t xml:space="preserve"> </w:t>
      </w:r>
      <w:r w:rsidRPr="00BD14B3">
        <w:t>pasó de 340 trámites a 125, redujo los requisitos de 14 a 7 y disminuyó los tiempos promedio de respuesta de 100 a 24 días.</w:t>
      </w:r>
      <w:r w:rsidR="002334B2">
        <w:t xml:space="preserve"> </w:t>
      </w:r>
      <w:r w:rsidRPr="00BD14B3">
        <w:t xml:space="preserve">El funcionario atribuyó este ajuste a un trabajo conjunto con la Agencia de Transformación Digital, mencionando a José Antonio Merino y </w:t>
      </w:r>
      <w:proofErr w:type="spellStart"/>
      <w:r w:rsidRPr="00BD14B3">
        <w:t>Cristel</w:t>
      </w:r>
      <w:proofErr w:type="spellEnd"/>
      <w:r w:rsidRPr="00BD14B3">
        <w:t xml:space="preserve"> Arellano dentro del proceso de coordinación.</w:t>
      </w:r>
    </w:p>
    <w:p w14:paraId="5F5FC026" w14:textId="77777777" w:rsidR="00405B8E" w:rsidRDefault="00405B8E" w:rsidP="00405B8E"/>
    <w:p w14:paraId="775B4A38" w14:textId="77777777" w:rsidR="00405B8E" w:rsidRPr="00BD14B3" w:rsidRDefault="00405B8E" w:rsidP="00405B8E">
      <w:r w:rsidRPr="00BD14B3">
        <w:t xml:space="preserve">La presentación ubicó esta reforma dentro de un doble propósito: proteger la salud pública y, al mismo tiempo, ofrecer mayor certeza regulatoria a las industrias vigiladas. En palabras del director de COFEPRIS, la entidad es </w:t>
      </w:r>
      <w:r w:rsidRPr="00965D24">
        <w:rPr>
          <w:i/>
          <w:iCs/>
        </w:rPr>
        <w:t>“la</w:t>
      </w:r>
      <w:r w:rsidRPr="00BD14B3">
        <w:rPr>
          <w:i/>
          <w:iCs/>
        </w:rPr>
        <w:t xml:space="preserve"> autoridad que cuida que los alimentos, los productos de uso diario y los equipos en los hospitales no pongan en riesgo la salud de la gente”.</w:t>
      </w:r>
    </w:p>
    <w:p w14:paraId="043B2D13" w14:textId="77777777" w:rsidR="00405B8E" w:rsidRDefault="00405B8E" w:rsidP="00405B8E"/>
    <w:p w14:paraId="6D3CE693" w14:textId="77777777" w:rsidR="00405B8E" w:rsidRPr="00BD14B3" w:rsidRDefault="00405B8E" w:rsidP="00405B8E">
      <w:pPr>
        <w:rPr>
          <w:b/>
          <w:bCs/>
        </w:rPr>
      </w:pPr>
      <w:r w:rsidRPr="00BD14B3">
        <w:rPr>
          <w:b/>
          <w:bCs/>
        </w:rPr>
        <w:t>Un modelo basado en riesgo y vigilancia permanente</w:t>
      </w:r>
    </w:p>
    <w:p w14:paraId="546689D7" w14:textId="77777777" w:rsidR="00405B8E" w:rsidRDefault="00405B8E" w:rsidP="00405B8E">
      <w:r w:rsidRPr="00BD14B3">
        <w:t xml:space="preserve">Uno de los mensajes centrales fue el cambio en el enfoque de revisión. Borja sostuvo que </w:t>
      </w:r>
      <w:r>
        <w:t xml:space="preserve">la </w:t>
      </w:r>
      <w:r w:rsidRPr="00BD14B3">
        <w:t>COFEPRIS busca pasar de un modelo centrado en la desconfianza a uno enfocado en el riesgo sanitario real</w:t>
      </w:r>
      <w:r>
        <w:t xml:space="preserve">: </w:t>
      </w:r>
      <w:r w:rsidRPr="00C832D9">
        <w:t>“</w:t>
      </w:r>
      <w:r w:rsidRPr="00C832D9">
        <w:rPr>
          <w:i/>
          <w:iCs/>
        </w:rPr>
        <w:t>Detrás de estas cifras hay un cambio de fondo, porque antes se revisaba con desconfianza, aunque no hubiera un riesgo real, y hoy concentramos la revisión donde el riesgo de verdad existe y mantenemos la vigilancia mientras el producto está en el mercado</w:t>
      </w:r>
      <w:r w:rsidRPr="00C832D9">
        <w:t>”, dijo.</w:t>
      </w:r>
    </w:p>
    <w:p w14:paraId="7CC2E16E" w14:textId="77777777" w:rsidR="00405B8E" w:rsidRPr="00C832D9" w:rsidRDefault="00405B8E" w:rsidP="00405B8E"/>
    <w:p w14:paraId="5B4F417B" w14:textId="735178FF" w:rsidR="00405B8E" w:rsidRPr="00C832D9" w:rsidRDefault="00405B8E" w:rsidP="00405B8E">
      <w:r w:rsidRPr="00C832D9">
        <w:t>El funcionario agregó que, bajo este criterio, la protección sanitaria no termina con la aprobación de un producto o servicio</w:t>
      </w:r>
      <w:r>
        <w:t>:</w:t>
      </w:r>
      <w:r w:rsidR="002334B2">
        <w:t xml:space="preserve"> </w:t>
      </w:r>
      <w:r w:rsidRPr="00C832D9">
        <w:rPr>
          <w:i/>
          <w:iCs/>
        </w:rPr>
        <w:t>“Así es como cuida un buen sistema sanitario la salud. No solo el día que un producto o servicio se aprueba, sino todo el tiempo</w:t>
      </w:r>
      <w:r w:rsidRPr="00C832D9">
        <w:t>”, afirmó.</w:t>
      </w:r>
    </w:p>
    <w:p w14:paraId="0A8FE3BA" w14:textId="4EE22549" w:rsidR="00405B8E" w:rsidRPr="00C832D9" w:rsidRDefault="00405B8E" w:rsidP="00405B8E">
      <w:r>
        <w:t>Borja t</w:t>
      </w:r>
      <w:r w:rsidRPr="00C832D9">
        <w:t>ambién explicó que el modelo se basa ahora en la confianza, con avisos inmediatos y trámites administrativos que ya no requieren dictamen en determinados casos. De acuerdo con su intervención, cuando una agencia sanitaria internacional ya comprobó la seguridad de un producto, COFEPRIS buscará reconocer ese trabajo</w:t>
      </w:r>
      <w:r w:rsidR="002334B2">
        <w:t xml:space="preserve"> </w:t>
      </w:r>
      <w:r w:rsidRPr="00C832D9">
        <w:rPr>
          <w:i/>
          <w:iCs/>
        </w:rPr>
        <w:t>“sin repetirlo”.</w:t>
      </w:r>
    </w:p>
    <w:p w14:paraId="4D201A74" w14:textId="77777777" w:rsidR="00405B8E" w:rsidRDefault="00405B8E" w:rsidP="00405B8E"/>
    <w:p w14:paraId="63A3C3B5" w14:textId="77777777" w:rsidR="00405B8E" w:rsidRPr="00C832D9" w:rsidRDefault="00405B8E" w:rsidP="00405B8E">
      <w:pPr>
        <w:rPr>
          <w:b/>
          <w:bCs/>
        </w:rPr>
      </w:pPr>
      <w:r w:rsidRPr="00C832D9">
        <w:rPr>
          <w:b/>
          <w:bCs/>
        </w:rPr>
        <w:t>Investigación clínica: autorizaciones en 30 días</w:t>
      </w:r>
    </w:p>
    <w:p w14:paraId="1C97E25A" w14:textId="78C67F2C" w:rsidR="00405B8E" w:rsidRDefault="00405B8E" w:rsidP="00405B8E">
      <w:r w:rsidRPr="00C832D9">
        <w:t>El anuncio con mayor impacto para la investigación clínica</w:t>
      </w:r>
      <w:r w:rsidR="002334B2">
        <w:rPr>
          <w:b/>
          <w:bCs/>
        </w:rPr>
        <w:t xml:space="preserve"> </w:t>
      </w:r>
      <w:r w:rsidRPr="00C832D9">
        <w:t xml:space="preserve">fue la reducción del tiempo de autorización de estudios. Borja señaló </w:t>
      </w:r>
      <w:r w:rsidRPr="00C832D9">
        <w:t>que estos procesos, orientados a probar si un tratamiento innovador es seguro y funciona, antes podían tardar hasta nueve meses</w:t>
      </w:r>
      <w:r>
        <w:t xml:space="preserve">: </w:t>
      </w:r>
      <w:r w:rsidRPr="00C832D9">
        <w:rPr>
          <w:i/>
          <w:iCs/>
        </w:rPr>
        <w:t xml:space="preserve">“Antes, autorizar </w:t>
      </w:r>
      <w:r>
        <w:rPr>
          <w:i/>
          <w:iCs/>
        </w:rPr>
        <w:t>estudios para nuev</w:t>
      </w:r>
      <w:r w:rsidRPr="00C832D9">
        <w:rPr>
          <w:i/>
          <w:iCs/>
        </w:rPr>
        <w:t>os medicamentos tomaba hasta nueve meses y hoy lo resolvemos en 30 días”</w:t>
      </w:r>
      <w:r w:rsidRPr="00C832D9">
        <w:t xml:space="preserve">, dijo el director de COFEPRIS. </w:t>
      </w:r>
    </w:p>
    <w:p w14:paraId="09D36A3E" w14:textId="77777777" w:rsidR="00405B8E" w:rsidRDefault="00405B8E" w:rsidP="00405B8E"/>
    <w:p w14:paraId="0E9F944F" w14:textId="77777777" w:rsidR="00405B8E" w:rsidRPr="00C832D9" w:rsidRDefault="00405B8E" w:rsidP="00405B8E">
      <w:r w:rsidRPr="00C832D9">
        <w:t>Según explicó</w:t>
      </w:r>
      <w:r>
        <w:t xml:space="preserve"> Borja</w:t>
      </w:r>
      <w:r w:rsidRPr="00C832D9">
        <w:t>, esto se logra al integrar la revisión de la autoridad sanitaria con la de los comités de ética e investigación de los hospitales donde se desarrollan los estudios, para que ambos procesos ocurran simultáneamente y no de manera consecutiva.</w:t>
      </w:r>
    </w:p>
    <w:p w14:paraId="1B094EA1" w14:textId="77777777" w:rsidR="00405B8E" w:rsidRDefault="00405B8E" w:rsidP="00405B8E"/>
    <w:p w14:paraId="4F1A253E" w14:textId="777C337E" w:rsidR="00405B8E" w:rsidRPr="00C832D9" w:rsidRDefault="00405B8E" w:rsidP="00405B8E">
      <w:r w:rsidRPr="00C832D9">
        <w:t>El funcionario precisó que el objetivo no es únicamente acelerar los procedimientos</w:t>
      </w:r>
      <w:r>
        <w:t>:</w:t>
      </w:r>
      <w:r w:rsidR="002334B2">
        <w:t xml:space="preserve"> </w:t>
      </w:r>
      <w:r w:rsidRPr="00C832D9">
        <w:rPr>
          <w:i/>
          <w:iCs/>
        </w:rPr>
        <w:t>“Aquí lo importante no es la velocidad misma, sino que buscamos que los mexicanos tengan la oportunidad de recibir los tratamientos que los científicos prueban</w:t>
      </w:r>
      <w:r w:rsidRPr="00C832D9">
        <w:t xml:space="preserve">”, </w:t>
      </w:r>
      <w:r>
        <w:t>y a</w:t>
      </w:r>
      <w:r w:rsidRPr="00C832D9">
        <w:t>ñadió que la intención es que esa investigación “se haga en México”.</w:t>
      </w:r>
    </w:p>
    <w:p w14:paraId="3913A28D" w14:textId="77777777" w:rsidR="00405B8E" w:rsidRDefault="00405B8E" w:rsidP="00405B8E"/>
    <w:p w14:paraId="414FCBB2" w14:textId="77777777" w:rsidR="00405B8E" w:rsidRPr="00C832D9" w:rsidRDefault="00405B8E" w:rsidP="00405B8E">
      <w:pPr>
        <w:rPr>
          <w:b/>
          <w:bCs/>
        </w:rPr>
      </w:pPr>
      <w:r w:rsidRPr="00C832D9">
        <w:rPr>
          <w:b/>
          <w:bCs/>
        </w:rPr>
        <w:t>Visor de registros sanitarios y próxima herramienta para dispositivos médicos</w:t>
      </w:r>
    </w:p>
    <w:p w14:paraId="2D4648A7" w14:textId="77777777" w:rsidR="00405B8E" w:rsidRPr="00EE5265" w:rsidRDefault="00405B8E" w:rsidP="00405B8E">
      <w:r w:rsidRPr="00C832D9">
        <w:t xml:space="preserve">COFEPRIS también presentó medidas de transparencia relacionadas con los registros sanitarios. Borja informó que se puso al alcance del público un visor de registros sanitarios y medicamentos, </w:t>
      </w:r>
      <w:r w:rsidRPr="00EE5265">
        <w:t>c</w:t>
      </w:r>
      <w:r>
        <w:t xml:space="preserve">on el cual una familia, farmacia u hospital puede verificar si un medicamento está autorizado. </w:t>
      </w:r>
    </w:p>
    <w:p w14:paraId="7C5DF21A" w14:textId="77777777" w:rsidR="00405B8E" w:rsidRDefault="00405B8E" w:rsidP="00405B8E"/>
    <w:p w14:paraId="3B1DBB91" w14:textId="401E9327" w:rsidR="00405B8E" w:rsidRPr="00C832D9" w:rsidRDefault="00405B8E" w:rsidP="00405B8E">
      <w:r w:rsidRPr="00C832D9">
        <w:t>El funcionario explicó que la búsqueda podrá hacerse por nombre, sustancia activa o fabricante. Según dijo, esta herramienta también servirá para que las compras públicas cuenten con información abierta y para que la ciudadanía tenga una vía sencilla para protegerse frente a medicamentos falsos.</w:t>
      </w:r>
      <w:r>
        <w:t xml:space="preserve"> </w:t>
      </w:r>
      <w:r w:rsidRPr="00C832D9">
        <w:t>Además,</w:t>
      </w:r>
      <w:r w:rsidR="002334B2">
        <w:t xml:space="preserve"> </w:t>
      </w:r>
      <w:r w:rsidRPr="00C832D9">
        <w:t>anunció que en un mes se pondrá en línea una herramienta similar para dispositivos médicos.</w:t>
      </w:r>
    </w:p>
    <w:p w14:paraId="7EB187B5" w14:textId="77777777" w:rsidR="00405B8E" w:rsidRDefault="00405B8E" w:rsidP="00405B8E"/>
    <w:p w14:paraId="7BB02961" w14:textId="77777777" w:rsidR="00405B8E" w:rsidRPr="00C832D9" w:rsidRDefault="00405B8E" w:rsidP="00405B8E">
      <w:pPr>
        <w:rPr>
          <w:b/>
          <w:bCs/>
        </w:rPr>
      </w:pPr>
      <w:r w:rsidRPr="00C832D9">
        <w:rPr>
          <w:b/>
          <w:bCs/>
        </w:rPr>
        <w:t>Ventanilla digital de COFEPRIS entrará en operación en julio</w:t>
      </w:r>
    </w:p>
    <w:p w14:paraId="30306D8B" w14:textId="77777777" w:rsidR="00405B8E" w:rsidRDefault="00405B8E" w:rsidP="00405B8E">
      <w:r w:rsidRPr="00C832D9">
        <w:t>Otro componente anunciado fue la creación de una ventanilla digital para reunir trámites en un solo punto de acceso. Según Borja, esta plataforma entrará en operación en julio y</w:t>
      </w:r>
      <w:r>
        <w:t xml:space="preserve"> está pensada para que el regulado pueda realizar gestiones desde su computador, sin acudir a oficinas ni depender de intermediarios. Borja</w:t>
      </w:r>
      <w:r w:rsidRPr="00C832D9">
        <w:t xml:space="preserve"> indicó que el sistema se irá completando de manera gradual</w:t>
      </w:r>
      <w:r>
        <w:t>.</w:t>
      </w:r>
    </w:p>
    <w:p w14:paraId="4CE73859" w14:textId="77777777" w:rsidR="00405B8E" w:rsidRPr="00C832D9" w:rsidRDefault="00405B8E" w:rsidP="00405B8E"/>
    <w:p w14:paraId="5D6999C7" w14:textId="50A39E30" w:rsidR="00405B8E" w:rsidRPr="00C832D9" w:rsidRDefault="00405B8E" w:rsidP="00405B8E">
      <w:r w:rsidRPr="00C832D9">
        <w:t>La ventanilla iniciará con 17 trámites, de los cuales nueve podrán resolverse</w:t>
      </w:r>
      <w:r w:rsidR="002334B2">
        <w:t xml:space="preserve"> </w:t>
      </w:r>
      <w:r w:rsidRPr="00C832D9">
        <w:t>por cuenta del usuario de principio a fin</w:t>
      </w:r>
      <w:r>
        <w:t>.</w:t>
      </w:r>
    </w:p>
    <w:p w14:paraId="373D5344" w14:textId="77777777" w:rsidR="00405B8E" w:rsidRDefault="00405B8E" w:rsidP="00405B8E"/>
    <w:p w14:paraId="46B027BA" w14:textId="77777777" w:rsidR="00405B8E" w:rsidRPr="00C832D9" w:rsidRDefault="00405B8E" w:rsidP="00405B8E">
      <w:pPr>
        <w:rPr>
          <w:b/>
          <w:bCs/>
        </w:rPr>
      </w:pPr>
      <w:r w:rsidRPr="00C832D9">
        <w:rPr>
          <w:b/>
          <w:bCs/>
        </w:rPr>
        <w:t>COFEPRIS y el Plan México</w:t>
      </w:r>
    </w:p>
    <w:p w14:paraId="6EF0E41B" w14:textId="77777777" w:rsidR="00405B8E" w:rsidRPr="00C832D9" w:rsidRDefault="00405B8E" w:rsidP="00405B8E">
      <w:r w:rsidRPr="00C832D9">
        <w:t>El director de COFEPRIS vinculó esta transformación con el Plan México, al señalar que las industrias vigiladas por la autoridad sanitaria equivalen al 10% de la economía del país. En ese contexto, sostuvo que una autoridad sanitaria más rápida y sencilla puede contribuir a la inversión y producción nacional, siempre manteniendo la protección sanitaria.</w:t>
      </w:r>
      <w:r>
        <w:t xml:space="preserve"> </w:t>
      </w:r>
      <w:r w:rsidRPr="00C832D9">
        <w:t>“</w:t>
      </w:r>
      <w:r w:rsidRPr="00C832D9">
        <w:rPr>
          <w:i/>
          <w:iCs/>
        </w:rPr>
        <w:t>De modo que hoy tenemos una COFEPRIS más rápida, más transparente y sencilla, pero con la misma firmeza para proteger la salud</w:t>
      </w:r>
      <w:r w:rsidRPr="00C832D9">
        <w:t xml:space="preserve">”, </w:t>
      </w:r>
      <w:r w:rsidRPr="00C832D9">
        <w:lastRenderedPageBreak/>
        <w:t>afirmó. Más adelante agregó: “</w:t>
      </w:r>
      <w:r w:rsidRPr="00C832D9">
        <w:rPr>
          <w:i/>
          <w:iCs/>
        </w:rPr>
        <w:t>cuando hay reglas claras y tiempos cortos, las empresas invierten y se produce más medicina en el país”.</w:t>
      </w:r>
    </w:p>
    <w:p w14:paraId="2A6BE256" w14:textId="77777777" w:rsidR="00405B8E" w:rsidRPr="00C832D9" w:rsidRDefault="00405B8E" w:rsidP="00405B8E"/>
    <w:p w14:paraId="41D0D3DA" w14:textId="77777777" w:rsidR="00C448A6" w:rsidRDefault="00405B8E" w:rsidP="00D0790C">
      <w:pPr>
        <w:rPr>
          <w:i/>
          <w:iCs/>
        </w:rPr>
        <w:sectPr w:rsidR="00C448A6" w:rsidSect="00C448A6">
          <w:type w:val="continuous"/>
          <w:pgSz w:w="12240" w:h="15840" w:code="1"/>
          <w:pgMar w:top="720" w:right="720" w:bottom="720" w:left="720" w:header="288" w:footer="288" w:gutter="0"/>
          <w:cols w:num="2" w:space="288"/>
          <w:docGrid w:linePitch="360"/>
        </w:sectPr>
      </w:pPr>
      <w:r w:rsidRPr="00C832D9">
        <w:t>E</w:t>
      </w:r>
      <w:r>
        <w:t>n e</w:t>
      </w:r>
      <w:r w:rsidRPr="00C832D9">
        <w:t xml:space="preserve">l cierre de su intervención </w:t>
      </w:r>
      <w:r>
        <w:t xml:space="preserve">Borja </w:t>
      </w:r>
      <w:r w:rsidRPr="00C832D9">
        <w:t>resumió el mensaje sanitario de la presentación: “</w:t>
      </w:r>
      <w:r w:rsidRPr="00C832D9">
        <w:rPr>
          <w:i/>
          <w:iCs/>
        </w:rPr>
        <w:t>A la población general le quiero comentar que vamos a hacer los trámites más rápidos, pero nunca a costa de su salud, porque esa es al final la razón de ser de COFEPRIS”.</w:t>
      </w:r>
    </w:p>
    <w:p w14:paraId="2775770B" w14:textId="51018179" w:rsidR="00BD14B3" w:rsidRDefault="00BD14B3" w:rsidP="00D0790C"/>
    <w:p w14:paraId="0CAF37EA" w14:textId="77777777" w:rsidR="00F25512" w:rsidRPr="000B5E59" w:rsidRDefault="00F25512" w:rsidP="00D0790C"/>
    <w:p w14:paraId="6874070A" w14:textId="49D30F6F" w:rsidR="00904CD7" w:rsidRPr="00904CD7" w:rsidRDefault="00904CD7" w:rsidP="00904CD7">
      <w:pPr>
        <w:jc w:val="center"/>
        <w:rPr>
          <w:b/>
          <w:bCs/>
        </w:rPr>
      </w:pPr>
      <w:r>
        <w:t xml:space="preserve">México. </w:t>
      </w:r>
      <w:r w:rsidRPr="00904CD7">
        <w:rPr>
          <w:b/>
          <w:bCs/>
        </w:rPr>
        <w:t>COFEPRIS informa sobre nuevas disposiciones</w:t>
      </w:r>
      <w:r w:rsidR="00D95B91">
        <w:rPr>
          <w:b/>
          <w:bCs/>
        </w:rPr>
        <w:t xml:space="preserve"> regulatorias</w:t>
      </w:r>
      <w:r w:rsidRPr="00904CD7">
        <w:rPr>
          <w:b/>
          <w:bCs/>
        </w:rPr>
        <w:t xml:space="preserve"> para la dispensación del </w:t>
      </w:r>
      <w:r w:rsidRPr="00904CD7">
        <w:rPr>
          <w:b/>
          <w:bCs/>
          <w:i/>
          <w:iCs/>
        </w:rPr>
        <w:t>tramadol</w:t>
      </w:r>
    </w:p>
    <w:p w14:paraId="7975FD98" w14:textId="7E6FD2D2" w:rsidR="00904CD7" w:rsidRPr="00904CD7" w:rsidRDefault="00904CD7" w:rsidP="00904CD7">
      <w:pPr>
        <w:jc w:val="center"/>
      </w:pPr>
      <w:r w:rsidRPr="00904CD7">
        <w:rPr>
          <w:i/>
          <w:iCs/>
        </w:rPr>
        <w:t>Comisión Federal para la Protección contra Riesgos Sanitarios</w:t>
      </w:r>
      <w:r>
        <w:rPr>
          <w:i/>
          <w:iCs/>
        </w:rPr>
        <w:t xml:space="preserve"> </w:t>
      </w:r>
      <w:r w:rsidRPr="00904CD7">
        <w:rPr>
          <w:i/>
          <w:iCs/>
          <w:color w:val="000000" w:themeColor="text1"/>
        </w:rPr>
        <w:t>(COFEPRIS)</w:t>
      </w:r>
      <w:r w:rsidRPr="00904CD7">
        <w:rPr>
          <w:i/>
          <w:iCs/>
        </w:rPr>
        <w:t>,</w:t>
      </w:r>
      <w:r>
        <w:t xml:space="preserve"> </w:t>
      </w:r>
      <w:r w:rsidRPr="00904CD7">
        <w:t>3 de julio de 2026</w:t>
      </w:r>
    </w:p>
    <w:p w14:paraId="6248E433" w14:textId="5F88C282" w:rsidR="00CE1F98" w:rsidRDefault="00B00DA4" w:rsidP="00CE1F98">
      <w:pPr>
        <w:jc w:val="center"/>
      </w:pPr>
      <w:hyperlink r:id="rId61" w:history="1">
        <w:r w:rsidR="00861F78" w:rsidRPr="00D9077B">
          <w:rPr>
            <w:rStyle w:val="Hipervnculo"/>
          </w:rPr>
          <w:t>https://www.gob.mx/cofepris/articulos/cofepris-informa-sobre-las-nuevas-disposiciones-para-la-dispensacion-del-tramadol</w:t>
        </w:r>
      </w:hyperlink>
    </w:p>
    <w:p w14:paraId="0E39BFC0" w14:textId="77777777" w:rsidR="00CE1F98" w:rsidRPr="00C51D08" w:rsidRDefault="00CE1F98" w:rsidP="00861F78"/>
    <w:p w14:paraId="00EA1444" w14:textId="77777777" w:rsidR="00C448A6" w:rsidRDefault="00C448A6" w:rsidP="002478D5">
      <w:pPr>
        <w:numPr>
          <w:ilvl w:val="0"/>
          <w:numId w:val="12"/>
        </w:numPr>
        <w:tabs>
          <w:tab w:val="clear" w:pos="720"/>
          <w:tab w:val="num" w:pos="540"/>
        </w:tabs>
        <w:ind w:left="180" w:hanging="180"/>
        <w:rPr>
          <w:color w:val="000000" w:themeColor="text1"/>
        </w:rPr>
        <w:sectPr w:rsidR="00C448A6" w:rsidSect="00F25512">
          <w:type w:val="continuous"/>
          <w:pgSz w:w="12240" w:h="15840" w:code="1"/>
          <w:pgMar w:top="720" w:right="720" w:bottom="720" w:left="720" w:header="288" w:footer="288" w:gutter="0"/>
          <w:cols w:space="288"/>
          <w:docGrid w:linePitch="360"/>
        </w:sectPr>
      </w:pPr>
    </w:p>
    <w:p w14:paraId="7C503AC1" w14:textId="035C2452" w:rsidR="00904CD7" w:rsidRDefault="00904CD7" w:rsidP="002478D5">
      <w:pPr>
        <w:numPr>
          <w:ilvl w:val="0"/>
          <w:numId w:val="12"/>
        </w:numPr>
        <w:tabs>
          <w:tab w:val="clear" w:pos="720"/>
          <w:tab w:val="num" w:pos="540"/>
        </w:tabs>
        <w:ind w:left="180" w:hanging="180"/>
        <w:rPr>
          <w:color w:val="000000" w:themeColor="text1"/>
        </w:rPr>
      </w:pPr>
      <w:r w:rsidRPr="00904CD7">
        <w:rPr>
          <w:color w:val="000000" w:themeColor="text1"/>
        </w:rPr>
        <w:t>La dispensación requerirá</w:t>
      </w:r>
      <w:r w:rsidR="002334B2">
        <w:rPr>
          <w:color w:val="000000" w:themeColor="text1"/>
        </w:rPr>
        <w:t xml:space="preserve"> </w:t>
      </w:r>
      <w:r w:rsidRPr="00904CD7">
        <w:rPr>
          <w:color w:val="000000" w:themeColor="text1"/>
        </w:rPr>
        <w:t>receta médica simple</w:t>
      </w:r>
      <w:r w:rsidR="002334B2">
        <w:rPr>
          <w:color w:val="000000" w:themeColor="text1"/>
        </w:rPr>
        <w:t xml:space="preserve"> </w:t>
      </w:r>
      <w:r w:rsidRPr="00904CD7">
        <w:rPr>
          <w:color w:val="000000" w:themeColor="text1"/>
        </w:rPr>
        <w:t>(no especial) emitida por cualquier médico con cédula profesional</w:t>
      </w:r>
    </w:p>
    <w:p w14:paraId="3F6563A7" w14:textId="77777777" w:rsidR="002334B2" w:rsidRPr="00904CD7" w:rsidRDefault="002334B2" w:rsidP="002334B2">
      <w:pPr>
        <w:ind w:left="180"/>
        <w:rPr>
          <w:color w:val="000000" w:themeColor="text1"/>
        </w:rPr>
      </w:pPr>
    </w:p>
    <w:p w14:paraId="2CEAFC25" w14:textId="36ED9C7A" w:rsidR="00904CD7" w:rsidRDefault="00904CD7" w:rsidP="002478D5">
      <w:pPr>
        <w:numPr>
          <w:ilvl w:val="0"/>
          <w:numId w:val="12"/>
        </w:numPr>
        <w:tabs>
          <w:tab w:val="clear" w:pos="720"/>
          <w:tab w:val="num" w:pos="540"/>
        </w:tabs>
        <w:ind w:left="180" w:hanging="180"/>
        <w:rPr>
          <w:color w:val="000000" w:themeColor="text1"/>
        </w:rPr>
      </w:pPr>
      <w:r w:rsidRPr="00904CD7">
        <w:rPr>
          <w:color w:val="000000" w:themeColor="text1"/>
        </w:rPr>
        <w:t>Farmacias, distribuidores, almacenes, fabricantes e importadores deberán cumplir nuevas obligaciones para garantizar la trazabilidad y el control sanitario del medicamento</w:t>
      </w:r>
    </w:p>
    <w:p w14:paraId="5498C58B" w14:textId="77777777" w:rsidR="002334B2" w:rsidRPr="00904CD7" w:rsidRDefault="002334B2" w:rsidP="002334B2">
      <w:pPr>
        <w:ind w:left="720"/>
        <w:rPr>
          <w:color w:val="000000" w:themeColor="text1"/>
        </w:rPr>
      </w:pPr>
    </w:p>
    <w:p w14:paraId="4DD7DEFF" w14:textId="77428153" w:rsidR="00904CD7" w:rsidRDefault="00904CD7" w:rsidP="002334B2">
      <w:pPr>
        <w:rPr>
          <w:color w:val="000000" w:themeColor="text1"/>
        </w:rPr>
      </w:pPr>
      <w:r w:rsidRPr="00904CD7">
        <w:rPr>
          <w:color w:val="000000" w:themeColor="text1"/>
        </w:rPr>
        <w:t>En cumplimiento a lo establecido en el</w:t>
      </w:r>
      <w:r w:rsidR="002334B2">
        <w:rPr>
          <w:color w:val="000000" w:themeColor="text1"/>
        </w:rPr>
        <w:t xml:space="preserve"> </w:t>
      </w:r>
      <w:hyperlink r:id="rId62" w:history="1">
        <w:r w:rsidRPr="00904CD7">
          <w:rPr>
            <w:rStyle w:val="Hipervnculo"/>
          </w:rPr>
          <w:t>“Decreto por el que se reforman, adicionan y derogan diversas disposiciones de la Ley General de Salud”</w:t>
        </w:r>
      </w:hyperlink>
      <w:r>
        <w:rPr>
          <w:color w:val="000000" w:themeColor="text1"/>
        </w:rPr>
        <w:t xml:space="preserve"> [1]</w:t>
      </w:r>
      <w:r w:rsidRPr="00904CD7">
        <w:rPr>
          <w:color w:val="000000" w:themeColor="text1"/>
        </w:rPr>
        <w:t xml:space="preserve">, publicado el 15 de enero de 2026, la Comisión Federal para la Protección contra Riesgos Sanitarios (COFEPRIS) informa que el próximo 14 de julio entrará en vigor la reclasificación del </w:t>
      </w:r>
      <w:r w:rsidRPr="008E11F4">
        <w:rPr>
          <w:i/>
          <w:iCs/>
          <w:color w:val="000000" w:themeColor="text1"/>
        </w:rPr>
        <w:t>tramadol</w:t>
      </w:r>
      <w:r w:rsidRPr="00904CD7">
        <w:rPr>
          <w:color w:val="000000" w:themeColor="text1"/>
        </w:rPr>
        <w:t xml:space="preserve"> como medicamento controlado en la Fracción III del artículo 245 de la Ley General de Salud.</w:t>
      </w:r>
    </w:p>
    <w:p w14:paraId="4D685765" w14:textId="77777777" w:rsidR="002334B2" w:rsidRPr="00904CD7" w:rsidRDefault="002334B2" w:rsidP="002334B2">
      <w:pPr>
        <w:rPr>
          <w:color w:val="000000" w:themeColor="text1"/>
        </w:rPr>
      </w:pPr>
    </w:p>
    <w:p w14:paraId="6D92C862" w14:textId="327E2D4E" w:rsidR="00904CD7" w:rsidRDefault="00904CD7" w:rsidP="002334B2">
      <w:pPr>
        <w:rPr>
          <w:color w:val="000000" w:themeColor="text1"/>
        </w:rPr>
      </w:pPr>
      <w:r w:rsidRPr="00904CD7">
        <w:rPr>
          <w:color w:val="000000" w:themeColor="text1"/>
        </w:rPr>
        <w:t>Esta medida se implementó con un enfoque preventivo ante el consumo inadecuado de este medicamento opioide, debido a su potencial de dependencia; sin embargo, a fin de garantizar el acceso a quienes lo necesitan, el fármaco continuará disponible para los pacientes que así lo requieran para el manejo del dolor, ya que cualquier receta médica ordinaria que contenga la cédula profesional del médico tratante será plenamente válida en los establecimientos autorizados.</w:t>
      </w:r>
    </w:p>
    <w:p w14:paraId="2D9CE679" w14:textId="77777777" w:rsidR="002334B2" w:rsidRPr="00904CD7" w:rsidRDefault="002334B2" w:rsidP="002334B2">
      <w:pPr>
        <w:rPr>
          <w:color w:val="000000" w:themeColor="text1"/>
        </w:rPr>
      </w:pPr>
    </w:p>
    <w:p w14:paraId="331E3916" w14:textId="6A903413" w:rsidR="00904CD7" w:rsidRDefault="00904CD7" w:rsidP="002334B2">
      <w:pPr>
        <w:rPr>
          <w:color w:val="000000" w:themeColor="text1"/>
        </w:rPr>
      </w:pPr>
      <w:r w:rsidRPr="00904CD7">
        <w:rPr>
          <w:color w:val="000000" w:themeColor="text1"/>
        </w:rPr>
        <w:t>Asimismo, el personal de las farmacias deberá sellar las recetas e indicar la fecha y la cantidad surtida. De igual forma, deberá registrar de manera inmediata cada operación en los libros de control correspondientes.</w:t>
      </w:r>
    </w:p>
    <w:p w14:paraId="392A9AB7" w14:textId="77777777" w:rsidR="002334B2" w:rsidRPr="00904CD7" w:rsidRDefault="002334B2" w:rsidP="002334B2">
      <w:pPr>
        <w:rPr>
          <w:color w:val="000000" w:themeColor="text1"/>
        </w:rPr>
      </w:pPr>
    </w:p>
    <w:p w14:paraId="2980C09C" w14:textId="3BE5FB2C" w:rsidR="00904CD7" w:rsidRDefault="00904CD7" w:rsidP="002334B2">
      <w:pPr>
        <w:rPr>
          <w:i/>
          <w:iCs/>
          <w:color w:val="000000" w:themeColor="text1"/>
        </w:rPr>
      </w:pPr>
      <w:r w:rsidRPr="00904CD7">
        <w:rPr>
          <w:color w:val="000000" w:themeColor="text1"/>
        </w:rPr>
        <w:t xml:space="preserve">Cabe señalar que existen diversas alternativas para el tratamiento del dolor leve a moderado, como los antiinflamatorios no esteroideos (AINE) entre los que se encuentran el </w:t>
      </w:r>
      <w:r w:rsidRPr="008E11F4">
        <w:rPr>
          <w:i/>
          <w:iCs/>
          <w:color w:val="000000" w:themeColor="text1"/>
        </w:rPr>
        <w:t>ibuprofeno, naproxeno</w:t>
      </w:r>
      <w:r w:rsidRPr="00904CD7">
        <w:rPr>
          <w:color w:val="000000" w:themeColor="text1"/>
        </w:rPr>
        <w:t xml:space="preserve"> y </w:t>
      </w:r>
      <w:r w:rsidRPr="008E11F4">
        <w:rPr>
          <w:i/>
          <w:iCs/>
          <w:color w:val="000000" w:themeColor="text1"/>
        </w:rPr>
        <w:t>diclofenaco</w:t>
      </w:r>
      <w:r w:rsidRPr="00904CD7">
        <w:rPr>
          <w:color w:val="000000" w:themeColor="text1"/>
        </w:rPr>
        <w:t xml:space="preserve">, así como el </w:t>
      </w:r>
      <w:r w:rsidRPr="008E11F4">
        <w:rPr>
          <w:i/>
          <w:iCs/>
          <w:color w:val="000000" w:themeColor="text1"/>
        </w:rPr>
        <w:t>paracetamol.</w:t>
      </w:r>
    </w:p>
    <w:p w14:paraId="00E19EA8" w14:textId="77777777" w:rsidR="002334B2" w:rsidRPr="00904CD7" w:rsidRDefault="002334B2" w:rsidP="002334B2">
      <w:pPr>
        <w:rPr>
          <w:color w:val="000000" w:themeColor="text1"/>
        </w:rPr>
      </w:pPr>
    </w:p>
    <w:p w14:paraId="4B69DC50" w14:textId="18A2D21E" w:rsidR="00904CD7" w:rsidRDefault="00904CD7" w:rsidP="002334B2">
      <w:pPr>
        <w:rPr>
          <w:i/>
          <w:iCs/>
          <w:color w:val="000000" w:themeColor="text1"/>
        </w:rPr>
      </w:pPr>
      <w:r w:rsidRPr="00904CD7">
        <w:rPr>
          <w:color w:val="000000" w:themeColor="text1"/>
        </w:rPr>
        <w:t xml:space="preserve">Asimismo, existen opciones terapéuticas para el dolor neuropático, como los antidepresivos, entre ellos la </w:t>
      </w:r>
      <w:proofErr w:type="spellStart"/>
      <w:r w:rsidRPr="008E11F4">
        <w:rPr>
          <w:i/>
          <w:iCs/>
          <w:color w:val="000000" w:themeColor="text1"/>
        </w:rPr>
        <w:t>duloxetina</w:t>
      </w:r>
      <w:proofErr w:type="spellEnd"/>
      <w:r w:rsidRPr="008E11F4">
        <w:rPr>
          <w:i/>
          <w:iCs/>
          <w:color w:val="000000" w:themeColor="text1"/>
        </w:rPr>
        <w:t xml:space="preserve"> </w:t>
      </w:r>
      <w:r w:rsidRPr="00904CD7">
        <w:rPr>
          <w:color w:val="000000" w:themeColor="text1"/>
        </w:rPr>
        <w:t xml:space="preserve">y la </w:t>
      </w:r>
      <w:r w:rsidRPr="008E11F4">
        <w:rPr>
          <w:i/>
          <w:iCs/>
          <w:color w:val="000000" w:themeColor="text1"/>
        </w:rPr>
        <w:t>amitriptilina</w:t>
      </w:r>
      <w:r w:rsidRPr="00904CD7">
        <w:rPr>
          <w:color w:val="000000" w:themeColor="text1"/>
        </w:rPr>
        <w:t xml:space="preserve">, así como anticonvulsivantes como la </w:t>
      </w:r>
      <w:r w:rsidRPr="008E11F4">
        <w:rPr>
          <w:i/>
          <w:iCs/>
          <w:color w:val="000000" w:themeColor="text1"/>
        </w:rPr>
        <w:t>gabapentina</w:t>
      </w:r>
      <w:r w:rsidRPr="00904CD7">
        <w:rPr>
          <w:color w:val="000000" w:themeColor="text1"/>
        </w:rPr>
        <w:t xml:space="preserve"> y la </w:t>
      </w:r>
      <w:proofErr w:type="spellStart"/>
      <w:r w:rsidRPr="008E11F4">
        <w:rPr>
          <w:i/>
          <w:iCs/>
          <w:color w:val="000000" w:themeColor="text1"/>
        </w:rPr>
        <w:t>pregabalina</w:t>
      </w:r>
      <w:proofErr w:type="spellEnd"/>
      <w:r w:rsidRPr="008E11F4">
        <w:rPr>
          <w:i/>
          <w:iCs/>
          <w:color w:val="000000" w:themeColor="text1"/>
        </w:rPr>
        <w:t>.</w:t>
      </w:r>
    </w:p>
    <w:p w14:paraId="39639207" w14:textId="77777777" w:rsidR="002334B2" w:rsidRPr="00904CD7" w:rsidRDefault="002334B2" w:rsidP="002334B2">
      <w:pPr>
        <w:rPr>
          <w:color w:val="000000" w:themeColor="text1"/>
        </w:rPr>
      </w:pPr>
    </w:p>
    <w:p w14:paraId="3735D962" w14:textId="51C62C12" w:rsidR="00904CD7" w:rsidRDefault="00904CD7" w:rsidP="002334B2">
      <w:pPr>
        <w:rPr>
          <w:color w:val="000000" w:themeColor="text1"/>
        </w:rPr>
      </w:pPr>
      <w:r w:rsidRPr="00904CD7">
        <w:rPr>
          <w:color w:val="000000" w:themeColor="text1"/>
        </w:rPr>
        <w:t xml:space="preserve">Los AINE y la </w:t>
      </w:r>
      <w:proofErr w:type="spellStart"/>
      <w:r w:rsidRPr="008E11F4">
        <w:rPr>
          <w:i/>
          <w:iCs/>
          <w:color w:val="000000" w:themeColor="text1"/>
        </w:rPr>
        <w:t>duloxetina</w:t>
      </w:r>
      <w:proofErr w:type="spellEnd"/>
      <w:r w:rsidRPr="008E11F4">
        <w:rPr>
          <w:i/>
          <w:iCs/>
          <w:color w:val="000000" w:themeColor="text1"/>
        </w:rPr>
        <w:t>,</w:t>
      </w:r>
      <w:r w:rsidRPr="00904CD7">
        <w:rPr>
          <w:color w:val="000000" w:themeColor="text1"/>
        </w:rPr>
        <w:t xml:space="preserve"> en combinación con terapias no farmacológicas como la fisioterapia, el ejercicio y la terapia cognitivo-conductual, constituyen alternativas eficaces para el tratamiento del dolor crónico musculoesquelético.</w:t>
      </w:r>
    </w:p>
    <w:p w14:paraId="3A959C88" w14:textId="77777777" w:rsidR="002334B2" w:rsidRPr="00904CD7" w:rsidRDefault="002334B2" w:rsidP="002334B2">
      <w:pPr>
        <w:rPr>
          <w:color w:val="000000" w:themeColor="text1"/>
        </w:rPr>
      </w:pPr>
    </w:p>
    <w:p w14:paraId="27E142CB" w14:textId="0289FDAC" w:rsidR="00904CD7" w:rsidRDefault="00904CD7" w:rsidP="002334B2">
      <w:pPr>
        <w:rPr>
          <w:color w:val="000000" w:themeColor="text1"/>
        </w:rPr>
      </w:pPr>
      <w:r w:rsidRPr="00904CD7">
        <w:rPr>
          <w:color w:val="000000" w:themeColor="text1"/>
        </w:rPr>
        <w:t>Por su parte, los distribuidores y almacenes deberán verificar que las farmacias y hospitales a los que comercialicen este analgésico cuenten con licencia sanitaria para el manejo de medicamentos controlados de la Fracción III. Adicionalmente, deberán resguardarlo en áreas de acceso restringido, bajo llave, y contar con un sistema de control digital que permita su adecuada trazabilidad.</w:t>
      </w:r>
    </w:p>
    <w:p w14:paraId="02D573C0" w14:textId="77777777" w:rsidR="002334B2" w:rsidRPr="00904CD7" w:rsidRDefault="002334B2" w:rsidP="002334B2">
      <w:pPr>
        <w:rPr>
          <w:color w:val="000000" w:themeColor="text1"/>
        </w:rPr>
      </w:pPr>
    </w:p>
    <w:p w14:paraId="076D945C" w14:textId="42BDE1FE" w:rsidR="00FA3686" w:rsidRDefault="00904CD7" w:rsidP="002334B2">
      <w:pPr>
        <w:rPr>
          <w:color w:val="000000" w:themeColor="text1"/>
        </w:rPr>
      </w:pPr>
      <w:r w:rsidRPr="00904CD7">
        <w:rPr>
          <w:color w:val="000000" w:themeColor="text1"/>
        </w:rPr>
        <w:t xml:space="preserve">En tanto, los fabricantes e importadores deberán gestionar ante esta autoridad sanitaria la modificación de los registros sanitarios correspondientes, así como actualizar la información para prescribir (IPP) y el etiquetado de sus productos. </w:t>
      </w:r>
    </w:p>
    <w:p w14:paraId="0993B4C1" w14:textId="77777777" w:rsidR="002334B2" w:rsidRDefault="002334B2" w:rsidP="002334B2">
      <w:pPr>
        <w:rPr>
          <w:color w:val="000000" w:themeColor="text1"/>
        </w:rPr>
      </w:pPr>
    </w:p>
    <w:p w14:paraId="07CC3673" w14:textId="26DA1BD4" w:rsidR="00904CD7" w:rsidRDefault="00FA3686" w:rsidP="002334B2">
      <w:pPr>
        <w:rPr>
          <w:color w:val="000000" w:themeColor="text1"/>
        </w:rPr>
      </w:pPr>
      <w:r>
        <w:rPr>
          <w:color w:val="000000" w:themeColor="text1"/>
        </w:rPr>
        <w:t>L</w:t>
      </w:r>
      <w:r w:rsidRPr="00904CD7">
        <w:rPr>
          <w:color w:val="000000" w:themeColor="text1"/>
        </w:rPr>
        <w:t xml:space="preserve">os fabricantes e importadores </w:t>
      </w:r>
      <w:r>
        <w:rPr>
          <w:color w:val="000000" w:themeColor="text1"/>
        </w:rPr>
        <w:t>t</w:t>
      </w:r>
      <w:r w:rsidR="00904CD7" w:rsidRPr="00904CD7">
        <w:rPr>
          <w:color w:val="000000" w:themeColor="text1"/>
        </w:rPr>
        <w:t>ambién deberán implementar un plan para el agotamiento de existencias con etiquetado previo y garantizar que la nueva producción ostente la leyenda correspondiente a medicamentos de la Fracción III.</w:t>
      </w:r>
    </w:p>
    <w:p w14:paraId="186A57FA" w14:textId="77777777" w:rsidR="002334B2" w:rsidRPr="00904CD7" w:rsidRDefault="002334B2" w:rsidP="002334B2">
      <w:pPr>
        <w:rPr>
          <w:color w:val="000000" w:themeColor="text1"/>
        </w:rPr>
      </w:pPr>
    </w:p>
    <w:p w14:paraId="40517EF1" w14:textId="0EEACD0E" w:rsidR="00904CD7" w:rsidRDefault="00904CD7" w:rsidP="002334B2">
      <w:pPr>
        <w:rPr>
          <w:color w:val="000000" w:themeColor="text1"/>
        </w:rPr>
      </w:pPr>
      <w:r w:rsidRPr="00904CD7">
        <w:rPr>
          <w:color w:val="000000" w:themeColor="text1"/>
        </w:rPr>
        <w:t>COFEPRIS exhorta a las y los pacientes a evitar la automedicación y a consultar con profesionales de la salud las alternativas terapéuticas más adecuadas para el manejo del dolor, de acuerdo con su padecimiento e historia clínica. Asimismo, exhorta a los establecimientos regulados a realizar oportunamente las adecuaciones necesarias para dar cumplimiento a la normativa vigente y garantizar el manejo seguro de este medicamento.</w:t>
      </w:r>
    </w:p>
    <w:p w14:paraId="60C9554C" w14:textId="77777777" w:rsidR="002334B2" w:rsidRDefault="002334B2" w:rsidP="002334B2">
      <w:pPr>
        <w:rPr>
          <w:color w:val="000000" w:themeColor="text1"/>
        </w:rPr>
      </w:pPr>
    </w:p>
    <w:p w14:paraId="588427D5" w14:textId="02639CCB" w:rsidR="00492F74" w:rsidRPr="00FA3686" w:rsidRDefault="00492F74" w:rsidP="002334B2">
      <w:pPr>
        <w:rPr>
          <w:b/>
          <w:bCs/>
          <w:color w:val="000000" w:themeColor="text1"/>
          <w:sz w:val="18"/>
          <w:szCs w:val="22"/>
        </w:rPr>
      </w:pPr>
      <w:r w:rsidRPr="00FA3686">
        <w:rPr>
          <w:b/>
          <w:bCs/>
          <w:color w:val="000000" w:themeColor="text1"/>
          <w:sz w:val="18"/>
          <w:szCs w:val="22"/>
        </w:rPr>
        <w:t>Referencia:</w:t>
      </w:r>
    </w:p>
    <w:p w14:paraId="4AB138DC" w14:textId="0459CFE2" w:rsidR="00861F78" w:rsidRDefault="00492F74" w:rsidP="00F25512">
      <w:pPr>
        <w:ind w:left="180" w:hanging="180"/>
        <w:rPr>
          <w:color w:val="000000" w:themeColor="text1"/>
          <w:sz w:val="18"/>
          <w:szCs w:val="22"/>
        </w:rPr>
      </w:pPr>
      <w:r w:rsidRPr="00FA3686">
        <w:rPr>
          <w:color w:val="000000" w:themeColor="text1"/>
          <w:sz w:val="18"/>
          <w:szCs w:val="22"/>
        </w:rPr>
        <w:t xml:space="preserve">1.Gobierno de México. Decreto por el que se reforman, adicionan y derogan diversas disposiciones de la Ley General de Salud, 15 de enero del 2026. </w:t>
      </w:r>
      <w:hyperlink r:id="rId63" w:history="1">
        <w:r w:rsidRPr="00FA3686">
          <w:rPr>
            <w:rStyle w:val="Hipervnculo"/>
            <w:sz w:val="18"/>
            <w:szCs w:val="22"/>
          </w:rPr>
          <w:t>https://dof.gob.mx/2026/PRESREP/PRESREP_150126_02.pdf</w:t>
        </w:r>
      </w:hyperlink>
    </w:p>
    <w:p w14:paraId="4D17DAE4" w14:textId="77777777" w:rsidR="00C448A6" w:rsidRDefault="00C448A6" w:rsidP="002334B2">
      <w:pPr>
        <w:rPr>
          <w:color w:val="000000" w:themeColor="text1"/>
          <w:sz w:val="18"/>
          <w:szCs w:val="22"/>
        </w:rPr>
        <w:sectPr w:rsidR="00C448A6" w:rsidSect="00C448A6">
          <w:type w:val="continuous"/>
          <w:pgSz w:w="12240" w:h="15840" w:code="1"/>
          <w:pgMar w:top="720" w:right="720" w:bottom="720" w:left="720" w:header="288" w:footer="288" w:gutter="0"/>
          <w:cols w:num="2" w:space="288"/>
          <w:docGrid w:linePitch="360"/>
        </w:sectPr>
      </w:pPr>
    </w:p>
    <w:p w14:paraId="0B40F217" w14:textId="2F182A34" w:rsidR="00F81EDF" w:rsidRDefault="00F81EDF" w:rsidP="002334B2">
      <w:pPr>
        <w:rPr>
          <w:color w:val="000000" w:themeColor="text1"/>
          <w:sz w:val="18"/>
          <w:szCs w:val="22"/>
        </w:rPr>
      </w:pPr>
    </w:p>
    <w:p w14:paraId="12E03E67" w14:textId="77777777" w:rsidR="002334B2" w:rsidRPr="00861F78" w:rsidRDefault="002334B2" w:rsidP="002334B2">
      <w:pPr>
        <w:rPr>
          <w:color w:val="000000" w:themeColor="text1"/>
          <w:sz w:val="18"/>
          <w:szCs w:val="22"/>
        </w:rPr>
      </w:pPr>
    </w:p>
    <w:p w14:paraId="7805CB51" w14:textId="23BE0D95" w:rsidR="00FD457F" w:rsidRPr="00CE1F98" w:rsidRDefault="00FD457F" w:rsidP="00CE1F98">
      <w:pPr>
        <w:jc w:val="center"/>
      </w:pPr>
      <w:r w:rsidRPr="00CE1F98">
        <w:t xml:space="preserve">Perú. </w:t>
      </w:r>
      <w:r w:rsidRPr="00CE1F98">
        <w:rPr>
          <w:b/>
          <w:bCs/>
        </w:rPr>
        <w:t xml:space="preserve">Perú y España fortalecen </w:t>
      </w:r>
      <w:r w:rsidR="00D95B91">
        <w:rPr>
          <w:b/>
          <w:bCs/>
        </w:rPr>
        <w:t xml:space="preserve">el </w:t>
      </w:r>
      <w:r w:rsidRPr="00CE1F98">
        <w:rPr>
          <w:b/>
          <w:bCs/>
        </w:rPr>
        <w:t>sistema regulatorio de medicamentos con estándares globales</w:t>
      </w:r>
    </w:p>
    <w:p w14:paraId="701E1948" w14:textId="088D9AE1" w:rsidR="00D20A5D" w:rsidRDefault="00D20A5D" w:rsidP="00CE1F98">
      <w:pPr>
        <w:jc w:val="center"/>
      </w:pPr>
      <w:r w:rsidRPr="00CE1F98">
        <w:rPr>
          <w:i/>
          <w:iCs/>
        </w:rPr>
        <w:t>Dirección General de Medicamentos, Insumos y Drogas (DIGEMID),</w:t>
      </w:r>
      <w:r w:rsidRPr="00D20A5D">
        <w:t xml:space="preserve"> 8 de junio de 2026</w:t>
      </w:r>
    </w:p>
    <w:p w14:paraId="79D8C255" w14:textId="07A67A09" w:rsidR="00CE1F98" w:rsidRDefault="00B00DA4" w:rsidP="00861F78">
      <w:pPr>
        <w:jc w:val="center"/>
      </w:pPr>
      <w:hyperlink r:id="rId64" w:history="1">
        <w:r w:rsidR="00861F78" w:rsidRPr="00D9077B">
          <w:rPr>
            <w:rStyle w:val="Hipervnculo"/>
          </w:rPr>
          <w:t>https://www.digemid.minsa.gob.pe/webDigemid/notas/2026/peru-y-espana-fortalecen-sistema-regulatorio-de-medicamentos-con-estandares-globales/</w:t>
        </w:r>
      </w:hyperlink>
    </w:p>
    <w:p w14:paraId="2051AC7D" w14:textId="77777777" w:rsidR="00861F78" w:rsidRPr="00CE1F98" w:rsidRDefault="00861F78" w:rsidP="00861F78">
      <w:pPr>
        <w:jc w:val="center"/>
      </w:pPr>
    </w:p>
    <w:p w14:paraId="41B9A616" w14:textId="77777777" w:rsidR="00C448A6" w:rsidRDefault="00C448A6" w:rsidP="002334B2">
      <w:pPr>
        <w:rPr>
          <w:bCs/>
          <w:color w:val="000000" w:themeColor="text1"/>
        </w:rPr>
        <w:sectPr w:rsidR="00C448A6" w:rsidSect="00F25512">
          <w:type w:val="continuous"/>
          <w:pgSz w:w="12240" w:h="15840" w:code="1"/>
          <w:pgMar w:top="720" w:right="720" w:bottom="720" w:left="720" w:header="288" w:footer="288" w:gutter="0"/>
          <w:cols w:space="288"/>
          <w:docGrid w:linePitch="360"/>
        </w:sectPr>
      </w:pPr>
    </w:p>
    <w:p w14:paraId="7C9EBD44" w14:textId="2735458B" w:rsidR="00FD457F" w:rsidRDefault="00FD457F" w:rsidP="002334B2">
      <w:pPr>
        <w:rPr>
          <w:bCs/>
          <w:color w:val="000000" w:themeColor="text1"/>
        </w:rPr>
      </w:pPr>
      <w:r w:rsidRPr="002334B2">
        <w:rPr>
          <w:bCs/>
          <w:color w:val="000000" w:themeColor="text1"/>
        </w:rPr>
        <w:t>Minsa y la Agencia Española de Medicamentos y Productos Sanitarios suscribieron memorando de entendimiento para beneficio de la población.</w:t>
      </w:r>
    </w:p>
    <w:p w14:paraId="759775EE" w14:textId="77777777" w:rsidR="002334B2" w:rsidRPr="002334B2" w:rsidRDefault="002334B2" w:rsidP="002334B2">
      <w:pPr>
        <w:rPr>
          <w:bCs/>
          <w:color w:val="000000" w:themeColor="text1"/>
        </w:rPr>
      </w:pPr>
    </w:p>
    <w:p w14:paraId="70CFDE19" w14:textId="4E942272" w:rsidR="00FD457F" w:rsidRDefault="00FD457F" w:rsidP="002334B2">
      <w:pPr>
        <w:rPr>
          <w:color w:val="000000" w:themeColor="text1"/>
        </w:rPr>
      </w:pPr>
      <w:r w:rsidRPr="00FD457F">
        <w:rPr>
          <w:color w:val="000000" w:themeColor="text1"/>
        </w:rPr>
        <w:t xml:space="preserve">El Ministerio de Salud (Minsa) y la Agencia Española de Medicamentos y Productos Sanitarios (AEMPS) del Reino de España suscribieron un memorando de entendimiento que permitirá fortalecer la colaboración entre ambas instituciones en materia de regulación y control de medicamentos, dispositivos </w:t>
      </w:r>
      <w:r w:rsidRPr="00FD457F">
        <w:rPr>
          <w:color w:val="000000" w:themeColor="text1"/>
        </w:rPr>
        <w:lastRenderedPageBreak/>
        <w:t>médicos y productos sanitarios conforme a estándares globales, lo que contribuirá a reforzar el cuidado de la salud de nuestra población.</w:t>
      </w:r>
    </w:p>
    <w:p w14:paraId="23FA5A57" w14:textId="77777777" w:rsidR="002334B2" w:rsidRPr="00FD457F" w:rsidRDefault="002334B2" w:rsidP="002334B2">
      <w:pPr>
        <w:rPr>
          <w:color w:val="000000" w:themeColor="text1"/>
        </w:rPr>
      </w:pPr>
    </w:p>
    <w:p w14:paraId="718863C8" w14:textId="566876CC" w:rsidR="00FD457F" w:rsidRDefault="00FD457F" w:rsidP="002334B2">
      <w:pPr>
        <w:rPr>
          <w:color w:val="000000" w:themeColor="text1"/>
        </w:rPr>
      </w:pPr>
      <w:r w:rsidRPr="00FD457F">
        <w:rPr>
          <w:color w:val="000000" w:themeColor="text1"/>
        </w:rPr>
        <w:t>La ceremonia contó con la participación del viceministro de Salud Pública, Henry Rebaza Iparraguirre; quien destacó que, “Este nuevo convenio institucionaliza un esfuerzo de hermandad que nos une con España no solo por la historia, la cultura, las familias y el idioma, sino también por el fortalecimiento de nuestras capacidades técnicas y científicas.”</w:t>
      </w:r>
    </w:p>
    <w:p w14:paraId="00A25CFC" w14:textId="77777777" w:rsidR="002334B2" w:rsidRPr="00FD457F" w:rsidRDefault="002334B2" w:rsidP="002334B2">
      <w:pPr>
        <w:rPr>
          <w:color w:val="000000" w:themeColor="text1"/>
        </w:rPr>
      </w:pPr>
    </w:p>
    <w:p w14:paraId="1868F5DB" w14:textId="6FD5E019" w:rsidR="00FD457F" w:rsidRDefault="00FD457F" w:rsidP="002334B2">
      <w:pPr>
        <w:rPr>
          <w:color w:val="000000" w:themeColor="text1"/>
        </w:rPr>
      </w:pPr>
      <w:r w:rsidRPr="00FD457F">
        <w:rPr>
          <w:color w:val="000000" w:themeColor="text1"/>
        </w:rPr>
        <w:t>La suscripción de este memorándum de entendimiento facilita el establecimiento de mecanismos de confidencialidad, necesarios para el intercambio de información relacionada a la regulación y control de productos farmacéuticos y dispositivos médicos, así como información, experiencias y buenas prácticas regulatorias en temas de interés común para ambos países.</w:t>
      </w:r>
    </w:p>
    <w:p w14:paraId="7B0313E5" w14:textId="77777777" w:rsidR="002334B2" w:rsidRPr="00FD457F" w:rsidRDefault="002334B2" w:rsidP="002334B2">
      <w:pPr>
        <w:rPr>
          <w:color w:val="000000" w:themeColor="text1"/>
        </w:rPr>
      </w:pPr>
    </w:p>
    <w:p w14:paraId="0DAC9253" w14:textId="401F2477" w:rsidR="00FD457F" w:rsidRDefault="00FD457F" w:rsidP="002334B2">
      <w:pPr>
        <w:rPr>
          <w:color w:val="000000" w:themeColor="text1"/>
        </w:rPr>
      </w:pPr>
      <w:r w:rsidRPr="00FD457F">
        <w:rPr>
          <w:color w:val="000000" w:themeColor="text1"/>
        </w:rPr>
        <w:t>“La regulación sanitaria es una tarea compleja y muchas veces invisible, pero fundamental para proteger la vida y la salud de las personas.” señaló el viceministro.</w:t>
      </w:r>
    </w:p>
    <w:p w14:paraId="05C6AED8" w14:textId="77777777" w:rsidR="002334B2" w:rsidRPr="00FD457F" w:rsidRDefault="002334B2" w:rsidP="002334B2">
      <w:pPr>
        <w:rPr>
          <w:color w:val="000000" w:themeColor="text1"/>
        </w:rPr>
      </w:pPr>
    </w:p>
    <w:p w14:paraId="307643BC" w14:textId="322E3E21" w:rsidR="00FD457F" w:rsidRDefault="00FD457F" w:rsidP="002334B2">
      <w:pPr>
        <w:rPr>
          <w:color w:val="000000" w:themeColor="text1"/>
        </w:rPr>
      </w:pPr>
      <w:r w:rsidRPr="00FD457F">
        <w:rPr>
          <w:color w:val="000000" w:themeColor="text1"/>
        </w:rPr>
        <w:t>Considerando que el Perú reconoce a España como un país de alta vigilancia sanitaria, la cooperación entre el Minsa, a través de la Digemid y la AEMPS eleva sustancialmente el estándar técnico y la predictibilidad regulatoria de nuestro país.</w:t>
      </w:r>
    </w:p>
    <w:p w14:paraId="33125187" w14:textId="77777777" w:rsidR="002334B2" w:rsidRPr="00FD457F" w:rsidRDefault="002334B2" w:rsidP="002334B2">
      <w:pPr>
        <w:rPr>
          <w:color w:val="000000" w:themeColor="text1"/>
        </w:rPr>
      </w:pPr>
    </w:p>
    <w:p w14:paraId="44114502" w14:textId="60CE8434" w:rsidR="00FD457F" w:rsidRDefault="00FD457F" w:rsidP="002334B2">
      <w:pPr>
        <w:rPr>
          <w:color w:val="000000" w:themeColor="text1"/>
        </w:rPr>
      </w:pPr>
      <w:r w:rsidRPr="00FD457F">
        <w:rPr>
          <w:color w:val="000000" w:themeColor="text1"/>
        </w:rPr>
        <w:t xml:space="preserve">En ese sentido, ambas instituciones se comprometen a crear lazos de cooperación que permitan establecer bases y mecanismos de </w:t>
      </w:r>
      <w:r w:rsidRPr="00FD457F">
        <w:rPr>
          <w:color w:val="000000" w:themeColor="text1"/>
        </w:rPr>
        <w:t>cooperación en el campo de productos de uso humano, incluyendo medicamentos, dispositivos médicos, productos biológicos, sanitarios y cosméticos, mediante la promoción y desarrollo de programas de capacitación formativa que se consideren necesarios para el fortalecimiento de las capacidades institucionales.</w:t>
      </w:r>
    </w:p>
    <w:p w14:paraId="6DB2A8C3" w14:textId="77777777" w:rsidR="002334B2" w:rsidRPr="00FD457F" w:rsidRDefault="002334B2" w:rsidP="002334B2">
      <w:pPr>
        <w:rPr>
          <w:color w:val="000000" w:themeColor="text1"/>
        </w:rPr>
      </w:pPr>
    </w:p>
    <w:p w14:paraId="65914307" w14:textId="7A0133ED" w:rsidR="00FD457F" w:rsidRDefault="00FD457F" w:rsidP="002334B2">
      <w:pPr>
        <w:rPr>
          <w:color w:val="000000" w:themeColor="text1"/>
        </w:rPr>
      </w:pPr>
      <w:r w:rsidRPr="00FD457F">
        <w:rPr>
          <w:color w:val="000000" w:themeColor="text1"/>
        </w:rPr>
        <w:t>La Agencia Española de Medicamentos y Productos Sanitarios es una de las entidades regulatorias más reconocidas de Europa y desempeña un papel importante en la protección de la salud pública. Su experiencia representa una importante oportunidad para seguir fortaleciendo las capacidades técnicas de la Digemid y avanzar hacia estándares internacionales cada vez más exigentes.</w:t>
      </w:r>
    </w:p>
    <w:p w14:paraId="1B320B4D" w14:textId="77777777" w:rsidR="002334B2" w:rsidRPr="00FD457F" w:rsidRDefault="002334B2" w:rsidP="002334B2">
      <w:pPr>
        <w:rPr>
          <w:color w:val="000000" w:themeColor="text1"/>
        </w:rPr>
      </w:pPr>
    </w:p>
    <w:p w14:paraId="10C55390" w14:textId="69E85AB8" w:rsidR="00FD457F" w:rsidRDefault="00FD457F" w:rsidP="002334B2">
      <w:pPr>
        <w:rPr>
          <w:color w:val="000000" w:themeColor="text1"/>
        </w:rPr>
      </w:pPr>
      <w:r w:rsidRPr="00FD457F">
        <w:rPr>
          <w:color w:val="000000" w:themeColor="text1"/>
        </w:rPr>
        <w:t>Durante el acto protocolar, estuvieron presentes directora de la AEMPS, María Jesús Lamas Díaz; la directora general de la Dirección General de Medicamentos, Insumos y Drogas (Digemid), Lida Hildebrandt Pinedo y el director general de la Oficina General de Cooperación Técnica Internacional (OGCTI), Alberto Tejada Conroy, quienes destacaron que este memorando refleja la voluntad de ambos países de trabajar de manera conjunta para garantizar que la población tenga acceso a medicamentos, dispositivos médicos y productos sanitarios seguros, eficaces y de calidad comprobada.</w:t>
      </w:r>
    </w:p>
    <w:p w14:paraId="11ED2534" w14:textId="77777777" w:rsidR="002334B2" w:rsidRPr="00FD457F" w:rsidRDefault="002334B2" w:rsidP="002334B2">
      <w:pPr>
        <w:rPr>
          <w:color w:val="000000" w:themeColor="text1"/>
        </w:rPr>
      </w:pPr>
    </w:p>
    <w:p w14:paraId="5766E03E" w14:textId="77777777" w:rsidR="00C448A6" w:rsidRDefault="00FD457F" w:rsidP="002334B2">
      <w:pPr>
        <w:rPr>
          <w:color w:val="000000" w:themeColor="text1"/>
        </w:rPr>
        <w:sectPr w:rsidR="00C448A6" w:rsidSect="00C448A6">
          <w:type w:val="continuous"/>
          <w:pgSz w:w="12240" w:h="15840" w:code="1"/>
          <w:pgMar w:top="720" w:right="720" w:bottom="720" w:left="720" w:header="288" w:footer="288" w:gutter="0"/>
          <w:cols w:num="2" w:space="288"/>
          <w:docGrid w:linePitch="360"/>
        </w:sectPr>
      </w:pPr>
      <w:r w:rsidRPr="00FD457F">
        <w:rPr>
          <w:color w:val="000000" w:themeColor="text1"/>
        </w:rPr>
        <w:t>La firma de este instrumento reafirma el compromiso del Ministerio de Salud con la mejora continua de los servicios y sistemas de regulación sanitaria.</w:t>
      </w:r>
    </w:p>
    <w:p w14:paraId="4A76D3B4" w14:textId="51B905FE" w:rsidR="00CE1F98" w:rsidRDefault="00CE1F98" w:rsidP="002334B2">
      <w:pPr>
        <w:rPr>
          <w:color w:val="000000" w:themeColor="text1"/>
        </w:rPr>
      </w:pPr>
    </w:p>
    <w:p w14:paraId="4227D3C4" w14:textId="77777777" w:rsidR="002334B2" w:rsidRPr="00515B68" w:rsidRDefault="002334B2" w:rsidP="002334B2">
      <w:pPr>
        <w:rPr>
          <w:color w:val="000000" w:themeColor="text1"/>
        </w:rPr>
      </w:pPr>
    </w:p>
    <w:p w14:paraId="3AEE13D1" w14:textId="34FF3FEC" w:rsidR="00365A46" w:rsidRPr="00365A46" w:rsidRDefault="00365A46" w:rsidP="00E73AAD">
      <w:pPr>
        <w:jc w:val="center"/>
        <w:rPr>
          <w:b/>
          <w:bCs/>
          <w:color w:val="000000" w:themeColor="text1"/>
          <w:sz w:val="24"/>
          <w:szCs w:val="32"/>
        </w:rPr>
      </w:pPr>
      <w:r w:rsidRPr="005C1B8E">
        <w:rPr>
          <w:b/>
          <w:bCs/>
          <w:color w:val="000000" w:themeColor="text1"/>
          <w:sz w:val="24"/>
          <w:szCs w:val="32"/>
        </w:rPr>
        <w:t>Europa y El Reino Unido</w:t>
      </w:r>
    </w:p>
    <w:p w14:paraId="3EF8F5F6" w14:textId="77777777" w:rsidR="00365A46" w:rsidRDefault="00365A46" w:rsidP="00E73AAD">
      <w:pPr>
        <w:jc w:val="center"/>
        <w:rPr>
          <w:color w:val="000000" w:themeColor="text1"/>
        </w:rPr>
      </w:pPr>
    </w:p>
    <w:p w14:paraId="22B40683" w14:textId="77777777" w:rsidR="00E9788B" w:rsidRDefault="00741109" w:rsidP="00E9788B">
      <w:pPr>
        <w:jc w:val="center"/>
        <w:rPr>
          <w:b/>
          <w:bCs/>
        </w:rPr>
      </w:pPr>
      <w:r w:rsidRPr="000A6D30">
        <w:rPr>
          <w:rFonts w:cs="Times New Roman"/>
        </w:rPr>
        <w:t xml:space="preserve">Europa. </w:t>
      </w:r>
      <w:r w:rsidR="00E9788B">
        <w:rPr>
          <w:b/>
          <w:bCs/>
        </w:rPr>
        <w:t xml:space="preserve">Manejo de los conflictos de interés en la EMA: </w:t>
      </w:r>
    </w:p>
    <w:p w14:paraId="2FEF3D3D" w14:textId="77777777" w:rsidR="00D400E8" w:rsidRDefault="00E9788B" w:rsidP="00E9788B">
      <w:pPr>
        <w:jc w:val="center"/>
        <w:rPr>
          <w:b/>
          <w:bCs/>
        </w:rPr>
      </w:pPr>
      <w:r>
        <w:rPr>
          <w:b/>
          <w:bCs/>
        </w:rPr>
        <w:t xml:space="preserve">las evaluaciones de medicamentos ¿de verdad se protegen de la influencia de la industria? </w:t>
      </w:r>
    </w:p>
    <w:p w14:paraId="6F6AA11C" w14:textId="1D09A163" w:rsidR="00E9788B" w:rsidRPr="00F25512" w:rsidRDefault="00E9788B" w:rsidP="00E9788B">
      <w:pPr>
        <w:jc w:val="center"/>
        <w:rPr>
          <w:lang w:val="es-ES"/>
        </w:rPr>
      </w:pPr>
      <w:r w:rsidRPr="00C50B64">
        <w:rPr>
          <w:lang w:val="en-US"/>
        </w:rPr>
        <w:t>(</w:t>
      </w:r>
      <w:r w:rsidRPr="00C50B64">
        <w:rPr>
          <w:i/>
          <w:iCs/>
          <w:lang w:val="en-US"/>
        </w:rPr>
        <w:t xml:space="preserve">Management of conflicts of interest at the EMA: </w:t>
      </w:r>
      <w:r w:rsidR="00AA7CB5" w:rsidRPr="00C50B64">
        <w:rPr>
          <w:i/>
          <w:iCs/>
          <w:lang w:val="en-US"/>
        </w:rPr>
        <w:t>¿</w:t>
      </w:r>
      <w:r w:rsidRPr="00C50B64">
        <w:rPr>
          <w:i/>
          <w:iCs/>
          <w:lang w:val="en-US"/>
        </w:rPr>
        <w:t>are drug evaluations really shielded from industry influence?</w:t>
      </w:r>
      <w:r w:rsidRPr="00C50B64">
        <w:rPr>
          <w:lang w:val="en-US"/>
        </w:rPr>
        <w:t>)</w:t>
      </w:r>
      <w:r w:rsidRPr="00C50B64">
        <w:rPr>
          <w:b/>
          <w:bCs/>
          <w:lang w:val="en-US"/>
        </w:rPr>
        <w:br/>
      </w:r>
      <w:proofErr w:type="spellStart"/>
      <w:r w:rsidRPr="00F25512">
        <w:rPr>
          <w:i/>
          <w:iCs/>
          <w:lang w:val="es-ES"/>
        </w:rPr>
        <w:t>Prescrire</w:t>
      </w:r>
      <w:proofErr w:type="spellEnd"/>
      <w:r w:rsidRPr="00F25512">
        <w:rPr>
          <w:i/>
          <w:iCs/>
          <w:lang w:val="es-ES"/>
        </w:rPr>
        <w:t xml:space="preserve"> International</w:t>
      </w:r>
      <w:r w:rsidRPr="00F25512">
        <w:rPr>
          <w:lang w:val="es-ES"/>
        </w:rPr>
        <w:t xml:space="preserve"> 2026; 35 (280): 110-111</w:t>
      </w:r>
    </w:p>
    <w:p w14:paraId="68B3A0FC" w14:textId="72B97231" w:rsidR="00E9788B" w:rsidRPr="007A7F2D" w:rsidRDefault="00E9788B" w:rsidP="00E9788B">
      <w:pPr>
        <w:jc w:val="center"/>
        <w:rPr>
          <w:lang w:val="es-ES"/>
        </w:rPr>
      </w:pPr>
      <w:r w:rsidRPr="00CA0441">
        <w:rPr>
          <w:rFonts w:eastAsia="Times New Roman" w:cs="Times New Roman"/>
          <w:szCs w:val="20"/>
          <w:lang w:val="es-ES"/>
        </w:rPr>
        <w:t xml:space="preserve">Traducido por Salud y Fármacos, publicado en </w:t>
      </w:r>
      <w:r w:rsidRPr="00CA0441">
        <w:rPr>
          <w:rFonts w:cs="Times New Roman"/>
          <w:i/>
          <w:iCs/>
          <w:szCs w:val="20"/>
          <w:lang w:val="es-ES"/>
        </w:rPr>
        <w:t xml:space="preserve">Boletín Fármacos: </w:t>
      </w:r>
      <w:r w:rsidR="00AA7CB5">
        <w:rPr>
          <w:rFonts w:cs="Times New Roman"/>
          <w:i/>
          <w:iCs/>
          <w:szCs w:val="20"/>
          <w:lang w:val="es-ES"/>
        </w:rPr>
        <w:t>Agen</w:t>
      </w:r>
      <w:r w:rsidRPr="00CA0441">
        <w:rPr>
          <w:rFonts w:eastAsia="Times New Roman" w:cs="Times New Roman"/>
          <w:bCs/>
          <w:i/>
          <w:iCs/>
          <w:szCs w:val="16"/>
          <w:lang w:val="es-ES"/>
        </w:rPr>
        <w:t>cia</w:t>
      </w:r>
      <w:r>
        <w:rPr>
          <w:rFonts w:eastAsia="Times New Roman" w:cs="Times New Roman"/>
          <w:bCs/>
          <w:i/>
          <w:iCs/>
          <w:szCs w:val="16"/>
          <w:lang w:val="es-ES"/>
        </w:rPr>
        <w:t xml:space="preserve">s </w:t>
      </w:r>
      <w:r w:rsidR="00AA7CB5">
        <w:rPr>
          <w:rFonts w:eastAsia="Times New Roman" w:cs="Times New Roman"/>
          <w:bCs/>
          <w:i/>
          <w:iCs/>
          <w:szCs w:val="16"/>
          <w:lang w:val="es-ES"/>
        </w:rPr>
        <w:t>Reguladoras</w:t>
      </w:r>
      <w:r w:rsidRPr="00CA0441">
        <w:rPr>
          <w:rFonts w:eastAsia="Times New Roman" w:cs="Times New Roman"/>
          <w:bCs/>
          <w:i/>
          <w:iCs/>
          <w:szCs w:val="16"/>
          <w:lang w:val="es-ES"/>
        </w:rPr>
        <w:t xml:space="preserve"> 2026; 29(3)</w:t>
      </w:r>
    </w:p>
    <w:p w14:paraId="4E33E074" w14:textId="77777777" w:rsidR="00E9788B" w:rsidRPr="00CA0441" w:rsidRDefault="00E9788B" w:rsidP="00E9788B">
      <w:pPr>
        <w:rPr>
          <w:rFonts w:eastAsia="Times New Roman" w:cs="Times New Roman"/>
          <w:szCs w:val="20"/>
          <w:lang w:val="es-ES"/>
        </w:rPr>
      </w:pPr>
    </w:p>
    <w:p w14:paraId="70F99A8E" w14:textId="77777777" w:rsidR="00C448A6" w:rsidRDefault="00C448A6" w:rsidP="00E9788B">
      <w:pPr>
        <w:rPr>
          <w:rFonts w:eastAsia="Times New Roman" w:cs="Times New Roman"/>
          <w:b/>
          <w:bCs/>
          <w:sz w:val="18"/>
          <w:szCs w:val="18"/>
          <w:lang w:val="es-ES"/>
        </w:rPr>
        <w:sectPr w:rsidR="00C448A6" w:rsidSect="00F25512">
          <w:type w:val="continuous"/>
          <w:pgSz w:w="12240" w:h="15840" w:code="1"/>
          <w:pgMar w:top="720" w:right="720" w:bottom="720" w:left="720" w:header="288" w:footer="288" w:gutter="0"/>
          <w:cols w:space="288"/>
          <w:docGrid w:linePitch="360"/>
        </w:sectPr>
      </w:pPr>
    </w:p>
    <w:p w14:paraId="3736941D" w14:textId="20B593F3" w:rsidR="00E9788B" w:rsidRPr="00346B9D" w:rsidRDefault="00E9788B" w:rsidP="00E9788B">
      <w:pPr>
        <w:rPr>
          <w:b/>
          <w:bCs/>
          <w:sz w:val="18"/>
          <w:szCs w:val="18"/>
        </w:rPr>
      </w:pPr>
      <w:r w:rsidRPr="00C07879">
        <w:rPr>
          <w:rFonts w:eastAsia="Times New Roman" w:cs="Times New Roman"/>
          <w:b/>
          <w:bCs/>
          <w:sz w:val="18"/>
          <w:szCs w:val="18"/>
          <w:lang w:val="es-ES"/>
        </w:rPr>
        <w:t>Tags:</w:t>
      </w:r>
      <w:r w:rsidRPr="00C07879">
        <w:rPr>
          <w:b/>
          <w:bCs/>
          <w:sz w:val="18"/>
          <w:szCs w:val="18"/>
          <w:lang w:val="es-ES"/>
        </w:rPr>
        <w:t xml:space="preserve"> </w:t>
      </w:r>
      <w:r w:rsidRPr="00346B9D">
        <w:rPr>
          <w:b/>
          <w:bCs/>
          <w:sz w:val="18"/>
          <w:szCs w:val="18"/>
        </w:rPr>
        <w:t>conflictos de interés y EMA, evaluación de medicamentos, influencia de la industria farmacéutica</w:t>
      </w:r>
    </w:p>
    <w:p w14:paraId="43DCEB6F" w14:textId="77777777" w:rsidR="00E9788B" w:rsidRDefault="00E9788B" w:rsidP="00E9788B">
      <w:pPr>
        <w:rPr>
          <w:b/>
          <w:bCs/>
        </w:rPr>
      </w:pPr>
    </w:p>
    <w:p w14:paraId="0D40E56F" w14:textId="77777777" w:rsidR="00E9788B" w:rsidRPr="00346B9D" w:rsidRDefault="00E9788B" w:rsidP="00E9788B">
      <w:r w:rsidRPr="00346B9D">
        <w:t xml:space="preserve">Escribimos en respuesta a su editorial “Manejo de los conflictos de interés en la EMA: fracaso crónico”, que se publicó en el número de junio de 2025 de </w:t>
      </w:r>
      <w:proofErr w:type="spellStart"/>
      <w:r w:rsidRPr="00346B9D">
        <w:t>Prescrire</w:t>
      </w:r>
      <w:proofErr w:type="spellEnd"/>
      <w:r w:rsidRPr="00346B9D">
        <w:t xml:space="preserve"> International. En ese editorial discrepan particularmente con lo que perciben como una falta de iniciativas para modificar la política y cuestionan que la Agencia necesite convocar a personas que pudieran tener conflictos de interés indirectos para garantizar que la Agencia no deje de contar con información relevante para guiar nuestras recomendaciones.</w:t>
      </w:r>
    </w:p>
    <w:p w14:paraId="0DAE7A37" w14:textId="77777777" w:rsidR="00E9788B" w:rsidRPr="00346B9D" w:rsidRDefault="00E9788B" w:rsidP="00E9788B"/>
    <w:p w14:paraId="7841505D" w14:textId="77777777" w:rsidR="00AA7CB5" w:rsidRDefault="00E9788B" w:rsidP="00E9788B">
      <w:r w:rsidRPr="00346B9D">
        <w:t xml:space="preserve">Creemos firmemente que nuestra política ha proporcionado un marco equilibrado y sólido para gestionar posibles intereses contrapuestos durante muchos años. Desde que entró en vigor por primera vez en 2004, la política ha permitido que la EMA limite o excluya la posible participación de un experto en cualquier actividad de la Agencia, debido a sus intereses en la industria farmacéutica o en la industria de los dispositivos médicos. </w:t>
      </w:r>
    </w:p>
    <w:p w14:paraId="43B4025A" w14:textId="77777777" w:rsidR="00AA7CB5" w:rsidRDefault="00AA7CB5" w:rsidP="00E9788B"/>
    <w:p w14:paraId="79934DDE" w14:textId="7CB4EB4E" w:rsidR="00E9788B" w:rsidRPr="00346B9D" w:rsidRDefault="00E9788B" w:rsidP="00E9788B">
      <w:r w:rsidRPr="00346B9D">
        <w:t>La política se ha actualizado varias veces para reflejar la experiencia adquirida con el paso del tiempo y para garantizar que también se cubrieran las nuevas tareas y atribuciones de la EMA. Los últimos cambios amplían claramente las restricciones para los miembros, suplentes y expertos que participan en las actividades de los comités científicos, grupos de trabajo y otros órganos de la Agencia.</w:t>
      </w:r>
    </w:p>
    <w:p w14:paraId="231F3F34" w14:textId="77777777" w:rsidR="00E9788B" w:rsidRPr="00346B9D" w:rsidRDefault="00E9788B" w:rsidP="00E9788B"/>
    <w:p w14:paraId="731C144E" w14:textId="77777777" w:rsidR="00E9788B" w:rsidRDefault="00E9788B" w:rsidP="00E9788B">
      <w:r w:rsidRPr="00346B9D">
        <w:t>La política de la EMA siempre ha prohibido que las personas que actualmente trabajan en una empresa farmacéutica o tienen intereses financieros en ella participen en las actividades de la Agencia, y esto no ha cambiado. Sin embargo, si una persona tiene otros intereses (por ejemplo, recibe financiamiento para investigar o un familiar cercano tiene intereses)</w:t>
      </w:r>
      <w:r>
        <w:t>,</w:t>
      </w:r>
      <w:r w:rsidRPr="00346B9D">
        <w:t xml:space="preserve"> tal vez pueda participar en ciertas actividades, pero sujeta a restricciones predefinidas. </w:t>
      </w:r>
    </w:p>
    <w:p w14:paraId="22B33EC8" w14:textId="77777777" w:rsidR="00E9788B" w:rsidRDefault="00E9788B" w:rsidP="00E9788B"/>
    <w:p w14:paraId="00C8639E" w14:textId="1743E4F5" w:rsidR="00E9788B" w:rsidRPr="00346B9D" w:rsidRDefault="00E9788B" w:rsidP="00E9788B">
      <w:r w:rsidRPr="00346B9D">
        <w:t xml:space="preserve">Como se presenta en el texto de la política, no se debe confundir tener intereses con los intereses contrapuestos, ya que consideramos que algunos intereses se relacionan con experiencias y actividades que contribuyen a la pericia de una persona en un ámbito determinado. Aunque tomamos nota de sus preocupaciones sobre este asunto, queremos señalar que muchas </w:t>
      </w:r>
      <w:r w:rsidRPr="00346B9D">
        <w:lastRenderedPageBreak/>
        <w:t xml:space="preserve">partes interesadas comparten nuestra postura, quienes expresaron sus puntos de vista en la consulta pública (por ejemplo, </w:t>
      </w:r>
      <w:proofErr w:type="spellStart"/>
      <w:r w:rsidRPr="00346B9D">
        <w:t>Cancer</w:t>
      </w:r>
      <w:proofErr w:type="spellEnd"/>
      <w:r w:rsidRPr="00346B9D">
        <w:t xml:space="preserve"> </w:t>
      </w:r>
      <w:proofErr w:type="spellStart"/>
      <w:r w:rsidRPr="00346B9D">
        <w:t>patients</w:t>
      </w:r>
      <w:proofErr w:type="spellEnd"/>
      <w:r w:rsidRPr="00346B9D">
        <w:t xml:space="preserve"> </w:t>
      </w:r>
      <w:proofErr w:type="spellStart"/>
      <w:r w:rsidRPr="00346B9D">
        <w:t>Europe</w:t>
      </w:r>
      <w:proofErr w:type="spellEnd"/>
      <w:r w:rsidRPr="00346B9D">
        <w:t xml:space="preserve">, p.4; </w:t>
      </w:r>
      <w:proofErr w:type="spellStart"/>
      <w:r w:rsidRPr="00346B9D">
        <w:t>European</w:t>
      </w:r>
      <w:proofErr w:type="spellEnd"/>
      <w:r w:rsidRPr="00346B9D">
        <w:t xml:space="preserve"> </w:t>
      </w:r>
      <w:proofErr w:type="spellStart"/>
      <w:r w:rsidRPr="00346B9D">
        <w:t>patients</w:t>
      </w:r>
      <w:proofErr w:type="spellEnd"/>
      <w:r w:rsidRPr="00346B9D">
        <w:t xml:space="preserve">’ </w:t>
      </w:r>
      <w:proofErr w:type="spellStart"/>
      <w:r w:rsidRPr="00346B9D">
        <w:t>forum</w:t>
      </w:r>
      <w:proofErr w:type="spellEnd"/>
      <w:r w:rsidRPr="00346B9D">
        <w:t>, p.45). De hecho, los pacientes y las autoridades nacionales competentes expresaron su preocupación sobre cómo estos cambios afectarían la capacidad de la EMA para convocar a personas con la pericia necesaria.</w:t>
      </w:r>
    </w:p>
    <w:p w14:paraId="22A260F1" w14:textId="77777777" w:rsidR="00E9788B" w:rsidRPr="00346B9D" w:rsidRDefault="00E9788B" w:rsidP="00E9788B"/>
    <w:p w14:paraId="1E138054" w14:textId="77777777" w:rsidR="00E9788B" w:rsidRDefault="00E9788B" w:rsidP="00E9788B">
      <w:r w:rsidRPr="00346B9D">
        <w:t xml:space="preserve">Finalmente, como el editorial menciona específicamente que nuestra política revisada sigue permitiendo que se convoque a peritos, queremos ser muy claros al respecto: la EMA puede llamar a peritos, pero esto se aplica a situaciones excepcionales en las que se requiere la experiencia específica que solo pueden proporcionar unas pocas personas (por ejemplo, en áreas de especialidad) que tienen ciertos intereses contrapuestos (indirectos). </w:t>
      </w:r>
    </w:p>
    <w:p w14:paraId="3B0B88B6" w14:textId="77777777" w:rsidR="00E9788B" w:rsidRDefault="00E9788B" w:rsidP="00E9788B"/>
    <w:p w14:paraId="4A6DCE66" w14:textId="6D2EE4C7" w:rsidR="00E9788B" w:rsidRPr="00346B9D" w:rsidRDefault="00E9788B" w:rsidP="00E9788B">
      <w:r w:rsidRPr="00346B9D">
        <w:t>La política revisada nos permite pedir su asesoría como peritos y define claramente los límites de su participación: testificar y ofrecer asesoría especializada sobre un tema específico, proporcionando información y respondiendo a cualquier pregunta. Un perito no será miembro o experto de un órgano de la Agencia y no se le permitirá participar en las discusiones, deliberaciones y conclusiones de este órgano.</w:t>
      </w:r>
    </w:p>
    <w:p w14:paraId="71940405" w14:textId="77777777" w:rsidR="00E9788B" w:rsidRPr="00346B9D" w:rsidRDefault="00E9788B" w:rsidP="00E9788B"/>
    <w:p w14:paraId="566B179F" w14:textId="77777777" w:rsidR="00E9788B" w:rsidRPr="00346B9D" w:rsidRDefault="00E9788B" w:rsidP="00E9788B">
      <w:r w:rsidRPr="00346B9D">
        <w:t>Por lo tanto, aunque tomamos nota de sus inquietudes, defendemos nuestra política revisada. Esperamos que las explicaciones que proporcionamos en esta carta aclaren más nuestra postura.</w:t>
      </w:r>
    </w:p>
    <w:p w14:paraId="65760680" w14:textId="77777777" w:rsidR="00E9788B" w:rsidRDefault="00E9788B" w:rsidP="00E9788B">
      <w:pPr>
        <w:rPr>
          <w:i/>
          <w:iCs/>
        </w:rPr>
      </w:pPr>
    </w:p>
    <w:p w14:paraId="7BE4513C" w14:textId="77777777" w:rsidR="00E9788B" w:rsidRDefault="00E9788B" w:rsidP="00E9788B">
      <w:pPr>
        <w:rPr>
          <w:b/>
          <w:bCs/>
        </w:rPr>
      </w:pPr>
      <w:r>
        <w:rPr>
          <w:b/>
          <w:bCs/>
        </w:rPr>
        <w:t xml:space="preserve">Juan García Burgos </w:t>
      </w:r>
    </w:p>
    <w:p w14:paraId="010D6ADA" w14:textId="77777777" w:rsidR="00E9788B" w:rsidRDefault="00E9788B" w:rsidP="00E9788B">
      <w:r>
        <w:t>Jefe del Departamento de Participación del Público y las Partes Interesadas</w:t>
      </w:r>
    </w:p>
    <w:p w14:paraId="7AC8F101" w14:textId="77777777" w:rsidR="00E9788B" w:rsidRDefault="00E9788B" w:rsidP="00E9788B"/>
    <w:p w14:paraId="09D29BF8" w14:textId="77777777" w:rsidR="00E9788B" w:rsidRDefault="00E9788B" w:rsidP="00E9788B">
      <w:r>
        <w:t>Nos gustaría agradecer a Juan García Burgos por las aclaraciones y por proporcionar más detalles sobre la nueva política de manejo de conflictos de interés de la EMA, que entró en vigor el 1 de mayo de 2025 [1].</w:t>
      </w:r>
    </w:p>
    <w:p w14:paraId="6FB6279F" w14:textId="77777777" w:rsidR="00E9788B" w:rsidRDefault="00E9788B" w:rsidP="00E9788B"/>
    <w:p w14:paraId="0AA8E2C1" w14:textId="77777777" w:rsidR="00912389" w:rsidRDefault="00E9788B" w:rsidP="00E9788B">
      <w:pPr>
        <w:rPr>
          <w:b/>
          <w:bCs/>
        </w:rPr>
      </w:pPr>
      <w:r>
        <w:rPr>
          <w:b/>
          <w:bCs/>
        </w:rPr>
        <w:t xml:space="preserve">Progreso genuino, pero las debilidades persisten. </w:t>
      </w:r>
    </w:p>
    <w:p w14:paraId="5047FC94" w14:textId="77777777" w:rsidR="00912389" w:rsidRDefault="00E9788B" w:rsidP="00E9788B">
      <w:r>
        <w:t xml:space="preserve">En diciembre de 2024, en respuesta a dos sentencias de un tribunal europeo que planteaban dudas sobre la imparcialidad </w:t>
      </w:r>
    </w:p>
    <w:p w14:paraId="5E0215C0" w14:textId="77777777" w:rsidR="00912389" w:rsidRDefault="00E9788B" w:rsidP="00E9788B">
      <w:r>
        <w:t xml:space="preserve">de la EMA en relación con dos decisiones sobre permisos de comercialización, la Agencia decidió fortalecer su política sobre el manejo de conflictos de interés [2]. Ya no se permite que los expertos que se han desempeñado como investigadores en un ensayo clínico de medicamentos promovido o patrocinado por una empresa farmacéutica participen en las actividades de la EMA relacionadas con ese medicamento durante un período </w:t>
      </w:r>
    </w:p>
    <w:p w14:paraId="3A1AF73F" w14:textId="74B1A489" w:rsidR="00E9788B" w:rsidRDefault="00E9788B" w:rsidP="00E9788B">
      <w:r>
        <w:t>de tres años [1].</w:t>
      </w:r>
    </w:p>
    <w:p w14:paraId="378C08B9" w14:textId="77777777" w:rsidR="00E9788B" w:rsidRDefault="00E9788B" w:rsidP="00E9788B"/>
    <w:p w14:paraId="12377D12" w14:textId="3EA26D99" w:rsidR="00E9788B" w:rsidRDefault="00E9788B" w:rsidP="00E9788B">
      <w:r>
        <w:t>En situaciones específicas en las que no se dispone de expertos sin conflictos de interés, la nueva política de la EMA le permite llamar a “</w:t>
      </w:r>
      <w:r>
        <w:rPr>
          <w:i/>
          <w:iCs/>
        </w:rPr>
        <w:t>peritos</w:t>
      </w:r>
      <w:r>
        <w:t>”. La Agencia considera que invitarlos a testificar puede beneficiar a la salud pública [1]. Incluso si sus vínculos con las empresas farmacéuticas pudieran afectar su independencia e imparcialidad.</w:t>
      </w:r>
    </w:p>
    <w:p w14:paraId="75C5E989" w14:textId="77777777" w:rsidR="00E9788B" w:rsidRDefault="00E9788B" w:rsidP="00E9788B"/>
    <w:p w14:paraId="449D3058" w14:textId="77777777" w:rsidR="00E9788B" w:rsidRDefault="00E9788B" w:rsidP="00E9788B">
      <w:pPr>
        <w:rPr>
          <w:b/>
          <w:bCs/>
        </w:rPr>
      </w:pPr>
      <w:r>
        <w:rPr>
          <w:b/>
          <w:bCs/>
        </w:rPr>
        <w:t xml:space="preserve">Subestimar la influencia de la industria es perjudicial para los pacientes </w:t>
      </w:r>
    </w:p>
    <w:p w14:paraId="5D54784F" w14:textId="77777777" w:rsidR="00E9788B" w:rsidRDefault="00E9788B" w:rsidP="00E9788B">
      <w:r>
        <w:t xml:space="preserve">En su carta, Juan García Burgos señala que ciertas organizaciones de pacientes, como </w:t>
      </w:r>
      <w:proofErr w:type="spellStart"/>
      <w:r>
        <w:t>Cancer</w:t>
      </w:r>
      <w:proofErr w:type="spellEnd"/>
      <w:r>
        <w:t xml:space="preserve"> </w:t>
      </w:r>
      <w:proofErr w:type="spellStart"/>
      <w:r>
        <w:t>Patients</w:t>
      </w:r>
      <w:proofErr w:type="spellEnd"/>
      <w:r>
        <w:t xml:space="preserve"> </w:t>
      </w:r>
      <w:proofErr w:type="spellStart"/>
      <w:r>
        <w:t>Europe</w:t>
      </w:r>
      <w:proofErr w:type="spellEnd"/>
      <w:r>
        <w:t xml:space="preserve"> y el </w:t>
      </w:r>
      <w:r>
        <w:t>Foro Europeo de Pacientes, apoyaron la inclusión de estas excepciones en la política de la EMA para manejar conflictos de interés, sin señalar que estas organizaciones reciben financiamiento de la industria [3-5].</w:t>
      </w:r>
    </w:p>
    <w:p w14:paraId="0C984E76" w14:textId="7C7A9B6D" w:rsidR="00E9788B" w:rsidRDefault="002334B2" w:rsidP="00E9788B">
      <w:r>
        <w:t xml:space="preserve"> </w:t>
      </w:r>
    </w:p>
    <w:p w14:paraId="4A06BD96" w14:textId="77777777" w:rsidR="00E9788B" w:rsidRDefault="00E9788B" w:rsidP="00E9788B">
      <w:r>
        <w:t>Otro ejemplo de intereses contrapuestos: en 2010, un exdirector de la EMA se unió a la junta directiva de una empresa que cabildea a favor de la industria farmacéutica [6]. Estos vínculos entre las empresas farmacéuticas, los reguladores y los grupos de presión, como las organizaciones de pacientes, crean un entorno favorable para que las farmacéuticas influyan en las decisiones y las adapten a sus propios intereses y prioridades, que difieren de las de los pacientes.</w:t>
      </w:r>
    </w:p>
    <w:p w14:paraId="7FA41096" w14:textId="342CE958" w:rsidR="00E9788B" w:rsidRDefault="002334B2" w:rsidP="00E9788B">
      <w:r>
        <w:t xml:space="preserve"> </w:t>
      </w:r>
    </w:p>
    <w:p w14:paraId="541D3650" w14:textId="77777777" w:rsidR="00E9788B" w:rsidRDefault="00E9788B" w:rsidP="00E9788B">
      <w:r>
        <w:t>Juan García Burgos destaca que la participación de “</w:t>
      </w:r>
      <w:r>
        <w:rPr>
          <w:i/>
          <w:iCs/>
        </w:rPr>
        <w:t>peritos</w:t>
      </w:r>
      <w:r>
        <w:t>” se restringirá a “</w:t>
      </w:r>
      <w:r>
        <w:rPr>
          <w:i/>
          <w:iCs/>
        </w:rPr>
        <w:t>situaciones excepcionales</w:t>
      </w:r>
      <w:r>
        <w:t>”, y que no se les permitirá participar en ninguna deliberación o decisión. Su exclusión del proceso de toma de decisiones es un progreso. Un especialista en un ámbito o una enfermedad en particular podría proporcionar información y observaciones que sean útiles para analizar los datos de las evaluaciones. Pero los vínculos con las empresas farmacéuticas pueden crear un conflicto de interés: el especialista podría sobreestimar los beneficios de un medicamento o subestimar sus efectos adversos. Estos vínculos afectan la independencia e imparcialidad que los pacientes necesitan ver en un regulador de medicamentos, sin excepción.</w:t>
      </w:r>
    </w:p>
    <w:p w14:paraId="7FB98395" w14:textId="77777777" w:rsidR="00E9788B" w:rsidRDefault="00E9788B" w:rsidP="00E9788B"/>
    <w:p w14:paraId="0AF9FA3F" w14:textId="77777777" w:rsidR="00E9788B" w:rsidRDefault="00E9788B" w:rsidP="00E9788B">
      <w:pPr>
        <w:rPr>
          <w:b/>
          <w:bCs/>
        </w:rPr>
      </w:pPr>
      <w:r>
        <w:rPr>
          <w:b/>
          <w:bCs/>
        </w:rPr>
        <w:t xml:space="preserve">Mejorar la transparencia para beneficiar a los pacientes </w:t>
      </w:r>
    </w:p>
    <w:p w14:paraId="3301F3F7" w14:textId="77777777" w:rsidR="00E9788B" w:rsidRDefault="00E9788B" w:rsidP="00E9788B">
      <w:r>
        <w:t xml:space="preserve">En noviembre de 2024, </w:t>
      </w:r>
      <w:proofErr w:type="spellStart"/>
      <w:r>
        <w:rPr>
          <w:i/>
          <w:iCs/>
        </w:rPr>
        <w:t>Prescrire</w:t>
      </w:r>
      <w:proofErr w:type="spellEnd"/>
      <w:r>
        <w:t xml:space="preserve"> pidió a la EMA que fuera más transparente sobre la participación de los “</w:t>
      </w:r>
      <w:r>
        <w:rPr>
          <w:i/>
          <w:iCs/>
        </w:rPr>
        <w:t>peritos</w:t>
      </w:r>
      <w:r>
        <w:t xml:space="preserve">” publicando su testimonio junto con las actas de las reuniones a las que asisten y declarando las razones para citarlos, así como definiendo el alcance de su testimonio. En términos más generales, </w:t>
      </w:r>
      <w:proofErr w:type="spellStart"/>
      <w:r>
        <w:rPr>
          <w:i/>
          <w:iCs/>
        </w:rPr>
        <w:t>Prescrire</w:t>
      </w:r>
      <w:proofErr w:type="spellEnd"/>
      <w:r>
        <w:t xml:space="preserve"> alentó a la EMA a hacer más transparentes sus procedimientos para manejar los conflictos de interés, a crear controles independientes sobre las declaraciones presentadas por los peritos y a presentar un informe anual al Tribunal de Cuentas Europeo, al Parlamento Europeo y al Defensor del Pueblo Europeo [7].</w:t>
      </w:r>
    </w:p>
    <w:p w14:paraId="6CF92398" w14:textId="77777777" w:rsidR="00E9788B" w:rsidRDefault="00E9788B" w:rsidP="00E9788B"/>
    <w:p w14:paraId="2CD76865" w14:textId="77777777" w:rsidR="00E9788B" w:rsidRDefault="00E9788B" w:rsidP="00E9788B">
      <w:bookmarkStart w:id="2" w:name="_heading=h.qdl8beeuinrn" w:colFirst="0" w:colLast="0"/>
      <w:bookmarkEnd w:id="2"/>
      <w:r>
        <w:rPr>
          <w:b/>
          <w:bCs/>
        </w:rPr>
        <w:t>En la práctica,</w:t>
      </w:r>
      <w:r>
        <w:t xml:space="preserve"> la reciente decisión de la EMA de reforzar su política para gestionar los conflictos de interés constituye un avance. Sin embargo, todavía permite ciertas excepciones que podrían influir en las decisiones de la Agencia y, en última instancia, en cómo prescriben los profesionales de la salud, que ya están muy expuestos a la influencia de la industria [8-10].</w:t>
      </w:r>
    </w:p>
    <w:p w14:paraId="5ECCAD00" w14:textId="77777777" w:rsidR="00E9788B" w:rsidRDefault="00E9788B" w:rsidP="00E9788B"/>
    <w:p w14:paraId="6D15CFAF" w14:textId="77777777" w:rsidR="00E9788B" w:rsidRDefault="00E9788B" w:rsidP="00E9788B">
      <w:proofErr w:type="spellStart"/>
      <w:r>
        <w:rPr>
          <w:i/>
          <w:iCs/>
        </w:rPr>
        <w:t>Prescrire</w:t>
      </w:r>
      <w:proofErr w:type="spellEnd"/>
      <w:r>
        <w:t xml:space="preserve"> continúa alentando a la EMA a fortalecer aún más sus reglas para crear una cultura de transparencia y desarrollar una red de expertos independientes, a fin de priorizar los intereses de los pacientes y la seguridad y calidad de la atención médica.</w:t>
      </w:r>
    </w:p>
    <w:p w14:paraId="78CD61FC" w14:textId="031773C5" w:rsidR="00E9788B" w:rsidRDefault="00E9788B" w:rsidP="00E9788B"/>
    <w:p w14:paraId="35C11120" w14:textId="35C6BDEA" w:rsidR="00912389" w:rsidRPr="00912389" w:rsidRDefault="00912389" w:rsidP="00E9788B">
      <w:pPr>
        <w:rPr>
          <w:b/>
          <w:bCs/>
        </w:rPr>
      </w:pPr>
      <w:r w:rsidRPr="00912389">
        <w:rPr>
          <w:b/>
          <w:bCs/>
        </w:rPr>
        <w:t>Referencias:</w:t>
      </w:r>
    </w:p>
    <w:p w14:paraId="7A34F2A9" w14:textId="3F069DFD" w:rsidR="00E9788B" w:rsidRPr="00C50B64" w:rsidRDefault="00E9788B">
      <w:pPr>
        <w:numPr>
          <w:ilvl w:val="0"/>
          <w:numId w:val="4"/>
        </w:numPr>
        <w:pBdr>
          <w:top w:val="nil"/>
          <w:left w:val="nil"/>
          <w:bottom w:val="nil"/>
          <w:right w:val="nil"/>
          <w:between w:val="nil"/>
        </w:pBdr>
        <w:ind w:left="142" w:firstLine="0"/>
        <w:rPr>
          <w:color w:val="000000"/>
          <w:sz w:val="18"/>
          <w:szCs w:val="18"/>
          <w:lang w:val="en-US"/>
        </w:rPr>
      </w:pPr>
      <w:r w:rsidRPr="00C50B64">
        <w:rPr>
          <w:color w:val="000000"/>
          <w:sz w:val="18"/>
          <w:szCs w:val="18"/>
          <w:lang w:val="en-US"/>
        </w:rPr>
        <w:t>EMA - “European Medicines Agency policy on the handling of competing interests of scientific committees’ members and experts” 12</w:t>
      </w:r>
      <w:r w:rsidR="002334B2">
        <w:rPr>
          <w:color w:val="000000"/>
          <w:sz w:val="18"/>
          <w:szCs w:val="18"/>
          <w:lang w:val="en-US"/>
        </w:rPr>
        <w:t xml:space="preserve"> </w:t>
      </w:r>
      <w:r w:rsidRPr="00C50B64">
        <w:rPr>
          <w:color w:val="000000"/>
          <w:sz w:val="18"/>
          <w:szCs w:val="18"/>
          <w:lang w:val="en-US"/>
        </w:rPr>
        <w:t>December 2024: 19</w:t>
      </w:r>
      <w:r w:rsidR="002334B2">
        <w:rPr>
          <w:color w:val="000000"/>
          <w:sz w:val="18"/>
          <w:szCs w:val="18"/>
          <w:lang w:val="en-US"/>
        </w:rPr>
        <w:t xml:space="preserve"> </w:t>
      </w:r>
      <w:r w:rsidRPr="00C50B64">
        <w:rPr>
          <w:color w:val="000000"/>
          <w:sz w:val="18"/>
          <w:szCs w:val="18"/>
          <w:lang w:val="en-US"/>
        </w:rPr>
        <w:t>pages.</w:t>
      </w:r>
      <w:r w:rsidR="002334B2">
        <w:rPr>
          <w:color w:val="000000"/>
          <w:sz w:val="18"/>
          <w:szCs w:val="18"/>
          <w:lang w:val="en-US"/>
        </w:rPr>
        <w:t xml:space="preserve"> </w:t>
      </w:r>
    </w:p>
    <w:p w14:paraId="5C4E2FCF" w14:textId="08E2B9B1" w:rsidR="00E9788B" w:rsidRPr="00C50B64" w:rsidRDefault="00E9788B">
      <w:pPr>
        <w:numPr>
          <w:ilvl w:val="0"/>
          <w:numId w:val="4"/>
        </w:numPr>
        <w:pBdr>
          <w:top w:val="nil"/>
          <w:left w:val="nil"/>
          <w:bottom w:val="nil"/>
          <w:right w:val="nil"/>
          <w:between w:val="nil"/>
        </w:pBdr>
        <w:ind w:left="142" w:firstLine="0"/>
        <w:rPr>
          <w:color w:val="000000"/>
          <w:sz w:val="18"/>
          <w:szCs w:val="18"/>
          <w:lang w:val="en-US"/>
        </w:rPr>
      </w:pPr>
      <w:proofErr w:type="spellStart"/>
      <w:r w:rsidRPr="00C50B64">
        <w:rPr>
          <w:color w:val="000000"/>
          <w:sz w:val="18"/>
          <w:szCs w:val="18"/>
          <w:lang w:val="en-US"/>
        </w:rPr>
        <w:t>Prescrire</w:t>
      </w:r>
      <w:proofErr w:type="spellEnd"/>
      <w:r w:rsidRPr="00C50B64">
        <w:rPr>
          <w:color w:val="000000"/>
          <w:sz w:val="18"/>
          <w:szCs w:val="18"/>
          <w:lang w:val="en-US"/>
        </w:rPr>
        <w:t xml:space="preserve"> Editorial Staff “Management of conflicts of interest at the EMA: chronic failure” </w:t>
      </w:r>
      <w:proofErr w:type="spellStart"/>
      <w:r w:rsidRPr="00C50B64">
        <w:rPr>
          <w:i/>
          <w:iCs/>
          <w:color w:val="000000"/>
          <w:sz w:val="18"/>
          <w:szCs w:val="18"/>
          <w:lang w:val="en-US"/>
        </w:rPr>
        <w:t>Prescrire</w:t>
      </w:r>
      <w:proofErr w:type="spellEnd"/>
      <w:r w:rsidRPr="00C50B64">
        <w:rPr>
          <w:i/>
          <w:iCs/>
          <w:color w:val="000000"/>
          <w:sz w:val="18"/>
          <w:szCs w:val="18"/>
          <w:lang w:val="en-US"/>
        </w:rPr>
        <w:t xml:space="preserve"> Int </w:t>
      </w:r>
      <w:r w:rsidRPr="00C50B64">
        <w:rPr>
          <w:color w:val="000000"/>
          <w:sz w:val="18"/>
          <w:szCs w:val="18"/>
          <w:lang w:val="en-US"/>
        </w:rPr>
        <w:t xml:space="preserve">2025; </w:t>
      </w:r>
      <w:r w:rsidRPr="00C50B64">
        <w:rPr>
          <w:b/>
          <w:bCs/>
          <w:color w:val="000000"/>
          <w:sz w:val="18"/>
          <w:szCs w:val="18"/>
          <w:lang w:val="en-US"/>
        </w:rPr>
        <w:t xml:space="preserve">34 </w:t>
      </w:r>
      <w:r w:rsidRPr="00C50B64">
        <w:rPr>
          <w:color w:val="000000"/>
          <w:sz w:val="18"/>
          <w:szCs w:val="18"/>
          <w:lang w:val="en-US"/>
        </w:rPr>
        <w:t>(271): 143.</w:t>
      </w:r>
      <w:r w:rsidR="002334B2">
        <w:rPr>
          <w:color w:val="000000"/>
          <w:sz w:val="18"/>
          <w:szCs w:val="18"/>
          <w:lang w:val="en-US"/>
        </w:rPr>
        <w:t xml:space="preserve"> </w:t>
      </w:r>
    </w:p>
    <w:p w14:paraId="3E8D0020" w14:textId="029BD558" w:rsidR="00E9788B" w:rsidRPr="00C50B64" w:rsidRDefault="00E9788B">
      <w:pPr>
        <w:numPr>
          <w:ilvl w:val="0"/>
          <w:numId w:val="4"/>
        </w:numPr>
        <w:pBdr>
          <w:top w:val="nil"/>
          <w:left w:val="nil"/>
          <w:bottom w:val="nil"/>
          <w:right w:val="nil"/>
          <w:between w:val="nil"/>
        </w:pBdr>
        <w:ind w:left="142" w:firstLine="0"/>
        <w:rPr>
          <w:color w:val="000000"/>
          <w:sz w:val="18"/>
          <w:szCs w:val="18"/>
          <w:lang w:val="en-US"/>
        </w:rPr>
      </w:pPr>
      <w:r w:rsidRPr="00C50B64">
        <w:rPr>
          <w:color w:val="000000"/>
          <w:sz w:val="18"/>
          <w:szCs w:val="18"/>
          <w:lang w:val="en-US"/>
        </w:rPr>
        <w:t>EMA - “Overview of comments received on the draft revision of EMA’s Policy on handling competing interests of scientific committee members and experts (’Policy 0044’, EMA/54457/2024)” 14</w:t>
      </w:r>
      <w:r w:rsidR="002334B2">
        <w:rPr>
          <w:color w:val="000000"/>
          <w:sz w:val="18"/>
          <w:szCs w:val="18"/>
          <w:lang w:val="en-US"/>
        </w:rPr>
        <w:t xml:space="preserve"> </w:t>
      </w:r>
      <w:r w:rsidRPr="00C50B64">
        <w:rPr>
          <w:color w:val="000000"/>
          <w:sz w:val="18"/>
          <w:szCs w:val="18"/>
          <w:lang w:val="en-US"/>
        </w:rPr>
        <w:t>April 2024: 84</w:t>
      </w:r>
      <w:r w:rsidR="002334B2">
        <w:rPr>
          <w:color w:val="000000"/>
          <w:sz w:val="18"/>
          <w:szCs w:val="18"/>
          <w:lang w:val="en-US"/>
        </w:rPr>
        <w:t xml:space="preserve"> </w:t>
      </w:r>
      <w:r w:rsidRPr="00C50B64">
        <w:rPr>
          <w:color w:val="000000"/>
          <w:sz w:val="18"/>
          <w:szCs w:val="18"/>
          <w:lang w:val="en-US"/>
        </w:rPr>
        <w:t xml:space="preserve">pages. </w:t>
      </w:r>
    </w:p>
    <w:p w14:paraId="424AA2FE" w14:textId="1A7D6641" w:rsidR="00E9788B" w:rsidRPr="00C50B64" w:rsidRDefault="00E9788B">
      <w:pPr>
        <w:numPr>
          <w:ilvl w:val="0"/>
          <w:numId w:val="4"/>
        </w:numPr>
        <w:pBdr>
          <w:top w:val="nil"/>
          <w:left w:val="nil"/>
          <w:bottom w:val="nil"/>
          <w:right w:val="nil"/>
          <w:between w:val="nil"/>
        </w:pBdr>
        <w:ind w:left="142" w:firstLine="0"/>
        <w:rPr>
          <w:color w:val="000000"/>
          <w:sz w:val="18"/>
          <w:szCs w:val="18"/>
          <w:lang w:val="en-US"/>
        </w:rPr>
      </w:pPr>
      <w:r w:rsidRPr="00C50B64">
        <w:rPr>
          <w:color w:val="000000"/>
          <w:sz w:val="18"/>
          <w:szCs w:val="18"/>
          <w:lang w:val="en-US"/>
        </w:rPr>
        <w:lastRenderedPageBreak/>
        <w:t>European Patients’ Forum “EPF acknowledgement of financial support in 2024” 2024. www.eu-patient.eu accessed 7</w:t>
      </w:r>
      <w:r w:rsidR="002334B2">
        <w:rPr>
          <w:color w:val="000000"/>
          <w:sz w:val="18"/>
          <w:szCs w:val="18"/>
          <w:lang w:val="en-US"/>
        </w:rPr>
        <w:t xml:space="preserve"> </w:t>
      </w:r>
      <w:r w:rsidRPr="00C50B64">
        <w:rPr>
          <w:color w:val="000000"/>
          <w:sz w:val="18"/>
          <w:szCs w:val="18"/>
          <w:lang w:val="en-US"/>
        </w:rPr>
        <w:t>August 2025: 5</w:t>
      </w:r>
      <w:r w:rsidR="002334B2">
        <w:rPr>
          <w:color w:val="000000"/>
          <w:sz w:val="18"/>
          <w:szCs w:val="18"/>
          <w:lang w:val="en-US"/>
        </w:rPr>
        <w:t xml:space="preserve"> </w:t>
      </w:r>
      <w:r w:rsidRPr="00C50B64">
        <w:rPr>
          <w:color w:val="000000"/>
          <w:sz w:val="18"/>
          <w:szCs w:val="18"/>
          <w:lang w:val="en-US"/>
        </w:rPr>
        <w:t xml:space="preserve">pages. </w:t>
      </w:r>
    </w:p>
    <w:p w14:paraId="445BBC2C" w14:textId="457D9BF6" w:rsidR="00E9788B" w:rsidRPr="00C50B64" w:rsidRDefault="00E9788B">
      <w:pPr>
        <w:numPr>
          <w:ilvl w:val="0"/>
          <w:numId w:val="4"/>
        </w:numPr>
        <w:pBdr>
          <w:top w:val="nil"/>
          <w:left w:val="nil"/>
          <w:bottom w:val="nil"/>
          <w:right w:val="nil"/>
          <w:between w:val="nil"/>
        </w:pBdr>
        <w:ind w:left="142" w:firstLine="0"/>
        <w:rPr>
          <w:color w:val="000000"/>
          <w:sz w:val="18"/>
          <w:szCs w:val="18"/>
          <w:lang w:val="en-US"/>
        </w:rPr>
      </w:pPr>
      <w:r w:rsidRPr="00C50B64">
        <w:rPr>
          <w:color w:val="000000"/>
          <w:sz w:val="18"/>
          <w:szCs w:val="18"/>
          <w:lang w:val="en-US"/>
        </w:rPr>
        <w:t>Cancer Patients Europe “Annual report 2023” 2024: 17</w:t>
      </w:r>
      <w:r w:rsidR="002334B2">
        <w:rPr>
          <w:color w:val="000000"/>
          <w:sz w:val="18"/>
          <w:szCs w:val="18"/>
          <w:lang w:val="en-US"/>
        </w:rPr>
        <w:t xml:space="preserve"> </w:t>
      </w:r>
      <w:r w:rsidRPr="00C50B64">
        <w:rPr>
          <w:color w:val="000000"/>
          <w:sz w:val="18"/>
          <w:szCs w:val="18"/>
          <w:lang w:val="en-US"/>
        </w:rPr>
        <w:t xml:space="preserve">pages. </w:t>
      </w:r>
    </w:p>
    <w:p w14:paraId="0E4EABEB" w14:textId="77777777" w:rsidR="00E9788B" w:rsidRPr="00C50B64" w:rsidRDefault="00E9788B">
      <w:pPr>
        <w:numPr>
          <w:ilvl w:val="0"/>
          <w:numId w:val="4"/>
        </w:numPr>
        <w:pBdr>
          <w:top w:val="nil"/>
          <w:left w:val="nil"/>
          <w:bottom w:val="nil"/>
          <w:right w:val="nil"/>
          <w:between w:val="nil"/>
        </w:pBdr>
        <w:ind w:left="142" w:firstLine="0"/>
        <w:rPr>
          <w:color w:val="000000"/>
          <w:sz w:val="18"/>
          <w:szCs w:val="18"/>
          <w:lang w:val="en-US"/>
        </w:rPr>
      </w:pPr>
      <w:proofErr w:type="spellStart"/>
      <w:r w:rsidRPr="00C50B64">
        <w:rPr>
          <w:color w:val="000000"/>
          <w:sz w:val="18"/>
          <w:szCs w:val="18"/>
          <w:lang w:val="en-US"/>
        </w:rPr>
        <w:t>Prescrire</w:t>
      </w:r>
      <w:proofErr w:type="spellEnd"/>
      <w:r w:rsidRPr="00C50B64">
        <w:rPr>
          <w:color w:val="000000"/>
          <w:sz w:val="18"/>
          <w:szCs w:val="18"/>
          <w:lang w:val="en-US"/>
        </w:rPr>
        <w:t xml:space="preserve"> Editorial Staff “Revolving door between the public and private sectors: conflict of interest” </w:t>
      </w:r>
      <w:proofErr w:type="spellStart"/>
      <w:r w:rsidRPr="00C50B64">
        <w:rPr>
          <w:i/>
          <w:iCs/>
          <w:color w:val="000000"/>
          <w:sz w:val="18"/>
          <w:szCs w:val="18"/>
          <w:lang w:val="en-US"/>
        </w:rPr>
        <w:t>Prescrire</w:t>
      </w:r>
      <w:proofErr w:type="spellEnd"/>
      <w:r w:rsidRPr="00C50B64">
        <w:rPr>
          <w:i/>
          <w:iCs/>
          <w:color w:val="000000"/>
          <w:sz w:val="18"/>
          <w:szCs w:val="18"/>
          <w:lang w:val="en-US"/>
        </w:rPr>
        <w:t xml:space="preserve"> Int </w:t>
      </w:r>
      <w:r w:rsidRPr="00C50B64">
        <w:rPr>
          <w:color w:val="000000"/>
          <w:sz w:val="18"/>
          <w:szCs w:val="18"/>
          <w:lang w:val="en-US"/>
        </w:rPr>
        <w:t xml:space="preserve">2023; </w:t>
      </w:r>
      <w:r w:rsidRPr="00C50B64">
        <w:rPr>
          <w:b/>
          <w:bCs/>
          <w:color w:val="000000"/>
          <w:sz w:val="18"/>
          <w:szCs w:val="18"/>
          <w:lang w:val="en-US"/>
        </w:rPr>
        <w:t xml:space="preserve">32 </w:t>
      </w:r>
      <w:r w:rsidRPr="00C50B64">
        <w:rPr>
          <w:color w:val="000000"/>
          <w:sz w:val="18"/>
          <w:szCs w:val="18"/>
          <w:lang w:val="en-US"/>
        </w:rPr>
        <w:t xml:space="preserve">(244): 3. </w:t>
      </w:r>
    </w:p>
    <w:p w14:paraId="7B26183B" w14:textId="44F86903" w:rsidR="00E9788B" w:rsidRPr="00C50B64" w:rsidRDefault="00E9788B">
      <w:pPr>
        <w:numPr>
          <w:ilvl w:val="0"/>
          <w:numId w:val="4"/>
        </w:numPr>
        <w:pBdr>
          <w:top w:val="nil"/>
          <w:left w:val="nil"/>
          <w:bottom w:val="nil"/>
          <w:right w:val="nil"/>
          <w:between w:val="nil"/>
        </w:pBdr>
        <w:ind w:left="142" w:firstLine="0"/>
        <w:rPr>
          <w:color w:val="000000"/>
          <w:sz w:val="18"/>
          <w:szCs w:val="18"/>
          <w:lang w:val="en-US"/>
        </w:rPr>
      </w:pPr>
      <w:proofErr w:type="spellStart"/>
      <w:r w:rsidRPr="00C50B64">
        <w:rPr>
          <w:color w:val="000000"/>
          <w:sz w:val="18"/>
          <w:szCs w:val="18"/>
          <w:lang w:val="en-US"/>
        </w:rPr>
        <w:t>Prescrire</w:t>
      </w:r>
      <w:proofErr w:type="spellEnd"/>
      <w:r w:rsidRPr="00C50B64">
        <w:rPr>
          <w:color w:val="000000"/>
          <w:sz w:val="18"/>
          <w:szCs w:val="18"/>
          <w:lang w:val="en-US"/>
        </w:rPr>
        <w:t xml:space="preserve"> Editorial Staff “</w:t>
      </w:r>
      <w:proofErr w:type="spellStart"/>
      <w:r w:rsidRPr="00C50B64">
        <w:rPr>
          <w:color w:val="000000"/>
          <w:sz w:val="18"/>
          <w:szCs w:val="18"/>
          <w:lang w:val="en-US"/>
        </w:rPr>
        <w:t>Prescrire’s</w:t>
      </w:r>
      <w:proofErr w:type="spellEnd"/>
      <w:r w:rsidRPr="00C50B64">
        <w:rPr>
          <w:color w:val="000000"/>
          <w:sz w:val="18"/>
          <w:szCs w:val="18"/>
          <w:lang w:val="en-US"/>
        </w:rPr>
        <w:t xml:space="preserve"> response to public consultation on European Medicines Agency policy on handling of competing </w:t>
      </w:r>
      <w:r w:rsidRPr="00C50B64">
        <w:rPr>
          <w:color w:val="000000"/>
          <w:sz w:val="18"/>
          <w:szCs w:val="18"/>
          <w:lang w:val="en-US"/>
        </w:rPr>
        <w:t>interests of scientific committees’ members and experts” 30</w:t>
      </w:r>
      <w:r w:rsidR="002334B2">
        <w:rPr>
          <w:color w:val="000000"/>
          <w:sz w:val="18"/>
          <w:szCs w:val="18"/>
          <w:lang w:val="en-US"/>
        </w:rPr>
        <w:t xml:space="preserve"> </w:t>
      </w:r>
      <w:r w:rsidRPr="00C50B64">
        <w:rPr>
          <w:color w:val="000000"/>
          <w:sz w:val="18"/>
          <w:szCs w:val="18"/>
          <w:lang w:val="en-US"/>
        </w:rPr>
        <w:t>October 2024: 5</w:t>
      </w:r>
      <w:r w:rsidR="002334B2">
        <w:rPr>
          <w:color w:val="000000"/>
          <w:sz w:val="18"/>
          <w:szCs w:val="18"/>
          <w:lang w:val="en-US"/>
        </w:rPr>
        <w:t xml:space="preserve"> </w:t>
      </w:r>
      <w:r w:rsidRPr="00C50B64">
        <w:rPr>
          <w:color w:val="000000"/>
          <w:sz w:val="18"/>
          <w:szCs w:val="18"/>
          <w:lang w:val="en-US"/>
        </w:rPr>
        <w:t xml:space="preserve">pages. </w:t>
      </w:r>
    </w:p>
    <w:p w14:paraId="7F7C82AB" w14:textId="4DCAF2E3" w:rsidR="00E9788B" w:rsidRPr="00C50B64" w:rsidRDefault="00E9788B">
      <w:pPr>
        <w:numPr>
          <w:ilvl w:val="0"/>
          <w:numId w:val="4"/>
        </w:numPr>
        <w:pBdr>
          <w:top w:val="nil"/>
          <w:left w:val="nil"/>
          <w:bottom w:val="nil"/>
          <w:right w:val="nil"/>
          <w:between w:val="nil"/>
        </w:pBdr>
        <w:ind w:left="142" w:firstLine="0"/>
        <w:rPr>
          <w:color w:val="000000"/>
          <w:sz w:val="18"/>
          <w:szCs w:val="18"/>
          <w:lang w:val="en-US"/>
        </w:rPr>
      </w:pPr>
      <w:proofErr w:type="spellStart"/>
      <w:r w:rsidRPr="00C50B64">
        <w:rPr>
          <w:color w:val="000000"/>
          <w:sz w:val="18"/>
          <w:szCs w:val="18"/>
          <w:lang w:val="en-US"/>
        </w:rPr>
        <w:t>Prescrire</w:t>
      </w:r>
      <w:proofErr w:type="spellEnd"/>
      <w:r w:rsidRPr="00C50B64">
        <w:rPr>
          <w:color w:val="000000"/>
          <w:sz w:val="18"/>
          <w:szCs w:val="18"/>
          <w:lang w:val="en-US"/>
        </w:rPr>
        <w:t xml:space="preserve"> Editorial Staff “Meals: a particularly influential gift” </w:t>
      </w:r>
      <w:proofErr w:type="spellStart"/>
      <w:r w:rsidRPr="00C50B64">
        <w:rPr>
          <w:i/>
          <w:iCs/>
          <w:color w:val="000000"/>
          <w:sz w:val="18"/>
          <w:szCs w:val="18"/>
          <w:lang w:val="en-US"/>
        </w:rPr>
        <w:t>Prescrire</w:t>
      </w:r>
      <w:proofErr w:type="spellEnd"/>
      <w:r w:rsidRPr="00C50B64">
        <w:rPr>
          <w:i/>
          <w:iCs/>
          <w:color w:val="000000"/>
          <w:sz w:val="18"/>
          <w:szCs w:val="18"/>
          <w:lang w:val="en-US"/>
        </w:rPr>
        <w:t xml:space="preserve"> Int </w:t>
      </w:r>
      <w:r w:rsidRPr="00C50B64">
        <w:rPr>
          <w:color w:val="000000"/>
          <w:sz w:val="18"/>
          <w:szCs w:val="18"/>
          <w:lang w:val="en-US"/>
        </w:rPr>
        <w:t xml:space="preserve">2018; </w:t>
      </w:r>
      <w:r w:rsidRPr="00C50B64">
        <w:rPr>
          <w:b/>
          <w:bCs/>
          <w:color w:val="000000"/>
          <w:sz w:val="18"/>
          <w:szCs w:val="18"/>
          <w:lang w:val="en-US"/>
        </w:rPr>
        <w:t xml:space="preserve">27 </w:t>
      </w:r>
      <w:r w:rsidRPr="00C50B64">
        <w:rPr>
          <w:color w:val="000000"/>
          <w:sz w:val="18"/>
          <w:szCs w:val="18"/>
          <w:lang w:val="en-US"/>
        </w:rPr>
        <w:t>(197): 246-251.</w:t>
      </w:r>
      <w:r w:rsidR="002334B2">
        <w:rPr>
          <w:color w:val="000000"/>
          <w:sz w:val="18"/>
          <w:szCs w:val="18"/>
          <w:lang w:val="en-US"/>
        </w:rPr>
        <w:t xml:space="preserve"> </w:t>
      </w:r>
    </w:p>
    <w:p w14:paraId="66ADE868" w14:textId="6A06481F" w:rsidR="00E9788B" w:rsidRPr="00C50B64" w:rsidRDefault="00E9788B">
      <w:pPr>
        <w:numPr>
          <w:ilvl w:val="0"/>
          <w:numId w:val="4"/>
        </w:numPr>
        <w:pBdr>
          <w:top w:val="nil"/>
          <w:left w:val="nil"/>
          <w:bottom w:val="nil"/>
          <w:right w:val="nil"/>
          <w:between w:val="nil"/>
        </w:pBdr>
        <w:ind w:left="142" w:firstLine="0"/>
        <w:rPr>
          <w:color w:val="000000"/>
          <w:sz w:val="18"/>
          <w:szCs w:val="18"/>
          <w:lang w:val="en-US"/>
        </w:rPr>
      </w:pPr>
      <w:proofErr w:type="spellStart"/>
      <w:r w:rsidRPr="00C50B64">
        <w:rPr>
          <w:color w:val="000000"/>
          <w:sz w:val="18"/>
          <w:szCs w:val="18"/>
          <w:lang w:val="en-US"/>
        </w:rPr>
        <w:t>Prescrire</w:t>
      </w:r>
      <w:proofErr w:type="spellEnd"/>
      <w:r w:rsidRPr="00C50B64">
        <w:rPr>
          <w:color w:val="000000"/>
          <w:sz w:val="18"/>
          <w:szCs w:val="18"/>
          <w:lang w:val="en-US"/>
        </w:rPr>
        <w:t xml:space="preserve"> Editorial Staff “Gifts to doctors wield undue influence in France” </w:t>
      </w:r>
      <w:proofErr w:type="spellStart"/>
      <w:r w:rsidRPr="00C50B64">
        <w:rPr>
          <w:i/>
          <w:iCs/>
          <w:color w:val="000000"/>
          <w:sz w:val="18"/>
          <w:szCs w:val="18"/>
          <w:lang w:val="en-US"/>
        </w:rPr>
        <w:t>Prescrire</w:t>
      </w:r>
      <w:proofErr w:type="spellEnd"/>
      <w:r w:rsidRPr="00C50B64">
        <w:rPr>
          <w:i/>
          <w:iCs/>
          <w:color w:val="000000"/>
          <w:sz w:val="18"/>
          <w:szCs w:val="18"/>
          <w:lang w:val="en-US"/>
        </w:rPr>
        <w:t xml:space="preserve"> Int </w:t>
      </w:r>
      <w:r w:rsidRPr="00C50B64">
        <w:rPr>
          <w:color w:val="000000"/>
          <w:sz w:val="18"/>
          <w:szCs w:val="18"/>
          <w:lang w:val="en-US"/>
        </w:rPr>
        <w:t xml:space="preserve">2020; </w:t>
      </w:r>
      <w:r w:rsidRPr="00C50B64">
        <w:rPr>
          <w:b/>
          <w:bCs/>
          <w:color w:val="000000"/>
          <w:sz w:val="18"/>
          <w:szCs w:val="18"/>
          <w:lang w:val="en-US"/>
        </w:rPr>
        <w:t xml:space="preserve">29 </w:t>
      </w:r>
      <w:r w:rsidRPr="00C50B64">
        <w:rPr>
          <w:color w:val="000000"/>
          <w:sz w:val="18"/>
          <w:szCs w:val="18"/>
          <w:lang w:val="en-US"/>
        </w:rPr>
        <w:t>(215): 135.</w:t>
      </w:r>
      <w:r w:rsidR="002334B2">
        <w:rPr>
          <w:color w:val="000000"/>
          <w:sz w:val="18"/>
          <w:szCs w:val="18"/>
          <w:lang w:val="en-US"/>
        </w:rPr>
        <w:t xml:space="preserve"> </w:t>
      </w:r>
    </w:p>
    <w:p w14:paraId="6BC9A3AA" w14:textId="77777777" w:rsidR="00C448A6" w:rsidRDefault="00E9788B">
      <w:pPr>
        <w:numPr>
          <w:ilvl w:val="0"/>
          <w:numId w:val="4"/>
        </w:numPr>
        <w:pBdr>
          <w:top w:val="nil"/>
          <w:left w:val="nil"/>
          <w:bottom w:val="nil"/>
          <w:right w:val="nil"/>
          <w:between w:val="nil"/>
        </w:pBdr>
        <w:ind w:left="142" w:firstLine="0"/>
        <w:rPr>
          <w:color w:val="000000"/>
          <w:sz w:val="18"/>
          <w:szCs w:val="18"/>
          <w:lang w:val="en-US"/>
        </w:rPr>
        <w:sectPr w:rsidR="00C448A6" w:rsidSect="00C448A6">
          <w:type w:val="continuous"/>
          <w:pgSz w:w="12240" w:h="15840" w:code="1"/>
          <w:pgMar w:top="720" w:right="720" w:bottom="720" w:left="720" w:header="288" w:footer="288" w:gutter="0"/>
          <w:cols w:num="2" w:space="288"/>
          <w:docGrid w:linePitch="360"/>
        </w:sectPr>
      </w:pPr>
      <w:proofErr w:type="spellStart"/>
      <w:r w:rsidRPr="00C07879">
        <w:rPr>
          <w:color w:val="000000"/>
          <w:sz w:val="18"/>
          <w:szCs w:val="18"/>
          <w:lang w:val="en-US"/>
        </w:rPr>
        <w:t>Prescrire</w:t>
      </w:r>
      <w:proofErr w:type="spellEnd"/>
      <w:r w:rsidRPr="00C07879">
        <w:rPr>
          <w:color w:val="000000"/>
          <w:sz w:val="18"/>
          <w:szCs w:val="18"/>
          <w:lang w:val="en-US"/>
        </w:rPr>
        <w:t xml:space="preserve"> </w:t>
      </w:r>
      <w:proofErr w:type="spellStart"/>
      <w:r w:rsidRPr="00C07879">
        <w:rPr>
          <w:color w:val="000000"/>
          <w:sz w:val="18"/>
          <w:szCs w:val="18"/>
          <w:lang w:val="en-US"/>
        </w:rPr>
        <w:t>Rédaction</w:t>
      </w:r>
      <w:proofErr w:type="spellEnd"/>
      <w:r w:rsidRPr="00C07879">
        <w:rPr>
          <w:color w:val="000000"/>
          <w:sz w:val="18"/>
          <w:szCs w:val="18"/>
          <w:lang w:val="en-US"/>
        </w:rPr>
        <w:t xml:space="preserve"> “Les </w:t>
      </w:r>
      <w:proofErr w:type="spellStart"/>
      <w:r w:rsidRPr="00C07879">
        <w:rPr>
          <w:color w:val="000000"/>
          <w:sz w:val="18"/>
          <w:szCs w:val="18"/>
          <w:lang w:val="en-US"/>
        </w:rPr>
        <w:t>étudiants</w:t>
      </w:r>
      <w:proofErr w:type="spellEnd"/>
      <w:r w:rsidRPr="00C07879">
        <w:rPr>
          <w:color w:val="000000"/>
          <w:sz w:val="18"/>
          <w:szCs w:val="18"/>
          <w:lang w:val="en-US"/>
        </w:rPr>
        <w:t xml:space="preserve"> en </w:t>
      </w:r>
      <w:proofErr w:type="spellStart"/>
      <w:r w:rsidRPr="00C07879">
        <w:rPr>
          <w:color w:val="000000"/>
          <w:sz w:val="18"/>
          <w:szCs w:val="18"/>
          <w:lang w:val="en-US"/>
        </w:rPr>
        <w:t>médecine</w:t>
      </w:r>
      <w:proofErr w:type="spellEnd"/>
      <w:r w:rsidRPr="00C07879">
        <w:rPr>
          <w:color w:val="000000"/>
          <w:sz w:val="18"/>
          <w:szCs w:val="18"/>
          <w:lang w:val="en-US"/>
        </w:rPr>
        <w:t xml:space="preserve"> </w:t>
      </w:r>
      <w:proofErr w:type="spellStart"/>
      <w:r w:rsidRPr="00C07879">
        <w:rPr>
          <w:color w:val="000000"/>
          <w:sz w:val="18"/>
          <w:szCs w:val="18"/>
          <w:lang w:val="en-US"/>
        </w:rPr>
        <w:t>très</w:t>
      </w:r>
      <w:proofErr w:type="spellEnd"/>
      <w:r w:rsidRPr="00C07879">
        <w:rPr>
          <w:color w:val="000000"/>
          <w:sz w:val="18"/>
          <w:szCs w:val="18"/>
          <w:lang w:val="en-US"/>
        </w:rPr>
        <w:t xml:space="preserve"> exposés à la promotion </w:t>
      </w:r>
      <w:proofErr w:type="spellStart"/>
      <w:r w:rsidRPr="00C07879">
        <w:rPr>
          <w:color w:val="000000"/>
          <w:sz w:val="18"/>
          <w:szCs w:val="18"/>
          <w:lang w:val="en-US"/>
        </w:rPr>
        <w:t>pharmaceutique</w:t>
      </w:r>
      <w:proofErr w:type="spellEnd"/>
      <w:r w:rsidRPr="00C07879">
        <w:rPr>
          <w:color w:val="000000"/>
          <w:sz w:val="18"/>
          <w:szCs w:val="18"/>
          <w:lang w:val="en-US"/>
        </w:rPr>
        <w:t xml:space="preserve"> et </w:t>
      </w:r>
      <w:proofErr w:type="spellStart"/>
      <w:r w:rsidRPr="00C07879">
        <w:rPr>
          <w:color w:val="000000"/>
          <w:sz w:val="18"/>
          <w:szCs w:val="18"/>
          <w:lang w:val="en-US"/>
        </w:rPr>
        <w:t>peu</w:t>
      </w:r>
      <w:proofErr w:type="spellEnd"/>
      <w:r w:rsidRPr="00C07879">
        <w:rPr>
          <w:color w:val="000000"/>
          <w:sz w:val="18"/>
          <w:szCs w:val="18"/>
          <w:lang w:val="en-US"/>
        </w:rPr>
        <w:t xml:space="preserve"> </w:t>
      </w:r>
      <w:proofErr w:type="spellStart"/>
      <w:r w:rsidRPr="00C07879">
        <w:rPr>
          <w:color w:val="000000"/>
          <w:sz w:val="18"/>
          <w:szCs w:val="18"/>
          <w:lang w:val="en-US"/>
        </w:rPr>
        <w:t>formés</w:t>
      </w:r>
      <w:proofErr w:type="spellEnd"/>
      <w:r w:rsidRPr="00C07879">
        <w:rPr>
          <w:color w:val="000000"/>
          <w:sz w:val="18"/>
          <w:szCs w:val="18"/>
          <w:lang w:val="en-US"/>
        </w:rPr>
        <w:t xml:space="preserve"> pour </w:t>
      </w:r>
      <w:proofErr w:type="spellStart"/>
      <w:r w:rsidRPr="00C07879">
        <w:rPr>
          <w:color w:val="000000"/>
          <w:sz w:val="18"/>
          <w:szCs w:val="18"/>
          <w:lang w:val="en-US"/>
        </w:rPr>
        <w:t>s’en</w:t>
      </w:r>
      <w:proofErr w:type="spellEnd"/>
      <w:r w:rsidRPr="00C07879">
        <w:rPr>
          <w:color w:val="000000"/>
          <w:sz w:val="18"/>
          <w:szCs w:val="18"/>
          <w:lang w:val="en-US"/>
        </w:rPr>
        <w:t xml:space="preserve"> </w:t>
      </w:r>
      <w:proofErr w:type="spellStart"/>
      <w:r w:rsidRPr="00C07879">
        <w:rPr>
          <w:color w:val="000000"/>
          <w:sz w:val="18"/>
          <w:szCs w:val="18"/>
          <w:lang w:val="en-US"/>
        </w:rPr>
        <w:t>prémunir</w:t>
      </w:r>
      <w:proofErr w:type="spellEnd"/>
      <w:r w:rsidRPr="00C07879">
        <w:rPr>
          <w:color w:val="000000"/>
          <w:sz w:val="18"/>
          <w:szCs w:val="18"/>
          <w:lang w:val="en-US"/>
        </w:rPr>
        <w:t xml:space="preserve">” </w:t>
      </w:r>
      <w:r w:rsidRPr="00C07879">
        <w:rPr>
          <w:i/>
          <w:iCs/>
          <w:color w:val="000000"/>
          <w:sz w:val="18"/>
          <w:szCs w:val="18"/>
          <w:lang w:val="en-US"/>
        </w:rPr>
        <w:t xml:space="preserve">Rev </w:t>
      </w:r>
      <w:proofErr w:type="spellStart"/>
      <w:r w:rsidRPr="00C07879">
        <w:rPr>
          <w:i/>
          <w:iCs/>
          <w:color w:val="000000"/>
          <w:sz w:val="18"/>
          <w:szCs w:val="18"/>
          <w:lang w:val="en-US"/>
        </w:rPr>
        <w:t>Prescrire</w:t>
      </w:r>
      <w:proofErr w:type="spellEnd"/>
      <w:r w:rsidRPr="00C07879">
        <w:rPr>
          <w:i/>
          <w:iCs/>
          <w:color w:val="000000"/>
          <w:sz w:val="18"/>
          <w:szCs w:val="18"/>
          <w:lang w:val="en-US"/>
        </w:rPr>
        <w:t xml:space="preserve"> </w:t>
      </w:r>
      <w:r w:rsidRPr="00C07879">
        <w:rPr>
          <w:color w:val="000000"/>
          <w:sz w:val="18"/>
          <w:szCs w:val="18"/>
          <w:lang w:val="en-US"/>
        </w:rPr>
        <w:t xml:space="preserve">2023; </w:t>
      </w:r>
      <w:r w:rsidRPr="00C07879">
        <w:rPr>
          <w:b/>
          <w:bCs/>
          <w:color w:val="000000"/>
          <w:sz w:val="18"/>
          <w:szCs w:val="18"/>
          <w:lang w:val="en-US"/>
        </w:rPr>
        <w:t xml:space="preserve">43 </w:t>
      </w:r>
      <w:r w:rsidRPr="00C07879">
        <w:rPr>
          <w:color w:val="000000"/>
          <w:sz w:val="18"/>
          <w:szCs w:val="18"/>
          <w:lang w:val="en-US"/>
        </w:rPr>
        <w:t>(474): 298-299.</w:t>
      </w:r>
    </w:p>
    <w:p w14:paraId="004BF5AD" w14:textId="77777777" w:rsidR="002334B2" w:rsidRPr="00F25512" w:rsidRDefault="002334B2" w:rsidP="00912389">
      <w:pPr>
        <w:rPr>
          <w:bCs/>
          <w:szCs w:val="20"/>
          <w:lang w:val="en-US"/>
        </w:rPr>
      </w:pPr>
    </w:p>
    <w:p w14:paraId="4DE184C6" w14:textId="3942F110" w:rsidR="002334B2" w:rsidRPr="00F25512" w:rsidRDefault="002334B2" w:rsidP="009F0519">
      <w:pPr>
        <w:jc w:val="center"/>
        <w:rPr>
          <w:bCs/>
          <w:szCs w:val="20"/>
          <w:lang w:val="en-US"/>
        </w:rPr>
      </w:pPr>
    </w:p>
    <w:p w14:paraId="581F2718" w14:textId="77777777" w:rsidR="002334B2" w:rsidRPr="002F4CFC" w:rsidRDefault="002334B2" w:rsidP="002334B2">
      <w:pPr>
        <w:jc w:val="center"/>
        <w:rPr>
          <w:b/>
          <w:szCs w:val="20"/>
        </w:rPr>
      </w:pPr>
      <w:bookmarkStart w:id="3" w:name="_Hlk238552478"/>
      <w:r w:rsidRPr="000B2851">
        <w:rPr>
          <w:bCs/>
          <w:szCs w:val="20"/>
        </w:rPr>
        <w:t>Europa.</w:t>
      </w:r>
      <w:r>
        <w:rPr>
          <w:b/>
          <w:szCs w:val="20"/>
        </w:rPr>
        <w:t xml:space="preserve"> </w:t>
      </w:r>
      <w:r w:rsidRPr="002F4CFC">
        <w:rPr>
          <w:b/>
          <w:szCs w:val="20"/>
        </w:rPr>
        <w:t xml:space="preserve">La EMA recomienda revocar la autorización de comercialización de </w:t>
      </w:r>
      <w:proofErr w:type="spellStart"/>
      <w:r w:rsidRPr="002F4CFC">
        <w:rPr>
          <w:b/>
          <w:szCs w:val="20"/>
        </w:rPr>
        <w:t>Tavneos</w:t>
      </w:r>
      <w:proofErr w:type="spellEnd"/>
    </w:p>
    <w:p w14:paraId="3E2BA833" w14:textId="1C63C34B" w:rsidR="002334B2" w:rsidRPr="002334B2" w:rsidRDefault="002334B2" w:rsidP="002334B2">
      <w:pPr>
        <w:jc w:val="center"/>
        <w:rPr>
          <w:i/>
          <w:iCs/>
          <w:color w:val="FF0000"/>
          <w:lang w:val="en-US"/>
        </w:rPr>
      </w:pPr>
      <w:r w:rsidRPr="005824C2">
        <w:rPr>
          <w:bCs/>
          <w:i/>
          <w:iCs/>
          <w:szCs w:val="20"/>
          <w:lang w:val="en-US"/>
        </w:rPr>
        <w:t>(</w:t>
      </w:r>
      <w:r w:rsidRPr="005824C2">
        <w:rPr>
          <w:i/>
          <w:iCs/>
          <w:lang w:val="en-US"/>
        </w:rPr>
        <w:t>EMA recommends revoking</w:t>
      </w:r>
      <w:r>
        <w:rPr>
          <w:i/>
          <w:iCs/>
          <w:lang w:val="en-US"/>
        </w:rPr>
        <w:t xml:space="preserve"> </w:t>
      </w:r>
      <w:r w:rsidRPr="005824C2">
        <w:rPr>
          <w:i/>
          <w:iCs/>
          <w:lang w:val="en-US"/>
        </w:rPr>
        <w:t xml:space="preserve">marketing </w:t>
      </w:r>
      <w:proofErr w:type="spellStart"/>
      <w:r w:rsidRPr="005824C2">
        <w:rPr>
          <w:i/>
          <w:iCs/>
          <w:lang w:val="en-US"/>
        </w:rPr>
        <w:t>authorisation</w:t>
      </w:r>
      <w:proofErr w:type="spellEnd"/>
      <w:r>
        <w:rPr>
          <w:i/>
          <w:iCs/>
          <w:lang w:val="en-US"/>
        </w:rPr>
        <w:t xml:space="preserve"> </w:t>
      </w:r>
      <w:r w:rsidRPr="005824C2">
        <w:rPr>
          <w:i/>
          <w:iCs/>
          <w:lang w:val="en-US"/>
        </w:rPr>
        <w:t xml:space="preserve">for </w:t>
      </w:r>
      <w:proofErr w:type="spellStart"/>
      <w:r w:rsidRPr="005824C2">
        <w:rPr>
          <w:i/>
          <w:iCs/>
          <w:lang w:val="en-US"/>
        </w:rPr>
        <w:t>Tavneos</w:t>
      </w:r>
      <w:proofErr w:type="spellEnd"/>
      <w:r w:rsidRPr="005824C2">
        <w:rPr>
          <w:i/>
          <w:iCs/>
          <w:lang w:val="en-US"/>
        </w:rPr>
        <w:t>)</w:t>
      </w:r>
    </w:p>
    <w:p w14:paraId="2BE07642" w14:textId="77777777" w:rsidR="002334B2" w:rsidRPr="003A1C23" w:rsidRDefault="002334B2" w:rsidP="002334B2">
      <w:pPr>
        <w:jc w:val="center"/>
        <w:rPr>
          <w:szCs w:val="20"/>
          <w:lang w:val="en-US"/>
        </w:rPr>
      </w:pPr>
      <w:proofErr w:type="spellStart"/>
      <w:r w:rsidRPr="003A1C23">
        <w:rPr>
          <w:i/>
          <w:iCs/>
          <w:szCs w:val="20"/>
          <w:lang w:val="en-US"/>
        </w:rPr>
        <w:t>Agencia</w:t>
      </w:r>
      <w:proofErr w:type="spellEnd"/>
      <w:r w:rsidRPr="003A1C23">
        <w:rPr>
          <w:i/>
          <w:iCs/>
          <w:szCs w:val="20"/>
          <w:lang w:val="en-US"/>
        </w:rPr>
        <w:t xml:space="preserve"> </w:t>
      </w:r>
      <w:proofErr w:type="spellStart"/>
      <w:r w:rsidRPr="003A1C23">
        <w:rPr>
          <w:i/>
          <w:iCs/>
          <w:szCs w:val="20"/>
          <w:lang w:val="en-US"/>
        </w:rPr>
        <w:t>Europea</w:t>
      </w:r>
      <w:proofErr w:type="spellEnd"/>
      <w:r w:rsidRPr="003A1C23">
        <w:rPr>
          <w:i/>
          <w:iCs/>
          <w:szCs w:val="20"/>
          <w:lang w:val="en-US"/>
        </w:rPr>
        <w:t xml:space="preserve"> de </w:t>
      </w:r>
      <w:proofErr w:type="spellStart"/>
      <w:r w:rsidRPr="003A1C23">
        <w:rPr>
          <w:i/>
          <w:iCs/>
          <w:szCs w:val="20"/>
          <w:lang w:val="en-US"/>
        </w:rPr>
        <w:t>Mediamentos</w:t>
      </w:r>
      <w:proofErr w:type="spellEnd"/>
      <w:r w:rsidRPr="003A1C23">
        <w:rPr>
          <w:i/>
          <w:iCs/>
          <w:szCs w:val="20"/>
          <w:lang w:val="en-US"/>
        </w:rPr>
        <w:t xml:space="preserve"> (EMA),</w:t>
      </w:r>
      <w:r w:rsidRPr="003A1C23">
        <w:rPr>
          <w:szCs w:val="20"/>
          <w:lang w:val="en-US"/>
        </w:rPr>
        <w:t xml:space="preserve"> 26 de </w:t>
      </w:r>
      <w:proofErr w:type="spellStart"/>
      <w:r w:rsidRPr="003A1C23">
        <w:rPr>
          <w:szCs w:val="20"/>
          <w:lang w:val="en-US"/>
        </w:rPr>
        <w:t>junio</w:t>
      </w:r>
      <w:proofErr w:type="spellEnd"/>
      <w:r w:rsidRPr="003A1C23">
        <w:rPr>
          <w:szCs w:val="20"/>
          <w:lang w:val="en-US"/>
        </w:rPr>
        <w:t xml:space="preserve"> de 2026</w:t>
      </w:r>
    </w:p>
    <w:p w14:paraId="5D2591A0" w14:textId="77777777" w:rsidR="002334B2" w:rsidRPr="003A1C23" w:rsidRDefault="00B00DA4" w:rsidP="002334B2">
      <w:pPr>
        <w:jc w:val="center"/>
        <w:rPr>
          <w:szCs w:val="20"/>
          <w:lang w:val="en-US"/>
        </w:rPr>
      </w:pPr>
      <w:hyperlink r:id="rId65" w:history="1">
        <w:r w:rsidR="002334B2" w:rsidRPr="003A1C23">
          <w:rPr>
            <w:rStyle w:val="Hipervnculo"/>
            <w:szCs w:val="20"/>
            <w:lang w:val="en-US"/>
          </w:rPr>
          <w:t>https://www.ema.europa.eu/en/news/ema-recommends-revoking-marketing-authorisation-tavneos</w:t>
        </w:r>
      </w:hyperlink>
    </w:p>
    <w:p w14:paraId="05508431" w14:textId="5229DB6B" w:rsidR="002334B2" w:rsidRPr="00A21F37" w:rsidRDefault="002334B2" w:rsidP="002334B2">
      <w:pPr>
        <w:jc w:val="center"/>
        <w:rPr>
          <w:lang w:val="es-ES"/>
        </w:rPr>
      </w:pPr>
      <w:r w:rsidRPr="00CA0441">
        <w:rPr>
          <w:rFonts w:eastAsia="Times New Roman" w:cs="Times New Roman"/>
          <w:szCs w:val="20"/>
          <w:lang w:val="es-ES"/>
        </w:rPr>
        <w:t xml:space="preserve">Traducido por Salud y Fármacos, publicado en </w:t>
      </w:r>
      <w:r w:rsidRPr="00CA0441">
        <w:rPr>
          <w:rFonts w:cs="Times New Roman"/>
          <w:i/>
          <w:iCs/>
          <w:szCs w:val="20"/>
          <w:lang w:val="es-ES"/>
        </w:rPr>
        <w:t xml:space="preserve">Boletín Fármacos: </w:t>
      </w:r>
      <w:r w:rsidR="002A2E6A">
        <w:rPr>
          <w:rFonts w:eastAsia="Times New Roman" w:cs="Times New Roman"/>
          <w:bCs/>
          <w:i/>
          <w:iCs/>
          <w:color w:val="000000" w:themeColor="text1"/>
          <w:szCs w:val="16"/>
          <w:lang w:val="es-ES"/>
        </w:rPr>
        <w:t>Agencia</w:t>
      </w:r>
      <w:r>
        <w:rPr>
          <w:rFonts w:eastAsia="Times New Roman" w:cs="Times New Roman"/>
          <w:bCs/>
          <w:i/>
          <w:iCs/>
          <w:color w:val="000000" w:themeColor="text1"/>
          <w:szCs w:val="16"/>
          <w:lang w:val="es-ES"/>
        </w:rPr>
        <w:t>s</w:t>
      </w:r>
      <w:r w:rsidR="002A2E6A">
        <w:rPr>
          <w:rFonts w:eastAsia="Times New Roman" w:cs="Times New Roman"/>
          <w:bCs/>
          <w:i/>
          <w:iCs/>
          <w:color w:val="000000" w:themeColor="text1"/>
          <w:szCs w:val="16"/>
          <w:lang w:val="es-ES"/>
        </w:rPr>
        <w:t xml:space="preserve"> Reguladoras</w:t>
      </w:r>
      <w:r w:rsidRPr="00A21F37">
        <w:rPr>
          <w:rFonts w:eastAsia="Times New Roman" w:cs="Times New Roman"/>
          <w:bCs/>
          <w:i/>
          <w:iCs/>
          <w:color w:val="000000" w:themeColor="text1"/>
          <w:szCs w:val="16"/>
          <w:lang w:val="es-ES"/>
        </w:rPr>
        <w:t xml:space="preserve"> 2026; 29(</w:t>
      </w:r>
      <w:r>
        <w:rPr>
          <w:rFonts w:eastAsia="Times New Roman" w:cs="Times New Roman"/>
          <w:bCs/>
          <w:i/>
          <w:iCs/>
          <w:color w:val="000000" w:themeColor="text1"/>
          <w:szCs w:val="16"/>
          <w:lang w:val="es-ES"/>
        </w:rPr>
        <w:t>3</w:t>
      </w:r>
      <w:r w:rsidRPr="00A21F37">
        <w:rPr>
          <w:rFonts w:eastAsia="Times New Roman" w:cs="Times New Roman"/>
          <w:bCs/>
          <w:i/>
          <w:iCs/>
          <w:color w:val="000000" w:themeColor="text1"/>
          <w:szCs w:val="16"/>
          <w:lang w:val="es-ES"/>
        </w:rPr>
        <w:t>)</w:t>
      </w:r>
    </w:p>
    <w:p w14:paraId="7CEBEFD7" w14:textId="77777777" w:rsidR="002334B2" w:rsidRDefault="002334B2" w:rsidP="002334B2">
      <w:pPr>
        <w:rPr>
          <w:b/>
          <w:bCs/>
          <w:szCs w:val="20"/>
        </w:rPr>
      </w:pPr>
    </w:p>
    <w:p w14:paraId="007BDA22" w14:textId="77777777" w:rsidR="007D0C90" w:rsidRDefault="007D0C90" w:rsidP="002334B2">
      <w:pPr>
        <w:rPr>
          <w:b/>
          <w:bCs/>
          <w:sz w:val="18"/>
          <w:szCs w:val="18"/>
        </w:rPr>
        <w:sectPr w:rsidR="007D0C90" w:rsidSect="00F25512">
          <w:type w:val="continuous"/>
          <w:pgSz w:w="12240" w:h="15840" w:code="1"/>
          <w:pgMar w:top="720" w:right="720" w:bottom="720" w:left="720" w:header="288" w:footer="288" w:gutter="0"/>
          <w:cols w:space="288"/>
          <w:docGrid w:linePitch="360"/>
        </w:sectPr>
      </w:pPr>
    </w:p>
    <w:p w14:paraId="025CF31C" w14:textId="162765DF" w:rsidR="002334B2" w:rsidRPr="00E34E9B" w:rsidRDefault="002334B2" w:rsidP="002334B2">
      <w:pPr>
        <w:rPr>
          <w:b/>
          <w:bCs/>
          <w:sz w:val="16"/>
          <w:szCs w:val="16"/>
        </w:rPr>
      </w:pPr>
      <w:r w:rsidRPr="00E34E9B">
        <w:rPr>
          <w:b/>
          <w:bCs/>
          <w:sz w:val="18"/>
          <w:szCs w:val="18"/>
        </w:rPr>
        <w:t xml:space="preserve">Tags: </w:t>
      </w:r>
      <w:r w:rsidRPr="00E34E9B">
        <w:rPr>
          <w:b/>
          <w:bCs/>
          <w:color w:val="000000" w:themeColor="text1"/>
          <w:sz w:val="18"/>
          <w:szCs w:val="18"/>
        </w:rPr>
        <w:t xml:space="preserve">revisión de </w:t>
      </w:r>
      <w:proofErr w:type="spellStart"/>
      <w:r w:rsidRPr="00E34E9B">
        <w:rPr>
          <w:b/>
          <w:bCs/>
          <w:color w:val="000000" w:themeColor="text1"/>
          <w:sz w:val="18"/>
          <w:szCs w:val="18"/>
        </w:rPr>
        <w:t>Tavneos</w:t>
      </w:r>
      <w:proofErr w:type="spellEnd"/>
      <w:r w:rsidRPr="00E34E9B">
        <w:rPr>
          <w:b/>
          <w:bCs/>
          <w:color w:val="000000" w:themeColor="text1"/>
          <w:sz w:val="18"/>
          <w:szCs w:val="18"/>
        </w:rPr>
        <w:t xml:space="preserve">, </w:t>
      </w:r>
      <w:proofErr w:type="spellStart"/>
      <w:r w:rsidRPr="00E34E9B">
        <w:rPr>
          <w:b/>
          <w:bCs/>
          <w:i/>
          <w:iCs/>
          <w:color w:val="000000" w:themeColor="text1"/>
          <w:sz w:val="18"/>
          <w:szCs w:val="18"/>
        </w:rPr>
        <w:t>avacopan</w:t>
      </w:r>
      <w:proofErr w:type="spellEnd"/>
      <w:r w:rsidRPr="00E34E9B">
        <w:rPr>
          <w:b/>
          <w:bCs/>
          <w:i/>
          <w:iCs/>
          <w:color w:val="000000" w:themeColor="text1"/>
          <w:sz w:val="18"/>
          <w:szCs w:val="18"/>
        </w:rPr>
        <w:t xml:space="preserve">, </w:t>
      </w:r>
      <w:r w:rsidRPr="00E34E9B">
        <w:rPr>
          <w:b/>
          <w:bCs/>
          <w:color w:val="000000" w:themeColor="text1"/>
          <w:sz w:val="18"/>
          <w:szCs w:val="18"/>
        </w:rPr>
        <w:t xml:space="preserve">revocación de autorización de comercialización </w:t>
      </w:r>
      <w:proofErr w:type="spellStart"/>
      <w:r w:rsidRPr="00E34E9B">
        <w:rPr>
          <w:b/>
          <w:bCs/>
          <w:color w:val="000000" w:themeColor="text1"/>
          <w:sz w:val="18"/>
          <w:szCs w:val="18"/>
        </w:rPr>
        <w:t>Tavneos</w:t>
      </w:r>
      <w:proofErr w:type="spellEnd"/>
      <w:r w:rsidRPr="00E34E9B">
        <w:rPr>
          <w:b/>
          <w:bCs/>
          <w:color w:val="000000" w:themeColor="text1"/>
          <w:sz w:val="18"/>
          <w:szCs w:val="18"/>
        </w:rPr>
        <w:t xml:space="preserve">, </w:t>
      </w:r>
      <w:proofErr w:type="spellStart"/>
      <w:r w:rsidRPr="00E34E9B">
        <w:rPr>
          <w:b/>
          <w:bCs/>
          <w:color w:val="000000" w:themeColor="text1"/>
          <w:sz w:val="18"/>
          <w:szCs w:val="18"/>
        </w:rPr>
        <w:t>granulomatosis</w:t>
      </w:r>
      <w:proofErr w:type="spellEnd"/>
      <w:r w:rsidRPr="00E34E9B">
        <w:rPr>
          <w:b/>
          <w:bCs/>
          <w:color w:val="000000" w:themeColor="text1"/>
          <w:sz w:val="18"/>
          <w:szCs w:val="18"/>
        </w:rPr>
        <w:t xml:space="preserve"> con </w:t>
      </w:r>
      <w:proofErr w:type="spellStart"/>
      <w:r w:rsidRPr="00E34E9B">
        <w:rPr>
          <w:b/>
          <w:bCs/>
          <w:color w:val="000000" w:themeColor="text1"/>
          <w:sz w:val="18"/>
          <w:szCs w:val="18"/>
        </w:rPr>
        <w:t>poliangitis</w:t>
      </w:r>
      <w:proofErr w:type="spellEnd"/>
      <w:r w:rsidRPr="00E34E9B">
        <w:rPr>
          <w:b/>
          <w:bCs/>
          <w:color w:val="000000" w:themeColor="text1"/>
          <w:sz w:val="18"/>
          <w:szCs w:val="18"/>
        </w:rPr>
        <w:t xml:space="preserve">, GPA, </w:t>
      </w:r>
      <w:proofErr w:type="spellStart"/>
      <w:r w:rsidRPr="00E34E9B">
        <w:rPr>
          <w:b/>
          <w:bCs/>
          <w:color w:val="000000" w:themeColor="text1"/>
          <w:sz w:val="18"/>
          <w:szCs w:val="18"/>
        </w:rPr>
        <w:t>poliangitis</w:t>
      </w:r>
      <w:proofErr w:type="spellEnd"/>
      <w:r w:rsidRPr="00E34E9B">
        <w:rPr>
          <w:b/>
          <w:bCs/>
          <w:color w:val="000000" w:themeColor="text1"/>
          <w:sz w:val="18"/>
          <w:szCs w:val="18"/>
        </w:rPr>
        <w:t xml:space="preserve"> microscópica, enfermedades inflamatorias de vasos sanguíneos, estudio </w:t>
      </w:r>
      <w:proofErr w:type="spellStart"/>
      <w:r w:rsidRPr="00E34E9B">
        <w:rPr>
          <w:b/>
          <w:bCs/>
          <w:color w:val="000000" w:themeColor="text1"/>
          <w:sz w:val="18"/>
          <w:szCs w:val="18"/>
        </w:rPr>
        <w:t>Advocate</w:t>
      </w:r>
      <w:proofErr w:type="spellEnd"/>
      <w:r w:rsidRPr="00E34E9B">
        <w:rPr>
          <w:b/>
          <w:bCs/>
          <w:color w:val="000000" w:themeColor="text1"/>
          <w:sz w:val="18"/>
          <w:szCs w:val="18"/>
        </w:rPr>
        <w:t xml:space="preserve">, </w:t>
      </w:r>
      <w:r w:rsidRPr="00E34E9B">
        <w:rPr>
          <w:rFonts w:eastAsia="Times New Roman" w:cs="Times New Roman"/>
          <w:b/>
          <w:bCs/>
          <w:color w:val="000000" w:themeColor="text1"/>
          <w:kern w:val="0"/>
          <w:sz w:val="18"/>
          <w:szCs w:val="18"/>
          <w:lang w:eastAsia="es-CO"/>
          <w14:ligatures w14:val="none"/>
        </w:rPr>
        <w:t>buenas prácticas clínicas</w:t>
      </w:r>
      <w:r>
        <w:rPr>
          <w:rFonts w:eastAsia="Times New Roman" w:cs="Times New Roman"/>
          <w:b/>
          <w:bCs/>
          <w:color w:val="000000" w:themeColor="text1"/>
          <w:kern w:val="0"/>
          <w:sz w:val="18"/>
          <w:szCs w:val="18"/>
          <w:lang w:eastAsia="es-CO"/>
          <w14:ligatures w14:val="none"/>
        </w:rPr>
        <w:t xml:space="preserve">, </w:t>
      </w:r>
      <w:r w:rsidRPr="00E34E9B">
        <w:rPr>
          <w:b/>
          <w:bCs/>
          <w:sz w:val="18"/>
          <w:szCs w:val="18"/>
        </w:rPr>
        <w:t>daño hepático inducido por fármacos</w:t>
      </w:r>
      <w:r>
        <w:rPr>
          <w:b/>
          <w:bCs/>
          <w:sz w:val="18"/>
          <w:szCs w:val="18"/>
        </w:rPr>
        <w:t>,</w:t>
      </w:r>
      <w:r w:rsidRPr="00E34E9B">
        <w:rPr>
          <w:b/>
          <w:bCs/>
          <w:sz w:val="18"/>
          <w:szCs w:val="18"/>
        </w:rPr>
        <w:t xml:space="preserve"> síndrome de desaparición de conductos biliares</w:t>
      </w:r>
      <w:r>
        <w:rPr>
          <w:b/>
          <w:bCs/>
          <w:sz w:val="18"/>
          <w:szCs w:val="18"/>
        </w:rPr>
        <w:t xml:space="preserve">, </w:t>
      </w:r>
      <w:proofErr w:type="spellStart"/>
      <w:r w:rsidRPr="009A2F09">
        <w:rPr>
          <w:b/>
          <w:bCs/>
          <w:i/>
          <w:iCs/>
          <w:sz w:val="18"/>
          <w:szCs w:val="18"/>
        </w:rPr>
        <w:t>rituximab</w:t>
      </w:r>
      <w:proofErr w:type="spellEnd"/>
      <w:r w:rsidRPr="009A2F09">
        <w:rPr>
          <w:b/>
          <w:bCs/>
          <w:i/>
          <w:iCs/>
          <w:sz w:val="18"/>
          <w:szCs w:val="18"/>
        </w:rPr>
        <w:t>, ciclofosfamida</w:t>
      </w:r>
    </w:p>
    <w:p w14:paraId="42E73125" w14:textId="77777777" w:rsidR="002334B2" w:rsidRPr="00E34E9B" w:rsidRDefault="002334B2" w:rsidP="002334B2">
      <w:pPr>
        <w:rPr>
          <w:b/>
          <w:bCs/>
          <w:sz w:val="18"/>
          <w:szCs w:val="18"/>
        </w:rPr>
      </w:pPr>
    </w:p>
    <w:p w14:paraId="3A552638" w14:textId="77777777" w:rsidR="002334B2" w:rsidRPr="00AC319C" w:rsidRDefault="002334B2" w:rsidP="002334B2">
      <w:pPr>
        <w:pStyle w:val="NormalWeb"/>
        <w:shd w:val="clear" w:color="auto" w:fill="FFFFFF"/>
        <w:rPr>
          <w:b/>
          <w:bCs/>
          <w:color w:val="000000" w:themeColor="text1"/>
          <w:szCs w:val="20"/>
        </w:rPr>
      </w:pPr>
      <w:r w:rsidRPr="00394F88">
        <w:rPr>
          <w:b/>
          <w:bCs/>
          <w:color w:val="000000" w:themeColor="text1"/>
          <w:szCs w:val="20"/>
        </w:rPr>
        <w:t>L</w:t>
      </w:r>
      <w:r>
        <w:rPr>
          <w:b/>
          <w:bCs/>
          <w:color w:val="000000" w:themeColor="text1"/>
          <w:szCs w:val="20"/>
        </w:rPr>
        <w:t>as pruebas no indican que los</w:t>
      </w:r>
      <w:r w:rsidRPr="00394F88">
        <w:rPr>
          <w:b/>
          <w:bCs/>
          <w:color w:val="000000" w:themeColor="text1"/>
          <w:szCs w:val="20"/>
        </w:rPr>
        <w:t xml:space="preserve"> beneficios super</w:t>
      </w:r>
      <w:r>
        <w:rPr>
          <w:b/>
          <w:bCs/>
          <w:color w:val="000000" w:themeColor="text1"/>
          <w:szCs w:val="20"/>
        </w:rPr>
        <w:t>en</w:t>
      </w:r>
      <w:r w:rsidRPr="00394F88">
        <w:rPr>
          <w:b/>
          <w:bCs/>
          <w:color w:val="000000" w:themeColor="text1"/>
          <w:szCs w:val="20"/>
        </w:rPr>
        <w:t xml:space="preserve"> los riesgos del tratamiento</w:t>
      </w:r>
    </w:p>
    <w:p w14:paraId="6FA811A6" w14:textId="77777777" w:rsidR="002334B2" w:rsidRPr="00386945" w:rsidRDefault="002334B2" w:rsidP="002334B2">
      <w:pPr>
        <w:pStyle w:val="NormalWeb"/>
        <w:shd w:val="clear" w:color="auto" w:fill="FFFFFF"/>
        <w:rPr>
          <w:color w:val="000000" w:themeColor="text1"/>
          <w:szCs w:val="20"/>
        </w:rPr>
      </w:pPr>
      <w:r w:rsidRPr="00386945">
        <w:rPr>
          <w:color w:val="000000" w:themeColor="text1"/>
          <w:szCs w:val="20"/>
        </w:rPr>
        <w:t>El Comité de Medicamentos de Uso Humano (CHMP) de la EMA ha concluido su revisión de</w:t>
      </w:r>
      <w:r>
        <w:rPr>
          <w:color w:val="000000" w:themeColor="text1"/>
          <w:szCs w:val="20"/>
        </w:rPr>
        <w:t xml:space="preserve"> </w:t>
      </w:r>
      <w:proofErr w:type="spellStart"/>
      <w:r w:rsidRPr="00386945">
        <w:rPr>
          <w:color w:val="000000" w:themeColor="text1"/>
          <w:szCs w:val="20"/>
        </w:rPr>
        <w:t>Tavneos</w:t>
      </w:r>
      <w:proofErr w:type="spellEnd"/>
      <w:r w:rsidRPr="00386945">
        <w:rPr>
          <w:color w:val="000000" w:themeColor="text1"/>
          <w:szCs w:val="20"/>
        </w:rPr>
        <w:t xml:space="preserve"> (</w:t>
      </w:r>
      <w:proofErr w:type="spellStart"/>
      <w:r w:rsidRPr="00394F88">
        <w:rPr>
          <w:i/>
          <w:iCs/>
          <w:color w:val="000000" w:themeColor="text1"/>
          <w:szCs w:val="20"/>
        </w:rPr>
        <w:t>avacopan</w:t>
      </w:r>
      <w:proofErr w:type="spellEnd"/>
      <w:r w:rsidRPr="00386945">
        <w:rPr>
          <w:color w:val="000000" w:themeColor="text1"/>
          <w:szCs w:val="20"/>
        </w:rPr>
        <w:t xml:space="preserve">) y ha recomendado la revocación de su </w:t>
      </w:r>
      <w:r>
        <w:rPr>
          <w:color w:val="000000" w:themeColor="text1"/>
          <w:szCs w:val="20"/>
        </w:rPr>
        <w:t>permiso</w:t>
      </w:r>
      <w:r w:rsidRPr="00386945">
        <w:rPr>
          <w:color w:val="000000" w:themeColor="text1"/>
          <w:szCs w:val="20"/>
        </w:rPr>
        <w:t xml:space="preserve"> de comercialización en la Unión Europea, dado que </w:t>
      </w:r>
      <w:r>
        <w:rPr>
          <w:color w:val="000000" w:themeColor="text1"/>
          <w:szCs w:val="20"/>
        </w:rPr>
        <w:t xml:space="preserve">las pruebas señalan que </w:t>
      </w:r>
      <w:r w:rsidRPr="00386945">
        <w:rPr>
          <w:color w:val="000000" w:themeColor="text1"/>
          <w:szCs w:val="20"/>
        </w:rPr>
        <w:t xml:space="preserve">sus beneficios ya no superan sus riesgos. </w:t>
      </w:r>
      <w:proofErr w:type="spellStart"/>
      <w:r w:rsidRPr="00386945">
        <w:rPr>
          <w:color w:val="000000" w:themeColor="text1"/>
          <w:szCs w:val="20"/>
        </w:rPr>
        <w:t>Tavneos</w:t>
      </w:r>
      <w:proofErr w:type="spellEnd"/>
      <w:r w:rsidRPr="00386945">
        <w:rPr>
          <w:color w:val="000000" w:themeColor="text1"/>
          <w:szCs w:val="20"/>
        </w:rPr>
        <w:t xml:space="preserve"> se utiliza para tratar a adultos con </w:t>
      </w:r>
      <w:r w:rsidRPr="00476BF2">
        <w:rPr>
          <w:color w:val="000000" w:themeColor="text1"/>
          <w:szCs w:val="20"/>
        </w:rPr>
        <w:t>casos graves y activos</w:t>
      </w:r>
      <w:r>
        <w:rPr>
          <w:color w:val="000000" w:themeColor="text1"/>
          <w:szCs w:val="20"/>
        </w:rPr>
        <w:t xml:space="preserve"> de </w:t>
      </w:r>
      <w:r w:rsidRPr="00386945">
        <w:rPr>
          <w:color w:val="000000" w:themeColor="text1"/>
          <w:szCs w:val="20"/>
        </w:rPr>
        <w:t>dos enfermedades inflamatorias raras de los vasos sanguíneos</w:t>
      </w:r>
      <w:r>
        <w:rPr>
          <w:color w:val="000000" w:themeColor="text1"/>
          <w:szCs w:val="20"/>
        </w:rPr>
        <w:t xml:space="preserve">: la </w:t>
      </w:r>
      <w:proofErr w:type="spellStart"/>
      <w:r w:rsidRPr="00386945">
        <w:rPr>
          <w:color w:val="000000" w:themeColor="text1"/>
          <w:szCs w:val="20"/>
        </w:rPr>
        <w:t>granulomatosis</w:t>
      </w:r>
      <w:proofErr w:type="spellEnd"/>
      <w:r w:rsidRPr="00386945">
        <w:rPr>
          <w:color w:val="000000" w:themeColor="text1"/>
          <w:szCs w:val="20"/>
        </w:rPr>
        <w:t xml:space="preserve"> con </w:t>
      </w:r>
      <w:proofErr w:type="spellStart"/>
      <w:r w:rsidRPr="00386945">
        <w:rPr>
          <w:color w:val="000000" w:themeColor="text1"/>
          <w:szCs w:val="20"/>
        </w:rPr>
        <w:t>poliangitis</w:t>
      </w:r>
      <w:proofErr w:type="spellEnd"/>
      <w:r w:rsidRPr="00386945">
        <w:rPr>
          <w:color w:val="000000" w:themeColor="text1"/>
          <w:szCs w:val="20"/>
        </w:rPr>
        <w:t xml:space="preserve"> (GPA</w:t>
      </w:r>
      <w:r>
        <w:rPr>
          <w:color w:val="000000" w:themeColor="text1"/>
          <w:szCs w:val="20"/>
        </w:rPr>
        <w:t xml:space="preserve"> o </w:t>
      </w:r>
      <w:proofErr w:type="spellStart"/>
      <w:r w:rsidRPr="00394F88">
        <w:rPr>
          <w:i/>
          <w:iCs/>
          <w:color w:val="000000" w:themeColor="text1"/>
          <w:szCs w:val="20"/>
        </w:rPr>
        <w:t>granulomatosis</w:t>
      </w:r>
      <w:proofErr w:type="spellEnd"/>
      <w:r w:rsidRPr="00394F88">
        <w:rPr>
          <w:i/>
          <w:iCs/>
          <w:color w:val="000000" w:themeColor="text1"/>
          <w:szCs w:val="20"/>
        </w:rPr>
        <w:t xml:space="preserve"> </w:t>
      </w:r>
      <w:proofErr w:type="spellStart"/>
      <w:r w:rsidRPr="00394F88">
        <w:rPr>
          <w:i/>
          <w:iCs/>
          <w:color w:val="000000" w:themeColor="text1"/>
          <w:szCs w:val="20"/>
        </w:rPr>
        <w:t>with</w:t>
      </w:r>
      <w:proofErr w:type="spellEnd"/>
      <w:r w:rsidRPr="00394F88">
        <w:rPr>
          <w:i/>
          <w:iCs/>
          <w:color w:val="000000" w:themeColor="text1"/>
          <w:szCs w:val="20"/>
        </w:rPr>
        <w:t xml:space="preserve"> </w:t>
      </w:r>
      <w:proofErr w:type="spellStart"/>
      <w:r w:rsidRPr="00394F88">
        <w:rPr>
          <w:i/>
          <w:iCs/>
          <w:color w:val="000000" w:themeColor="text1"/>
          <w:szCs w:val="20"/>
        </w:rPr>
        <w:t>polyangiitis</w:t>
      </w:r>
      <w:proofErr w:type="spellEnd"/>
      <w:r w:rsidRPr="00386945">
        <w:rPr>
          <w:color w:val="000000" w:themeColor="text1"/>
          <w:szCs w:val="20"/>
        </w:rPr>
        <w:t xml:space="preserve">) o </w:t>
      </w:r>
      <w:proofErr w:type="spellStart"/>
      <w:r w:rsidRPr="00386945">
        <w:rPr>
          <w:color w:val="000000" w:themeColor="text1"/>
          <w:szCs w:val="20"/>
        </w:rPr>
        <w:t>poliangitis</w:t>
      </w:r>
      <w:proofErr w:type="spellEnd"/>
      <w:r w:rsidRPr="00386945">
        <w:rPr>
          <w:color w:val="000000" w:themeColor="text1"/>
          <w:szCs w:val="20"/>
        </w:rPr>
        <w:t xml:space="preserve"> microscópica (MPA</w:t>
      </w:r>
      <w:r>
        <w:rPr>
          <w:color w:val="000000" w:themeColor="text1"/>
          <w:szCs w:val="20"/>
        </w:rPr>
        <w:t xml:space="preserve"> o </w:t>
      </w:r>
      <w:proofErr w:type="spellStart"/>
      <w:r w:rsidRPr="00394F88">
        <w:rPr>
          <w:i/>
          <w:iCs/>
          <w:color w:val="000000" w:themeColor="text1"/>
          <w:szCs w:val="20"/>
        </w:rPr>
        <w:t>microscopic</w:t>
      </w:r>
      <w:proofErr w:type="spellEnd"/>
      <w:r w:rsidRPr="00394F88">
        <w:rPr>
          <w:i/>
          <w:iCs/>
          <w:color w:val="000000" w:themeColor="text1"/>
          <w:szCs w:val="20"/>
        </w:rPr>
        <w:t xml:space="preserve"> </w:t>
      </w:r>
      <w:proofErr w:type="spellStart"/>
      <w:r w:rsidRPr="00394F88">
        <w:rPr>
          <w:i/>
          <w:iCs/>
          <w:color w:val="000000" w:themeColor="text1"/>
          <w:szCs w:val="20"/>
        </w:rPr>
        <w:t>polyangiitis</w:t>
      </w:r>
      <w:proofErr w:type="spellEnd"/>
      <w:r w:rsidRPr="00386945">
        <w:rPr>
          <w:color w:val="000000" w:themeColor="text1"/>
          <w:szCs w:val="20"/>
        </w:rPr>
        <w:t>)</w:t>
      </w:r>
      <w:r>
        <w:rPr>
          <w:color w:val="000000" w:themeColor="text1"/>
          <w:szCs w:val="20"/>
        </w:rPr>
        <w:t>.</w:t>
      </w:r>
      <w:r w:rsidRPr="00386945">
        <w:rPr>
          <w:color w:val="000000" w:themeColor="text1"/>
          <w:szCs w:val="20"/>
        </w:rPr>
        <w:t xml:space="preserve"> </w:t>
      </w:r>
    </w:p>
    <w:p w14:paraId="1DBA0F4F" w14:textId="77777777" w:rsidR="002334B2" w:rsidRPr="00386945" w:rsidRDefault="002334B2" w:rsidP="002334B2">
      <w:pPr>
        <w:pStyle w:val="NormalWeb"/>
        <w:shd w:val="clear" w:color="auto" w:fill="FFFFFF"/>
        <w:rPr>
          <w:color w:val="FF0000"/>
          <w:szCs w:val="20"/>
        </w:rPr>
      </w:pPr>
    </w:p>
    <w:p w14:paraId="05EA02E0" w14:textId="77777777" w:rsidR="002334B2" w:rsidRDefault="002334B2" w:rsidP="002334B2">
      <w:pPr>
        <w:pStyle w:val="NormalWeb"/>
        <w:shd w:val="clear" w:color="auto" w:fill="FFFFFF"/>
        <w:rPr>
          <w:color w:val="000000" w:themeColor="text1"/>
          <w:szCs w:val="20"/>
        </w:rPr>
      </w:pPr>
      <w:r w:rsidRPr="00394F88">
        <w:rPr>
          <w:color w:val="000000" w:themeColor="text1"/>
          <w:szCs w:val="20"/>
        </w:rPr>
        <w:t xml:space="preserve">La revisión se inició para evaluar nueva información que planteaba dudas sobre la integridad de los datos del estudio principal (el estudio </w:t>
      </w:r>
      <w:proofErr w:type="spellStart"/>
      <w:r w:rsidRPr="00394F88">
        <w:rPr>
          <w:color w:val="000000" w:themeColor="text1"/>
          <w:szCs w:val="20"/>
        </w:rPr>
        <w:t>Advocate</w:t>
      </w:r>
      <w:proofErr w:type="spellEnd"/>
      <w:r w:rsidRPr="00394F88">
        <w:rPr>
          <w:color w:val="000000" w:themeColor="text1"/>
          <w:szCs w:val="20"/>
        </w:rPr>
        <w:t>)</w:t>
      </w:r>
      <w:r>
        <w:rPr>
          <w:color w:val="000000" w:themeColor="text1"/>
          <w:szCs w:val="20"/>
        </w:rPr>
        <w:t>,</w:t>
      </w:r>
      <w:r w:rsidRPr="00394F88">
        <w:rPr>
          <w:color w:val="000000" w:themeColor="text1"/>
          <w:szCs w:val="20"/>
        </w:rPr>
        <w:t xml:space="preserve"> que respaldaba la autorización de comercialización del medicamento en la UE.</w:t>
      </w:r>
    </w:p>
    <w:p w14:paraId="7D7CEF30" w14:textId="77777777" w:rsidR="002334B2" w:rsidRPr="00394F88" w:rsidRDefault="002334B2" w:rsidP="002334B2">
      <w:pPr>
        <w:pStyle w:val="NormalWeb"/>
        <w:shd w:val="clear" w:color="auto" w:fill="FFFFFF"/>
        <w:rPr>
          <w:color w:val="000000" w:themeColor="text1"/>
          <w:szCs w:val="20"/>
        </w:rPr>
      </w:pPr>
    </w:p>
    <w:p w14:paraId="3CF0FDE6" w14:textId="77777777" w:rsidR="002334B2" w:rsidRPr="00394F88" w:rsidRDefault="002334B2" w:rsidP="002334B2">
      <w:pPr>
        <w:pStyle w:val="NormalWeb"/>
        <w:shd w:val="clear" w:color="auto" w:fill="FFFFFF"/>
        <w:rPr>
          <w:color w:val="000000" w:themeColor="text1"/>
          <w:szCs w:val="20"/>
        </w:rPr>
      </w:pPr>
      <w:r w:rsidRPr="00394F88">
        <w:rPr>
          <w:color w:val="000000" w:themeColor="text1"/>
          <w:szCs w:val="20"/>
        </w:rPr>
        <w:t xml:space="preserve">En el estudio </w:t>
      </w:r>
      <w:proofErr w:type="spellStart"/>
      <w:r w:rsidRPr="00394F88">
        <w:rPr>
          <w:color w:val="000000" w:themeColor="text1"/>
          <w:szCs w:val="20"/>
        </w:rPr>
        <w:t>Advocate</w:t>
      </w:r>
      <w:proofErr w:type="spellEnd"/>
      <w:r w:rsidRPr="00394F88">
        <w:rPr>
          <w:color w:val="000000" w:themeColor="text1"/>
          <w:szCs w:val="20"/>
        </w:rPr>
        <w:t xml:space="preserve">, que incluyó a 331 pacientes con GPA o MPA, se comparó un tratamiento de 52 semanas con </w:t>
      </w:r>
      <w:proofErr w:type="spellStart"/>
      <w:r w:rsidRPr="00394F88">
        <w:rPr>
          <w:color w:val="000000" w:themeColor="text1"/>
          <w:szCs w:val="20"/>
        </w:rPr>
        <w:t>Tavneos</w:t>
      </w:r>
      <w:proofErr w:type="spellEnd"/>
      <w:r w:rsidRPr="00394F88">
        <w:rPr>
          <w:color w:val="000000" w:themeColor="text1"/>
          <w:szCs w:val="20"/>
        </w:rPr>
        <w:t xml:space="preserve"> con placebo (un tratamiento simulado) junto con un tratamiento de 20 semanas con corticosteroides (medicamentos utilizados para tratar enfermedades inflamatorias), ambos además del tratamiento estándar (</w:t>
      </w:r>
      <w:proofErr w:type="spellStart"/>
      <w:r w:rsidRPr="00E34E9B">
        <w:rPr>
          <w:i/>
          <w:iCs/>
          <w:color w:val="000000" w:themeColor="text1"/>
          <w:szCs w:val="20"/>
        </w:rPr>
        <w:t>rituximab</w:t>
      </w:r>
      <w:proofErr w:type="spellEnd"/>
      <w:r w:rsidRPr="00394F88">
        <w:rPr>
          <w:color w:val="000000" w:themeColor="text1"/>
          <w:szCs w:val="20"/>
        </w:rPr>
        <w:t xml:space="preserve"> o un régimen que consistía en </w:t>
      </w:r>
      <w:r w:rsidRPr="00E34E9B">
        <w:rPr>
          <w:i/>
          <w:iCs/>
          <w:color w:val="000000" w:themeColor="text1"/>
          <w:szCs w:val="20"/>
        </w:rPr>
        <w:t>ciclofosfamida</w:t>
      </w:r>
      <w:r w:rsidRPr="00394F88">
        <w:rPr>
          <w:color w:val="000000" w:themeColor="text1"/>
          <w:szCs w:val="20"/>
        </w:rPr>
        <w:t xml:space="preserve"> seguida de </w:t>
      </w:r>
      <w:r w:rsidRPr="00394F88">
        <w:rPr>
          <w:i/>
          <w:iCs/>
          <w:color w:val="000000" w:themeColor="text1"/>
          <w:szCs w:val="20"/>
        </w:rPr>
        <w:t>azatioprina</w:t>
      </w:r>
      <w:r w:rsidRPr="00394F88">
        <w:rPr>
          <w:color w:val="000000" w:themeColor="text1"/>
          <w:szCs w:val="20"/>
        </w:rPr>
        <w:t>).</w:t>
      </w:r>
    </w:p>
    <w:p w14:paraId="044924F8" w14:textId="77777777" w:rsidR="002334B2" w:rsidRDefault="002334B2" w:rsidP="002334B2">
      <w:pPr>
        <w:pStyle w:val="NormalWeb"/>
        <w:shd w:val="clear" w:color="auto" w:fill="FFFFFF"/>
        <w:rPr>
          <w:rFonts w:eastAsia="Times New Roman"/>
          <w:color w:val="000000" w:themeColor="text1"/>
          <w:kern w:val="0"/>
          <w:szCs w:val="20"/>
          <w:lang w:eastAsia="es-CO"/>
          <w14:ligatures w14:val="none"/>
        </w:rPr>
      </w:pPr>
    </w:p>
    <w:p w14:paraId="051BEB5B" w14:textId="77777777" w:rsidR="002334B2" w:rsidRPr="00E34E9B" w:rsidRDefault="002334B2" w:rsidP="002334B2">
      <w:pPr>
        <w:pStyle w:val="NormalWeb"/>
        <w:shd w:val="clear" w:color="auto" w:fill="FFFFFF"/>
        <w:rPr>
          <w:rFonts w:eastAsia="Times New Roman"/>
          <w:color w:val="000000" w:themeColor="text1"/>
          <w:kern w:val="0"/>
          <w:szCs w:val="20"/>
          <w:lang w:eastAsia="es-CO"/>
          <w14:ligatures w14:val="none"/>
        </w:rPr>
      </w:pPr>
      <w:r w:rsidRPr="00E34E9B">
        <w:rPr>
          <w:rFonts w:eastAsia="Times New Roman"/>
          <w:color w:val="000000" w:themeColor="text1"/>
          <w:kern w:val="0"/>
          <w:szCs w:val="20"/>
          <w:lang w:eastAsia="es-CO"/>
          <w14:ligatures w14:val="none"/>
        </w:rPr>
        <w:t xml:space="preserve">Con base en los datos de este estudio, </w:t>
      </w:r>
      <w:r>
        <w:rPr>
          <w:rFonts w:eastAsia="Times New Roman"/>
          <w:color w:val="000000" w:themeColor="text1"/>
          <w:kern w:val="0"/>
          <w:szCs w:val="20"/>
          <w:lang w:eastAsia="es-CO"/>
          <w14:ligatures w14:val="none"/>
        </w:rPr>
        <w:t xml:space="preserve">la EMA, </w:t>
      </w:r>
      <w:r w:rsidRPr="00E34E9B">
        <w:rPr>
          <w:rFonts w:eastAsia="Times New Roman"/>
          <w:color w:val="000000" w:themeColor="text1"/>
          <w:kern w:val="0"/>
          <w:szCs w:val="20"/>
          <w:lang w:eastAsia="es-CO"/>
          <w14:ligatures w14:val="none"/>
        </w:rPr>
        <w:t xml:space="preserve">al finalizar la evaluación de la solicitud de autorización de comercialización determinó que </w:t>
      </w:r>
      <w:proofErr w:type="spellStart"/>
      <w:r w:rsidRPr="00E34E9B">
        <w:rPr>
          <w:rFonts w:eastAsia="Times New Roman"/>
          <w:color w:val="000000" w:themeColor="text1"/>
          <w:kern w:val="0"/>
          <w:szCs w:val="20"/>
          <w:lang w:eastAsia="es-CO"/>
          <w14:ligatures w14:val="none"/>
        </w:rPr>
        <w:t>Tavneos</w:t>
      </w:r>
      <w:proofErr w:type="spellEnd"/>
      <w:r w:rsidRPr="00E34E9B">
        <w:rPr>
          <w:rFonts w:eastAsia="Times New Roman"/>
          <w:color w:val="000000" w:themeColor="text1"/>
          <w:kern w:val="0"/>
          <w:szCs w:val="20"/>
          <w:lang w:eastAsia="es-CO"/>
          <w14:ligatures w14:val="none"/>
        </w:rPr>
        <w:t xml:space="preserve"> era al menos tan eficaz como el tratamiento de 20 semanas con corticosteroides en dosis altas para inducir la remisión en pacientes con GPA o MPA, y que producía mejores tasas de remisión a largo plazo (52 semanas) que el comparador.</w:t>
      </w:r>
    </w:p>
    <w:p w14:paraId="1B20AA73" w14:textId="77777777" w:rsidR="002334B2" w:rsidRPr="00386945" w:rsidRDefault="002334B2" w:rsidP="002334B2">
      <w:pPr>
        <w:pStyle w:val="NormalWeb"/>
        <w:shd w:val="clear" w:color="auto" w:fill="FFFFFF"/>
        <w:rPr>
          <w:rFonts w:eastAsia="Times New Roman"/>
          <w:color w:val="FF0000"/>
          <w:kern w:val="0"/>
          <w:szCs w:val="20"/>
          <w:lang w:eastAsia="es-CO"/>
          <w14:ligatures w14:val="none"/>
        </w:rPr>
      </w:pPr>
    </w:p>
    <w:p w14:paraId="4F37AD95" w14:textId="62BA1091" w:rsidR="002334B2" w:rsidRDefault="002334B2" w:rsidP="002334B2">
      <w:pPr>
        <w:shd w:val="clear" w:color="auto" w:fill="FFFFFF"/>
        <w:rPr>
          <w:rFonts w:eastAsia="Times New Roman" w:cs="Times New Roman"/>
          <w:color w:val="000000" w:themeColor="text1"/>
          <w:kern w:val="0"/>
          <w:szCs w:val="20"/>
          <w:lang w:eastAsia="es-CO"/>
          <w14:ligatures w14:val="none"/>
        </w:rPr>
      </w:pPr>
      <w:r>
        <w:rPr>
          <w:rFonts w:eastAsia="Times New Roman" w:cs="Times New Roman"/>
          <w:color w:val="000000" w:themeColor="text1"/>
          <w:kern w:val="0"/>
          <w:szCs w:val="20"/>
          <w:lang w:eastAsia="es-CO"/>
          <w14:ligatures w14:val="none"/>
        </w:rPr>
        <w:t>Despué</w:t>
      </w:r>
      <w:r w:rsidRPr="00E34E9B">
        <w:rPr>
          <w:rFonts w:eastAsia="Times New Roman" w:cs="Times New Roman"/>
          <w:color w:val="000000" w:themeColor="text1"/>
          <w:kern w:val="0"/>
          <w:szCs w:val="20"/>
          <w:lang w:eastAsia="es-CO"/>
          <w14:ligatures w14:val="none"/>
        </w:rPr>
        <w:t>s</w:t>
      </w:r>
      <w:r>
        <w:rPr>
          <w:rFonts w:eastAsia="Times New Roman" w:cs="Times New Roman"/>
          <w:color w:val="000000" w:themeColor="text1"/>
          <w:kern w:val="0"/>
          <w:szCs w:val="20"/>
          <w:lang w:eastAsia="es-CO"/>
          <w14:ligatures w14:val="none"/>
        </w:rPr>
        <w:t xml:space="preserve"> de</w:t>
      </w:r>
      <w:r w:rsidRPr="00E34E9B">
        <w:rPr>
          <w:rFonts w:eastAsia="Times New Roman" w:cs="Times New Roman"/>
          <w:color w:val="000000" w:themeColor="text1"/>
          <w:kern w:val="0"/>
          <w:szCs w:val="20"/>
          <w:lang w:eastAsia="es-CO"/>
          <w14:ligatures w14:val="none"/>
        </w:rPr>
        <w:t xml:space="preserve"> revisar la totalidad de los datos disponibles </w:t>
      </w:r>
      <w:r>
        <w:rPr>
          <w:rFonts w:eastAsia="Times New Roman" w:cs="Times New Roman"/>
          <w:color w:val="000000" w:themeColor="text1"/>
          <w:kern w:val="0"/>
          <w:szCs w:val="20"/>
          <w:lang w:eastAsia="es-CO"/>
          <w14:ligatures w14:val="none"/>
        </w:rPr>
        <w:t xml:space="preserve">e </w:t>
      </w:r>
      <w:r w:rsidRPr="00E34E9B">
        <w:rPr>
          <w:rFonts w:eastAsia="Times New Roman" w:cs="Times New Roman"/>
          <w:color w:val="000000" w:themeColor="text1"/>
          <w:kern w:val="0"/>
          <w:szCs w:val="20"/>
          <w:lang w:eastAsia="es-CO"/>
          <w14:ligatures w14:val="none"/>
        </w:rPr>
        <w:t xml:space="preserve">información nueva sobre </w:t>
      </w:r>
      <w:r>
        <w:rPr>
          <w:rFonts w:eastAsia="Times New Roman" w:cs="Times New Roman"/>
          <w:color w:val="000000" w:themeColor="text1"/>
          <w:kern w:val="0"/>
          <w:szCs w:val="20"/>
          <w:lang w:eastAsia="es-CO"/>
          <w14:ligatures w14:val="none"/>
        </w:rPr>
        <w:t>cómo fueron</w:t>
      </w:r>
      <w:r w:rsidRPr="00E34E9B">
        <w:rPr>
          <w:rFonts w:eastAsia="Times New Roman" w:cs="Times New Roman"/>
          <w:color w:val="000000" w:themeColor="text1"/>
          <w:kern w:val="0"/>
          <w:szCs w:val="20"/>
          <w:lang w:eastAsia="es-CO"/>
          <w14:ligatures w14:val="none"/>
        </w:rPr>
        <w:t xml:space="preserve"> manej</w:t>
      </w:r>
      <w:r>
        <w:rPr>
          <w:rFonts w:eastAsia="Times New Roman" w:cs="Times New Roman"/>
          <w:color w:val="000000" w:themeColor="text1"/>
          <w:kern w:val="0"/>
          <w:szCs w:val="20"/>
          <w:lang w:eastAsia="es-CO"/>
          <w14:ligatures w14:val="none"/>
        </w:rPr>
        <w:t>ad</w:t>
      </w:r>
      <w:r w:rsidRPr="00E34E9B">
        <w:rPr>
          <w:rFonts w:eastAsia="Times New Roman" w:cs="Times New Roman"/>
          <w:color w:val="000000" w:themeColor="text1"/>
          <w:kern w:val="0"/>
          <w:szCs w:val="20"/>
          <w:lang w:eastAsia="es-CO"/>
          <w14:ligatures w14:val="none"/>
        </w:rPr>
        <w:t>o</w:t>
      </w:r>
      <w:r>
        <w:rPr>
          <w:rFonts w:eastAsia="Times New Roman" w:cs="Times New Roman"/>
          <w:color w:val="000000" w:themeColor="text1"/>
          <w:kern w:val="0"/>
          <w:szCs w:val="20"/>
          <w:lang w:eastAsia="es-CO"/>
          <w14:ligatures w14:val="none"/>
        </w:rPr>
        <w:t>s</w:t>
      </w:r>
      <w:r w:rsidRPr="00E34E9B">
        <w:rPr>
          <w:rFonts w:eastAsia="Times New Roman" w:cs="Times New Roman"/>
          <w:color w:val="000000" w:themeColor="text1"/>
          <w:kern w:val="0"/>
          <w:szCs w:val="20"/>
          <w:lang w:eastAsia="es-CO"/>
          <w14:ligatures w14:val="none"/>
        </w:rPr>
        <w:t xml:space="preserve"> los datos del estudio, el CHMP concluyó que el estudio </w:t>
      </w:r>
      <w:proofErr w:type="spellStart"/>
      <w:r w:rsidRPr="00E34E9B">
        <w:rPr>
          <w:rFonts w:eastAsia="Times New Roman" w:cs="Times New Roman"/>
          <w:color w:val="000000" w:themeColor="text1"/>
          <w:kern w:val="0"/>
          <w:szCs w:val="20"/>
          <w:lang w:eastAsia="es-CO"/>
          <w14:ligatures w14:val="none"/>
        </w:rPr>
        <w:t>Advocate</w:t>
      </w:r>
      <w:proofErr w:type="spellEnd"/>
      <w:r w:rsidRPr="00E34E9B">
        <w:rPr>
          <w:rFonts w:eastAsia="Times New Roman" w:cs="Times New Roman"/>
          <w:color w:val="000000" w:themeColor="text1"/>
          <w:kern w:val="0"/>
          <w:szCs w:val="20"/>
          <w:lang w:eastAsia="es-CO"/>
          <w14:ligatures w14:val="none"/>
        </w:rPr>
        <w:t xml:space="preserve"> se realizó infringiendo los principios de buenas prácticas clínicas. Los datos del estudio </w:t>
      </w:r>
      <w:r>
        <w:rPr>
          <w:rFonts w:eastAsia="Times New Roman" w:cs="Times New Roman"/>
          <w:color w:val="000000" w:themeColor="text1"/>
          <w:kern w:val="0"/>
          <w:szCs w:val="20"/>
          <w:lang w:eastAsia="es-CO"/>
          <w14:ligatures w14:val="none"/>
        </w:rPr>
        <w:t xml:space="preserve">que se </w:t>
      </w:r>
      <w:r w:rsidRPr="00E34E9B">
        <w:rPr>
          <w:rFonts w:eastAsia="Times New Roman" w:cs="Times New Roman"/>
          <w:color w:val="000000" w:themeColor="text1"/>
          <w:kern w:val="0"/>
          <w:szCs w:val="20"/>
          <w:lang w:eastAsia="es-CO"/>
          <w14:ligatures w14:val="none"/>
        </w:rPr>
        <w:t>presenta</w:t>
      </w:r>
      <w:r>
        <w:rPr>
          <w:rFonts w:eastAsia="Times New Roman" w:cs="Times New Roman"/>
          <w:color w:val="000000" w:themeColor="text1"/>
          <w:kern w:val="0"/>
          <w:szCs w:val="20"/>
          <w:lang w:eastAsia="es-CO"/>
          <w14:ligatures w14:val="none"/>
        </w:rPr>
        <w:t>ron</w:t>
      </w:r>
      <w:r w:rsidRPr="00E34E9B">
        <w:rPr>
          <w:rFonts w:eastAsia="Times New Roman" w:cs="Times New Roman"/>
          <w:color w:val="000000" w:themeColor="text1"/>
          <w:kern w:val="0"/>
          <w:szCs w:val="20"/>
          <w:lang w:eastAsia="es-CO"/>
          <w14:ligatures w14:val="none"/>
        </w:rPr>
        <w:t xml:space="preserve"> durante la evaluación de la solicitud de autorización de comercialización resultaron ser </w:t>
      </w:r>
      <w:r w:rsidRPr="00E34E9B">
        <w:rPr>
          <w:rFonts w:eastAsia="Times New Roman" w:cs="Times New Roman"/>
          <w:color w:val="000000" w:themeColor="text1"/>
          <w:kern w:val="0"/>
          <w:szCs w:val="20"/>
          <w:lang w:eastAsia="es-CO"/>
          <w14:ligatures w14:val="none"/>
        </w:rPr>
        <w:t xml:space="preserve">incorrectos y engañosos, por lo que ya no se podía confiar en ellos para demostrar la eficacia de </w:t>
      </w:r>
      <w:proofErr w:type="spellStart"/>
      <w:r w:rsidRPr="00E34E9B">
        <w:rPr>
          <w:rFonts w:eastAsia="Times New Roman" w:cs="Times New Roman"/>
          <w:color w:val="000000" w:themeColor="text1"/>
          <w:kern w:val="0"/>
          <w:szCs w:val="20"/>
          <w:lang w:eastAsia="es-CO"/>
          <w14:ligatures w14:val="none"/>
        </w:rPr>
        <w:t>Tavneos</w:t>
      </w:r>
      <w:proofErr w:type="spellEnd"/>
      <w:r w:rsidRPr="00E34E9B">
        <w:rPr>
          <w:rFonts w:eastAsia="Times New Roman" w:cs="Times New Roman"/>
          <w:color w:val="000000" w:themeColor="text1"/>
          <w:kern w:val="0"/>
          <w:szCs w:val="20"/>
          <w:lang w:eastAsia="es-CO"/>
          <w14:ligatures w14:val="none"/>
        </w:rPr>
        <w:t xml:space="preserve">. Los datos post comercialización y otros análisis </w:t>
      </w:r>
      <w:r w:rsidRPr="002334B2">
        <w:rPr>
          <w:rFonts w:eastAsia="Times New Roman" w:cs="Times New Roman"/>
          <w:i/>
          <w:color w:val="000000" w:themeColor="text1"/>
          <w:kern w:val="0"/>
          <w:szCs w:val="20"/>
          <w:lang w:eastAsia="es-CO"/>
          <w14:ligatures w14:val="none"/>
        </w:rPr>
        <w:t>post hoc</w:t>
      </w:r>
      <w:r w:rsidRPr="00E34E9B">
        <w:rPr>
          <w:rFonts w:eastAsia="Times New Roman" w:cs="Times New Roman"/>
          <w:color w:val="000000" w:themeColor="text1"/>
          <w:kern w:val="0"/>
          <w:szCs w:val="20"/>
          <w:lang w:eastAsia="es-CO"/>
          <w14:ligatures w14:val="none"/>
        </w:rPr>
        <w:t xml:space="preserve"> del estudio </w:t>
      </w:r>
      <w:proofErr w:type="spellStart"/>
      <w:r w:rsidRPr="00E34E9B">
        <w:rPr>
          <w:rFonts w:eastAsia="Times New Roman" w:cs="Times New Roman"/>
          <w:color w:val="000000" w:themeColor="text1"/>
          <w:kern w:val="0"/>
          <w:szCs w:val="20"/>
          <w:lang w:eastAsia="es-CO"/>
          <w14:ligatures w14:val="none"/>
        </w:rPr>
        <w:t>Advocate</w:t>
      </w:r>
      <w:proofErr w:type="spellEnd"/>
      <w:r w:rsidRPr="00E34E9B">
        <w:rPr>
          <w:rFonts w:eastAsia="Times New Roman" w:cs="Times New Roman"/>
          <w:color w:val="000000" w:themeColor="text1"/>
          <w:kern w:val="0"/>
          <w:szCs w:val="20"/>
          <w:lang w:eastAsia="es-CO"/>
          <w14:ligatures w14:val="none"/>
        </w:rPr>
        <w:t xml:space="preserve"> no se consideran suficientes para demostrar los beneficios del medicamento.</w:t>
      </w:r>
    </w:p>
    <w:p w14:paraId="260B02A0" w14:textId="77777777" w:rsidR="002334B2" w:rsidRDefault="002334B2" w:rsidP="002334B2">
      <w:pPr>
        <w:shd w:val="clear" w:color="auto" w:fill="FFFFFF"/>
        <w:rPr>
          <w:rFonts w:eastAsia="Times New Roman" w:cs="Times New Roman"/>
          <w:color w:val="000000" w:themeColor="text1"/>
          <w:kern w:val="0"/>
          <w:szCs w:val="20"/>
          <w:lang w:eastAsia="es-CO"/>
          <w14:ligatures w14:val="none"/>
        </w:rPr>
      </w:pPr>
    </w:p>
    <w:p w14:paraId="0F707145" w14:textId="77777777" w:rsidR="002334B2" w:rsidRDefault="002334B2" w:rsidP="002334B2">
      <w:pPr>
        <w:shd w:val="clear" w:color="auto" w:fill="FFFFFF"/>
        <w:rPr>
          <w:rFonts w:eastAsia="Times New Roman" w:cs="Times New Roman"/>
          <w:kern w:val="0"/>
          <w:szCs w:val="20"/>
          <w:lang w:eastAsia="es-CO"/>
          <w14:ligatures w14:val="none"/>
        </w:rPr>
      </w:pPr>
      <w:r w:rsidRPr="00E34E9B">
        <w:rPr>
          <w:rFonts w:eastAsia="Times New Roman" w:cs="Times New Roman"/>
          <w:kern w:val="0"/>
          <w:szCs w:val="20"/>
          <w:lang w:eastAsia="es-CO"/>
          <w14:ligatures w14:val="none"/>
        </w:rPr>
        <w:t xml:space="preserve">Por consiguiente, el comité ha recomendado la revocación de la autorización de comercialización del medicamento en la UE. Para llegar a esta conclusión, el comité también tuvo en cuenta las opiniones de los representantes de pacientes y profesionales </w:t>
      </w:r>
      <w:r>
        <w:rPr>
          <w:rFonts w:eastAsia="Times New Roman" w:cs="Times New Roman"/>
          <w:kern w:val="0"/>
          <w:szCs w:val="20"/>
          <w:lang w:eastAsia="es-CO"/>
          <w14:ligatures w14:val="none"/>
        </w:rPr>
        <w:t xml:space="preserve">de la </w:t>
      </w:r>
      <w:r w:rsidRPr="00E34E9B">
        <w:rPr>
          <w:rFonts w:eastAsia="Times New Roman" w:cs="Times New Roman"/>
          <w:kern w:val="0"/>
          <w:szCs w:val="20"/>
          <w:lang w:eastAsia="es-CO"/>
          <w14:ligatures w14:val="none"/>
        </w:rPr>
        <w:t>s</w:t>
      </w:r>
      <w:r>
        <w:rPr>
          <w:rFonts w:eastAsia="Times New Roman" w:cs="Times New Roman"/>
          <w:kern w:val="0"/>
          <w:szCs w:val="20"/>
          <w:lang w:eastAsia="es-CO"/>
          <w14:ligatures w14:val="none"/>
        </w:rPr>
        <w:t>alud</w:t>
      </w:r>
      <w:r w:rsidRPr="00E34E9B">
        <w:rPr>
          <w:rFonts w:eastAsia="Times New Roman" w:cs="Times New Roman"/>
          <w:kern w:val="0"/>
          <w:szCs w:val="20"/>
          <w:lang w:eastAsia="es-CO"/>
          <w14:ligatures w14:val="none"/>
        </w:rPr>
        <w:t xml:space="preserve">, así como las </w:t>
      </w:r>
      <w:r>
        <w:rPr>
          <w:rFonts w:eastAsia="Times New Roman" w:cs="Times New Roman"/>
          <w:kern w:val="0"/>
          <w:szCs w:val="20"/>
          <w:lang w:eastAsia="es-CO"/>
          <w14:ligatures w14:val="none"/>
        </w:rPr>
        <w:t>interven</w:t>
      </w:r>
      <w:r w:rsidRPr="00E34E9B">
        <w:rPr>
          <w:rFonts w:eastAsia="Times New Roman" w:cs="Times New Roman"/>
          <w:kern w:val="0"/>
          <w:szCs w:val="20"/>
          <w:lang w:eastAsia="es-CO"/>
          <w14:ligatures w14:val="none"/>
        </w:rPr>
        <w:t xml:space="preserve">ciones </w:t>
      </w:r>
      <w:r>
        <w:rPr>
          <w:rFonts w:eastAsia="Times New Roman" w:cs="Times New Roman"/>
          <w:kern w:val="0"/>
          <w:szCs w:val="20"/>
          <w:lang w:eastAsia="es-CO"/>
          <w14:ligatures w14:val="none"/>
        </w:rPr>
        <w:t xml:space="preserve">recibidas </w:t>
      </w:r>
      <w:r w:rsidRPr="00E34E9B">
        <w:rPr>
          <w:rFonts w:eastAsia="Times New Roman" w:cs="Times New Roman"/>
          <w:kern w:val="0"/>
          <w:szCs w:val="20"/>
          <w:lang w:eastAsia="es-CO"/>
          <w14:ligatures w14:val="none"/>
        </w:rPr>
        <w:t xml:space="preserve">de terceros. Si la Comisión Europea confirma esta recomendación, </w:t>
      </w:r>
      <w:proofErr w:type="spellStart"/>
      <w:r w:rsidRPr="00E34E9B">
        <w:rPr>
          <w:rFonts w:eastAsia="Times New Roman" w:cs="Times New Roman"/>
          <w:kern w:val="0"/>
          <w:szCs w:val="20"/>
          <w:lang w:eastAsia="es-CO"/>
          <w14:ligatures w14:val="none"/>
        </w:rPr>
        <w:t>Tavneos</w:t>
      </w:r>
      <w:proofErr w:type="spellEnd"/>
      <w:r w:rsidRPr="00E34E9B">
        <w:rPr>
          <w:rFonts w:eastAsia="Times New Roman" w:cs="Times New Roman"/>
          <w:kern w:val="0"/>
          <w:szCs w:val="20"/>
          <w:lang w:eastAsia="es-CO"/>
          <w14:ligatures w14:val="none"/>
        </w:rPr>
        <w:t xml:space="preserve"> dejará de estar autorizado en la UE.</w:t>
      </w:r>
    </w:p>
    <w:p w14:paraId="67B61FEF" w14:textId="77777777" w:rsidR="002334B2" w:rsidRPr="00386945" w:rsidRDefault="002334B2" w:rsidP="002334B2">
      <w:pPr>
        <w:shd w:val="clear" w:color="auto" w:fill="FFFFFF"/>
        <w:rPr>
          <w:rFonts w:eastAsia="Times New Roman" w:cs="Times New Roman"/>
          <w:kern w:val="0"/>
          <w:szCs w:val="20"/>
          <w:lang w:eastAsia="es-CO"/>
          <w14:ligatures w14:val="none"/>
        </w:rPr>
      </w:pPr>
    </w:p>
    <w:p w14:paraId="50F3F2AF" w14:textId="77777777" w:rsidR="002334B2" w:rsidRDefault="002334B2" w:rsidP="002334B2">
      <w:pPr>
        <w:pStyle w:val="NormalWeb"/>
        <w:shd w:val="clear" w:color="auto" w:fill="FFFFFF"/>
        <w:rPr>
          <w:szCs w:val="20"/>
        </w:rPr>
      </w:pPr>
      <w:r w:rsidRPr="00E34E9B">
        <w:rPr>
          <w:szCs w:val="20"/>
        </w:rPr>
        <w:t xml:space="preserve">El CHMP recomienda que ningún paciente nuevo inicie el tratamiento con </w:t>
      </w:r>
      <w:proofErr w:type="spellStart"/>
      <w:r w:rsidRPr="00E34E9B">
        <w:rPr>
          <w:szCs w:val="20"/>
        </w:rPr>
        <w:t>Tavneos</w:t>
      </w:r>
      <w:proofErr w:type="spellEnd"/>
      <w:r w:rsidRPr="00E34E9B">
        <w:rPr>
          <w:szCs w:val="20"/>
        </w:rPr>
        <w:t xml:space="preserve"> y que los pacientes que lo estén </w:t>
      </w:r>
      <w:r>
        <w:rPr>
          <w:szCs w:val="20"/>
        </w:rPr>
        <w:t>tom</w:t>
      </w:r>
      <w:r w:rsidRPr="00E34E9B">
        <w:rPr>
          <w:szCs w:val="20"/>
        </w:rPr>
        <w:t xml:space="preserve">ando cambien a alternativas adecuadas. </w:t>
      </w:r>
    </w:p>
    <w:p w14:paraId="39B1FBC4" w14:textId="77777777" w:rsidR="002334B2" w:rsidRPr="00FC32F9" w:rsidRDefault="002334B2" w:rsidP="002334B2">
      <w:pPr>
        <w:pStyle w:val="NormalWeb"/>
        <w:shd w:val="clear" w:color="auto" w:fill="FFFFFF"/>
        <w:rPr>
          <w:szCs w:val="20"/>
        </w:rPr>
      </w:pPr>
    </w:p>
    <w:p w14:paraId="7C146005" w14:textId="77777777" w:rsidR="002334B2" w:rsidRPr="00E34E9B" w:rsidRDefault="002334B2" w:rsidP="002334B2">
      <w:pPr>
        <w:pStyle w:val="NormalWeb"/>
        <w:shd w:val="clear" w:color="auto" w:fill="FFFFFF"/>
        <w:rPr>
          <w:szCs w:val="20"/>
        </w:rPr>
      </w:pPr>
      <w:r w:rsidRPr="00E34E9B">
        <w:rPr>
          <w:szCs w:val="20"/>
        </w:rPr>
        <w:t xml:space="preserve">Dado que </w:t>
      </w:r>
      <w:proofErr w:type="spellStart"/>
      <w:r w:rsidRPr="00E34E9B">
        <w:rPr>
          <w:szCs w:val="20"/>
        </w:rPr>
        <w:t>Tavneos</w:t>
      </w:r>
      <w:proofErr w:type="spellEnd"/>
      <w:r w:rsidRPr="00E34E9B">
        <w:rPr>
          <w:szCs w:val="20"/>
        </w:rPr>
        <w:t xml:space="preserve"> se asocia con un mayor riesgo de daño hepático inducido por fármacos y síndrome de desaparición de los conductos biliares (una afección poco frecuente en la qu</w:t>
      </w:r>
      <w:r>
        <w:rPr>
          <w:szCs w:val="20"/>
        </w:rPr>
        <w:t>e</w:t>
      </w:r>
      <w:r w:rsidRPr="00E34E9B">
        <w:rPr>
          <w:szCs w:val="20"/>
        </w:rPr>
        <w:t xml:space="preserve"> pequeños conductos biliares h</w:t>
      </w:r>
      <w:r>
        <w:rPr>
          <w:szCs w:val="20"/>
        </w:rPr>
        <w:t>epáticos</w:t>
      </w:r>
      <w:r w:rsidRPr="00E34E9B">
        <w:rPr>
          <w:szCs w:val="20"/>
        </w:rPr>
        <w:t xml:space="preserve"> se dañan gradualmente y desaparecen con el tiempo), incluyendo casos con desenlace fatal, la función hepática de los pacientes tratados con </w:t>
      </w:r>
      <w:proofErr w:type="spellStart"/>
      <w:r w:rsidRPr="00E34E9B">
        <w:rPr>
          <w:szCs w:val="20"/>
        </w:rPr>
        <w:t>Tavneos</w:t>
      </w:r>
      <w:proofErr w:type="spellEnd"/>
      <w:r w:rsidRPr="00E34E9B">
        <w:rPr>
          <w:szCs w:val="20"/>
        </w:rPr>
        <w:t xml:space="preserve"> debe controlarse rigurosamente hasta la interrupción definitiva del tratamiento.</w:t>
      </w:r>
    </w:p>
    <w:p w14:paraId="34B4AD82" w14:textId="77777777" w:rsidR="002334B2" w:rsidRDefault="002334B2" w:rsidP="002334B2">
      <w:pPr>
        <w:pStyle w:val="NormalWeb"/>
        <w:shd w:val="clear" w:color="auto" w:fill="FFFFFF"/>
        <w:rPr>
          <w:color w:val="FF0000"/>
          <w:szCs w:val="20"/>
        </w:rPr>
      </w:pPr>
    </w:p>
    <w:p w14:paraId="12711A4A" w14:textId="77777777" w:rsidR="002334B2" w:rsidRPr="00E34E9B" w:rsidRDefault="002334B2" w:rsidP="002334B2">
      <w:pPr>
        <w:pStyle w:val="NormalWeb"/>
        <w:shd w:val="clear" w:color="auto" w:fill="FFFFFF"/>
        <w:rPr>
          <w:szCs w:val="20"/>
        </w:rPr>
      </w:pPr>
      <w:r>
        <w:rPr>
          <w:szCs w:val="20"/>
        </w:rPr>
        <w:t xml:space="preserve">En los </w:t>
      </w:r>
      <w:r w:rsidRPr="00E34E9B">
        <w:rPr>
          <w:szCs w:val="20"/>
        </w:rPr>
        <w:t xml:space="preserve">pacientes tratados con </w:t>
      </w:r>
      <w:proofErr w:type="spellStart"/>
      <w:r w:rsidRPr="00E34E9B">
        <w:rPr>
          <w:szCs w:val="20"/>
        </w:rPr>
        <w:t>Tavneos</w:t>
      </w:r>
      <w:proofErr w:type="spellEnd"/>
      <w:r w:rsidRPr="00E34E9B">
        <w:rPr>
          <w:szCs w:val="20"/>
        </w:rPr>
        <w:t xml:space="preserve"> durante menos de tres meses antes de suspender el tratamiento, </w:t>
      </w:r>
      <w:r>
        <w:rPr>
          <w:szCs w:val="20"/>
        </w:rPr>
        <w:t>se debe controlar la función hepática</w:t>
      </w:r>
      <w:r w:rsidRPr="00E34E9B">
        <w:rPr>
          <w:szCs w:val="20"/>
        </w:rPr>
        <w:t xml:space="preserve"> al menos cada dos semanas hasta que hayan transcurrido tres meses desde el inicio del tratamiento. </w:t>
      </w:r>
      <w:r>
        <w:rPr>
          <w:szCs w:val="20"/>
        </w:rPr>
        <w:t>Si los</w:t>
      </w:r>
      <w:r w:rsidRPr="00E34E9B">
        <w:rPr>
          <w:szCs w:val="20"/>
        </w:rPr>
        <w:t xml:space="preserve"> pacientes recibieron </w:t>
      </w:r>
      <w:proofErr w:type="spellStart"/>
      <w:r w:rsidRPr="00E34E9B">
        <w:rPr>
          <w:szCs w:val="20"/>
        </w:rPr>
        <w:t>Tavneos</w:t>
      </w:r>
      <w:proofErr w:type="spellEnd"/>
      <w:r w:rsidRPr="00E34E9B">
        <w:rPr>
          <w:szCs w:val="20"/>
        </w:rPr>
        <w:t xml:space="preserve"> durante más de tres meses, la función hepática </w:t>
      </w:r>
      <w:r>
        <w:rPr>
          <w:szCs w:val="20"/>
        </w:rPr>
        <w:t xml:space="preserve">se </w:t>
      </w:r>
      <w:r w:rsidRPr="00E34E9B">
        <w:rPr>
          <w:szCs w:val="20"/>
        </w:rPr>
        <w:t xml:space="preserve">debe controlar cada cuatro semanas durante un máximo de seis meses y, posteriormente, según se considere necesario. Si se sospecha síndrome de desaparición de los conductos biliares, se debe suspender inmediatamente el tratamiento con </w:t>
      </w:r>
      <w:proofErr w:type="spellStart"/>
      <w:r w:rsidRPr="00E34E9B">
        <w:rPr>
          <w:szCs w:val="20"/>
        </w:rPr>
        <w:t>Tavneos</w:t>
      </w:r>
      <w:proofErr w:type="spellEnd"/>
      <w:r w:rsidRPr="00E34E9B">
        <w:rPr>
          <w:szCs w:val="20"/>
        </w:rPr>
        <w:t>.</w:t>
      </w:r>
    </w:p>
    <w:p w14:paraId="180A35FE" w14:textId="77777777" w:rsidR="002334B2" w:rsidRPr="00386945" w:rsidRDefault="002334B2" w:rsidP="002334B2">
      <w:pPr>
        <w:rPr>
          <w:rFonts w:cs="Times New Roman"/>
          <w:color w:val="FF0000"/>
          <w:szCs w:val="20"/>
        </w:rPr>
      </w:pPr>
    </w:p>
    <w:p w14:paraId="5AC61216" w14:textId="77777777" w:rsidR="002334B2" w:rsidRPr="0097070E" w:rsidRDefault="002334B2" w:rsidP="002334B2">
      <w:pPr>
        <w:shd w:val="clear" w:color="auto" w:fill="FFFFFF"/>
        <w:rPr>
          <w:rFonts w:cs="Times New Roman"/>
          <w:b/>
          <w:bCs/>
          <w:szCs w:val="20"/>
        </w:rPr>
      </w:pPr>
      <w:r w:rsidRPr="0097070E">
        <w:rPr>
          <w:rFonts w:cs="Times New Roman"/>
          <w:b/>
          <w:bCs/>
          <w:szCs w:val="20"/>
        </w:rPr>
        <w:t>Información para pacientes</w:t>
      </w:r>
    </w:p>
    <w:p w14:paraId="7BB0B466" w14:textId="77777777" w:rsidR="002334B2" w:rsidRDefault="002334B2" w:rsidP="002334B2">
      <w:pPr>
        <w:pStyle w:val="Prrafodelista"/>
        <w:numPr>
          <w:ilvl w:val="0"/>
          <w:numId w:val="5"/>
        </w:numPr>
        <w:shd w:val="clear" w:color="auto" w:fill="FFFFFF"/>
        <w:tabs>
          <w:tab w:val="clear" w:pos="720"/>
          <w:tab w:val="num" w:pos="540"/>
        </w:tabs>
        <w:spacing w:after="100" w:afterAutospacing="1"/>
        <w:ind w:left="180" w:hanging="180"/>
        <w:rPr>
          <w:rFonts w:cs="Times New Roman"/>
          <w:szCs w:val="20"/>
        </w:rPr>
      </w:pPr>
      <w:r w:rsidRPr="0097070E">
        <w:rPr>
          <w:rFonts w:cs="Times New Roman"/>
          <w:szCs w:val="20"/>
        </w:rPr>
        <w:t xml:space="preserve">Una revisión reciente ha concluido que los datos utilizados para respaldar la autorización de </w:t>
      </w:r>
      <w:proofErr w:type="spellStart"/>
      <w:r w:rsidRPr="0097070E">
        <w:rPr>
          <w:rFonts w:cs="Times New Roman"/>
          <w:szCs w:val="20"/>
        </w:rPr>
        <w:t>Tavneos</w:t>
      </w:r>
      <w:proofErr w:type="spellEnd"/>
      <w:r w:rsidRPr="0097070E">
        <w:rPr>
          <w:rFonts w:cs="Times New Roman"/>
          <w:szCs w:val="20"/>
        </w:rPr>
        <w:t xml:space="preserve"> no son suficientes para demostrar la eficacia del medicamento.</w:t>
      </w:r>
    </w:p>
    <w:p w14:paraId="4505A829" w14:textId="77777777" w:rsidR="002334B2" w:rsidRPr="0097070E" w:rsidRDefault="002334B2" w:rsidP="002334B2">
      <w:pPr>
        <w:pStyle w:val="Prrafodelista"/>
        <w:shd w:val="clear" w:color="auto" w:fill="FFFFFF"/>
        <w:tabs>
          <w:tab w:val="num" w:pos="540"/>
        </w:tabs>
        <w:spacing w:before="100" w:beforeAutospacing="1" w:after="100" w:afterAutospacing="1"/>
        <w:ind w:left="180" w:hanging="180"/>
        <w:rPr>
          <w:rFonts w:cs="Times New Roman"/>
          <w:szCs w:val="20"/>
        </w:rPr>
      </w:pPr>
    </w:p>
    <w:p w14:paraId="05111785" w14:textId="77777777" w:rsidR="002334B2" w:rsidRPr="00110F8B" w:rsidRDefault="002334B2" w:rsidP="002334B2">
      <w:pPr>
        <w:pStyle w:val="Prrafodelista"/>
        <w:numPr>
          <w:ilvl w:val="0"/>
          <w:numId w:val="5"/>
        </w:numPr>
        <w:shd w:val="clear" w:color="auto" w:fill="FFFFFF"/>
        <w:tabs>
          <w:tab w:val="clear" w:pos="720"/>
          <w:tab w:val="num" w:pos="540"/>
        </w:tabs>
        <w:spacing w:before="100" w:beforeAutospacing="1" w:after="100" w:afterAutospacing="1"/>
        <w:ind w:left="180" w:hanging="180"/>
        <w:rPr>
          <w:rFonts w:cs="Times New Roman"/>
          <w:szCs w:val="20"/>
        </w:rPr>
      </w:pPr>
      <w:r w:rsidRPr="0097070E">
        <w:rPr>
          <w:rFonts w:cs="Times New Roman"/>
          <w:szCs w:val="20"/>
        </w:rPr>
        <w:t xml:space="preserve">Por lo tanto, la EMA ha recomendado que </w:t>
      </w:r>
      <w:r>
        <w:rPr>
          <w:rFonts w:cs="Times New Roman"/>
          <w:szCs w:val="20"/>
        </w:rPr>
        <w:t xml:space="preserve">se deje de comercializar </w:t>
      </w:r>
      <w:proofErr w:type="spellStart"/>
      <w:r w:rsidRPr="0097070E">
        <w:rPr>
          <w:rFonts w:cs="Times New Roman"/>
          <w:szCs w:val="20"/>
        </w:rPr>
        <w:t>Tavneos</w:t>
      </w:r>
      <w:proofErr w:type="spellEnd"/>
      <w:r w:rsidRPr="0097070E">
        <w:rPr>
          <w:rFonts w:cs="Times New Roman"/>
          <w:szCs w:val="20"/>
        </w:rPr>
        <w:t xml:space="preserve"> en la Unión Europea, porque sus beneficios ya no superan sus riesgos. Si la Comisión Europea </w:t>
      </w:r>
      <w:r w:rsidRPr="0097070E">
        <w:rPr>
          <w:rFonts w:cs="Times New Roman"/>
          <w:szCs w:val="20"/>
        </w:rPr>
        <w:lastRenderedPageBreak/>
        <w:t xml:space="preserve">confirma esta recomendación, </w:t>
      </w:r>
      <w:proofErr w:type="spellStart"/>
      <w:r w:rsidRPr="0097070E">
        <w:rPr>
          <w:rFonts w:cs="Times New Roman"/>
          <w:szCs w:val="20"/>
        </w:rPr>
        <w:t>Tavneos</w:t>
      </w:r>
      <w:proofErr w:type="spellEnd"/>
      <w:r w:rsidRPr="0097070E">
        <w:rPr>
          <w:rFonts w:cs="Times New Roman"/>
          <w:szCs w:val="20"/>
        </w:rPr>
        <w:t xml:space="preserve"> dejará de estar autorizado en la UE.</w:t>
      </w:r>
    </w:p>
    <w:p w14:paraId="7BC00EFF" w14:textId="77777777" w:rsidR="002334B2" w:rsidRDefault="002334B2" w:rsidP="002334B2">
      <w:pPr>
        <w:pStyle w:val="Prrafodelista"/>
        <w:shd w:val="clear" w:color="auto" w:fill="FFFFFF"/>
        <w:tabs>
          <w:tab w:val="num" w:pos="540"/>
        </w:tabs>
        <w:spacing w:before="100" w:beforeAutospacing="1" w:after="100" w:afterAutospacing="1"/>
        <w:ind w:left="180" w:hanging="180"/>
        <w:rPr>
          <w:rFonts w:cs="Times New Roman"/>
          <w:szCs w:val="20"/>
        </w:rPr>
      </w:pPr>
    </w:p>
    <w:p w14:paraId="120C49FF" w14:textId="77777777" w:rsidR="002334B2" w:rsidRPr="00525953" w:rsidRDefault="002334B2" w:rsidP="002334B2">
      <w:pPr>
        <w:pStyle w:val="Prrafodelista"/>
        <w:numPr>
          <w:ilvl w:val="0"/>
          <w:numId w:val="5"/>
        </w:numPr>
        <w:shd w:val="clear" w:color="auto" w:fill="FFFFFF"/>
        <w:tabs>
          <w:tab w:val="clear" w:pos="720"/>
          <w:tab w:val="num" w:pos="540"/>
        </w:tabs>
        <w:spacing w:before="100" w:beforeAutospacing="1" w:after="100" w:afterAutospacing="1"/>
        <w:ind w:left="180" w:hanging="180"/>
        <w:rPr>
          <w:rFonts w:cs="Times New Roman"/>
          <w:szCs w:val="20"/>
        </w:rPr>
      </w:pPr>
      <w:r w:rsidRPr="0097070E">
        <w:rPr>
          <w:rFonts w:cs="Times New Roman"/>
          <w:szCs w:val="20"/>
        </w:rPr>
        <w:t xml:space="preserve">Ningún paciente nuevo debe iniciar tratamiento con </w:t>
      </w:r>
      <w:proofErr w:type="spellStart"/>
      <w:r w:rsidRPr="0097070E">
        <w:rPr>
          <w:rFonts w:cs="Times New Roman"/>
          <w:szCs w:val="20"/>
        </w:rPr>
        <w:t>Tavneos</w:t>
      </w:r>
      <w:proofErr w:type="spellEnd"/>
      <w:r w:rsidRPr="0097070E">
        <w:rPr>
          <w:rFonts w:cs="Times New Roman"/>
          <w:szCs w:val="20"/>
        </w:rPr>
        <w:t xml:space="preserve">. Si está tomando </w:t>
      </w:r>
      <w:proofErr w:type="spellStart"/>
      <w:r w:rsidRPr="0097070E">
        <w:rPr>
          <w:rFonts w:cs="Times New Roman"/>
          <w:szCs w:val="20"/>
        </w:rPr>
        <w:t>Tavneos</w:t>
      </w:r>
      <w:proofErr w:type="spellEnd"/>
      <w:r w:rsidRPr="0097070E">
        <w:rPr>
          <w:rFonts w:cs="Times New Roman"/>
          <w:szCs w:val="20"/>
        </w:rPr>
        <w:t>, su médico le informará sobre otras opciones de tratamiento.</w:t>
      </w:r>
    </w:p>
    <w:p w14:paraId="7C7F6AC3" w14:textId="77777777" w:rsidR="002334B2" w:rsidRDefault="002334B2" w:rsidP="002334B2">
      <w:pPr>
        <w:pStyle w:val="Prrafodelista"/>
        <w:shd w:val="clear" w:color="auto" w:fill="FFFFFF"/>
        <w:tabs>
          <w:tab w:val="num" w:pos="540"/>
        </w:tabs>
        <w:spacing w:before="100" w:beforeAutospacing="1" w:after="100" w:afterAutospacing="1"/>
        <w:ind w:left="180" w:hanging="180"/>
        <w:rPr>
          <w:rFonts w:cs="Times New Roman"/>
          <w:szCs w:val="20"/>
        </w:rPr>
      </w:pPr>
    </w:p>
    <w:p w14:paraId="3F2FC4B5" w14:textId="77777777" w:rsidR="002334B2" w:rsidRPr="0097070E" w:rsidRDefault="002334B2" w:rsidP="002334B2">
      <w:pPr>
        <w:pStyle w:val="Prrafodelista"/>
        <w:numPr>
          <w:ilvl w:val="0"/>
          <w:numId w:val="5"/>
        </w:numPr>
        <w:shd w:val="clear" w:color="auto" w:fill="FFFFFF"/>
        <w:tabs>
          <w:tab w:val="clear" w:pos="720"/>
          <w:tab w:val="num" w:pos="540"/>
        </w:tabs>
        <w:spacing w:before="100" w:beforeAutospacing="1" w:after="100" w:afterAutospacing="1"/>
        <w:ind w:left="180" w:hanging="180"/>
        <w:rPr>
          <w:rFonts w:cs="Times New Roman"/>
          <w:szCs w:val="20"/>
        </w:rPr>
      </w:pPr>
      <w:proofErr w:type="spellStart"/>
      <w:r w:rsidRPr="0097070E">
        <w:rPr>
          <w:rFonts w:cs="Times New Roman"/>
          <w:szCs w:val="20"/>
        </w:rPr>
        <w:t>Tavneos</w:t>
      </w:r>
      <w:proofErr w:type="spellEnd"/>
      <w:r w:rsidRPr="0097070E">
        <w:rPr>
          <w:rFonts w:cs="Times New Roman"/>
          <w:szCs w:val="20"/>
        </w:rPr>
        <w:t xml:space="preserve"> se asocia con un riesgo de problemas hepáticos graves (lesión hepática inducida por fármacos y síndrome de desaparición de los conductos biliares), incluyendo casos con desenlace fatal. Estos efectos secundarios ocurren principalmente durante los primeros tres meses de tratamiento con </w:t>
      </w:r>
      <w:proofErr w:type="spellStart"/>
      <w:r w:rsidRPr="0097070E">
        <w:rPr>
          <w:rFonts w:cs="Times New Roman"/>
          <w:szCs w:val="20"/>
        </w:rPr>
        <w:t>Tavneos</w:t>
      </w:r>
      <w:proofErr w:type="spellEnd"/>
      <w:r w:rsidRPr="0097070E">
        <w:rPr>
          <w:rFonts w:cs="Times New Roman"/>
          <w:szCs w:val="20"/>
        </w:rPr>
        <w:t>.</w:t>
      </w:r>
    </w:p>
    <w:p w14:paraId="269A35FD" w14:textId="77777777" w:rsidR="002334B2" w:rsidRDefault="002334B2" w:rsidP="002334B2">
      <w:pPr>
        <w:pStyle w:val="Prrafodelista"/>
        <w:shd w:val="clear" w:color="auto" w:fill="FFFFFF"/>
        <w:tabs>
          <w:tab w:val="num" w:pos="540"/>
        </w:tabs>
        <w:spacing w:before="100" w:beforeAutospacing="1" w:after="100" w:afterAutospacing="1"/>
        <w:ind w:left="180" w:hanging="180"/>
        <w:rPr>
          <w:rFonts w:cs="Times New Roman"/>
          <w:szCs w:val="20"/>
        </w:rPr>
      </w:pPr>
    </w:p>
    <w:p w14:paraId="0515E369" w14:textId="77777777" w:rsidR="002334B2" w:rsidRDefault="002334B2" w:rsidP="002334B2">
      <w:pPr>
        <w:pStyle w:val="Prrafodelista"/>
        <w:numPr>
          <w:ilvl w:val="0"/>
          <w:numId w:val="5"/>
        </w:numPr>
        <w:shd w:val="clear" w:color="auto" w:fill="FFFFFF"/>
        <w:tabs>
          <w:tab w:val="clear" w:pos="720"/>
          <w:tab w:val="num" w:pos="540"/>
        </w:tabs>
        <w:ind w:left="180" w:hanging="180"/>
        <w:rPr>
          <w:rFonts w:cs="Times New Roman"/>
          <w:szCs w:val="20"/>
        </w:rPr>
      </w:pPr>
      <w:r w:rsidRPr="0097070E">
        <w:rPr>
          <w:rFonts w:cs="Times New Roman"/>
          <w:szCs w:val="20"/>
        </w:rPr>
        <w:t xml:space="preserve">En pacientes tratados con </w:t>
      </w:r>
      <w:proofErr w:type="spellStart"/>
      <w:r w:rsidRPr="0097070E">
        <w:rPr>
          <w:rFonts w:cs="Times New Roman"/>
          <w:szCs w:val="20"/>
        </w:rPr>
        <w:t>Tavneos</w:t>
      </w:r>
      <w:proofErr w:type="spellEnd"/>
      <w:r w:rsidRPr="0097070E">
        <w:rPr>
          <w:rFonts w:cs="Times New Roman"/>
          <w:szCs w:val="20"/>
        </w:rPr>
        <w:t xml:space="preserve"> durante menos de tres meses, antes de suspender el tratamiento, se debe controlar la función hepática con las pruebas adecuadas al menos cada dos semanas hasta que hayan transcurrido tres meses desde el inicio del tratamiento.</w:t>
      </w:r>
    </w:p>
    <w:p w14:paraId="33C1E4F9" w14:textId="77777777" w:rsidR="002334B2" w:rsidRPr="00110F8B" w:rsidRDefault="002334B2" w:rsidP="002334B2">
      <w:pPr>
        <w:shd w:val="clear" w:color="auto" w:fill="FFFFFF"/>
        <w:tabs>
          <w:tab w:val="num" w:pos="540"/>
        </w:tabs>
        <w:ind w:left="180" w:hanging="180"/>
        <w:rPr>
          <w:rFonts w:cs="Times New Roman"/>
          <w:szCs w:val="20"/>
        </w:rPr>
      </w:pPr>
    </w:p>
    <w:p w14:paraId="3079F648" w14:textId="77777777" w:rsidR="002334B2" w:rsidRDefault="002334B2" w:rsidP="002334B2">
      <w:pPr>
        <w:numPr>
          <w:ilvl w:val="0"/>
          <w:numId w:val="6"/>
        </w:numPr>
        <w:shd w:val="clear" w:color="auto" w:fill="FFFFFF"/>
        <w:tabs>
          <w:tab w:val="clear" w:pos="720"/>
          <w:tab w:val="num" w:pos="540"/>
        </w:tabs>
        <w:ind w:left="180" w:hanging="180"/>
        <w:rPr>
          <w:rFonts w:cs="Times New Roman"/>
          <w:szCs w:val="20"/>
        </w:rPr>
      </w:pPr>
      <w:r w:rsidRPr="0097070E">
        <w:rPr>
          <w:rFonts w:cs="Times New Roman"/>
          <w:szCs w:val="20"/>
        </w:rPr>
        <w:t xml:space="preserve">Para los pacientes que recibieron </w:t>
      </w:r>
      <w:proofErr w:type="spellStart"/>
      <w:r w:rsidRPr="0097070E">
        <w:rPr>
          <w:rFonts w:cs="Times New Roman"/>
          <w:szCs w:val="20"/>
        </w:rPr>
        <w:t>Tavneos</w:t>
      </w:r>
      <w:proofErr w:type="spellEnd"/>
      <w:r w:rsidRPr="0097070E">
        <w:rPr>
          <w:rFonts w:cs="Times New Roman"/>
          <w:szCs w:val="20"/>
        </w:rPr>
        <w:t xml:space="preserve"> durante más de tres meses, se debe controlar la función hepática cada cuatro semanas durante un máximo de seis meses y, posteriormente, según lo considere necesario el médico tratante.</w:t>
      </w:r>
    </w:p>
    <w:p w14:paraId="51E9E91E" w14:textId="77777777" w:rsidR="002334B2" w:rsidRPr="00110F8B" w:rsidRDefault="002334B2" w:rsidP="002334B2">
      <w:pPr>
        <w:shd w:val="clear" w:color="auto" w:fill="FFFFFF"/>
        <w:tabs>
          <w:tab w:val="num" w:pos="540"/>
        </w:tabs>
        <w:ind w:left="180" w:hanging="180"/>
        <w:rPr>
          <w:rFonts w:cs="Times New Roman"/>
          <w:szCs w:val="20"/>
        </w:rPr>
      </w:pPr>
    </w:p>
    <w:p w14:paraId="15A1103F" w14:textId="77777777" w:rsidR="002334B2" w:rsidRPr="0097070E" w:rsidRDefault="002334B2" w:rsidP="002334B2">
      <w:pPr>
        <w:numPr>
          <w:ilvl w:val="0"/>
          <w:numId w:val="6"/>
        </w:numPr>
        <w:shd w:val="clear" w:color="auto" w:fill="FFFFFF"/>
        <w:tabs>
          <w:tab w:val="clear" w:pos="720"/>
          <w:tab w:val="num" w:pos="540"/>
        </w:tabs>
        <w:ind w:left="180" w:hanging="180"/>
        <w:rPr>
          <w:rFonts w:cs="Times New Roman"/>
          <w:szCs w:val="20"/>
        </w:rPr>
      </w:pPr>
      <w:r w:rsidRPr="0097070E">
        <w:rPr>
          <w:rFonts w:cs="Times New Roman"/>
          <w:szCs w:val="20"/>
        </w:rPr>
        <w:t xml:space="preserve">Si está tomando </w:t>
      </w:r>
      <w:proofErr w:type="spellStart"/>
      <w:r w:rsidRPr="0097070E">
        <w:rPr>
          <w:rFonts w:cs="Times New Roman"/>
          <w:szCs w:val="20"/>
        </w:rPr>
        <w:t>Tavneos</w:t>
      </w:r>
      <w:proofErr w:type="spellEnd"/>
      <w:r w:rsidRPr="0097070E">
        <w:rPr>
          <w:rFonts w:cs="Times New Roman"/>
          <w:szCs w:val="20"/>
        </w:rPr>
        <w:t xml:space="preserve"> y tiene alguna pregunta, consulte a su médico.</w:t>
      </w:r>
    </w:p>
    <w:p w14:paraId="5EF90D63" w14:textId="77777777" w:rsidR="002334B2" w:rsidRDefault="002334B2" w:rsidP="002334B2">
      <w:pPr>
        <w:pStyle w:val="NormalWeb"/>
        <w:shd w:val="clear" w:color="auto" w:fill="FFFFFF"/>
        <w:rPr>
          <w:b/>
          <w:bCs/>
          <w:szCs w:val="20"/>
        </w:rPr>
      </w:pPr>
    </w:p>
    <w:p w14:paraId="13837A44" w14:textId="77777777" w:rsidR="002334B2" w:rsidRPr="00CD40C7" w:rsidRDefault="002334B2" w:rsidP="002334B2">
      <w:pPr>
        <w:pStyle w:val="NormalWeb"/>
        <w:shd w:val="clear" w:color="auto" w:fill="FFFFFF"/>
        <w:rPr>
          <w:b/>
          <w:bCs/>
          <w:szCs w:val="20"/>
        </w:rPr>
      </w:pPr>
      <w:r w:rsidRPr="00CD40C7">
        <w:rPr>
          <w:b/>
          <w:bCs/>
          <w:szCs w:val="20"/>
        </w:rPr>
        <w:t xml:space="preserve">Información para </w:t>
      </w:r>
      <w:r>
        <w:rPr>
          <w:b/>
          <w:bCs/>
          <w:szCs w:val="20"/>
        </w:rPr>
        <w:t xml:space="preserve">los </w:t>
      </w:r>
      <w:r w:rsidRPr="00CD40C7">
        <w:rPr>
          <w:b/>
          <w:bCs/>
          <w:szCs w:val="20"/>
        </w:rPr>
        <w:t>profesionales</w:t>
      </w:r>
      <w:r>
        <w:rPr>
          <w:b/>
          <w:bCs/>
          <w:szCs w:val="20"/>
        </w:rPr>
        <w:t xml:space="preserve"> de la</w:t>
      </w:r>
      <w:r w:rsidRPr="00CD40C7">
        <w:rPr>
          <w:b/>
          <w:bCs/>
          <w:szCs w:val="20"/>
        </w:rPr>
        <w:t xml:space="preserve"> sa</w:t>
      </w:r>
      <w:r>
        <w:rPr>
          <w:b/>
          <w:bCs/>
          <w:szCs w:val="20"/>
        </w:rPr>
        <w:t>lud</w:t>
      </w:r>
    </w:p>
    <w:p w14:paraId="35F63A60" w14:textId="77777777" w:rsidR="002334B2" w:rsidRPr="0097070E" w:rsidRDefault="002334B2" w:rsidP="002334B2">
      <w:pPr>
        <w:pStyle w:val="NormalWeb"/>
        <w:numPr>
          <w:ilvl w:val="0"/>
          <w:numId w:val="7"/>
        </w:numPr>
        <w:shd w:val="clear" w:color="auto" w:fill="FFFFFF"/>
        <w:tabs>
          <w:tab w:val="clear" w:pos="720"/>
          <w:tab w:val="num" w:pos="540"/>
        </w:tabs>
        <w:ind w:left="180" w:hanging="180"/>
        <w:rPr>
          <w:szCs w:val="20"/>
        </w:rPr>
      </w:pPr>
      <w:r w:rsidRPr="0097070E">
        <w:rPr>
          <w:szCs w:val="20"/>
        </w:rPr>
        <w:t xml:space="preserve">Debido a incumplimientos de las buenas prácticas clínicas, los datos del ensayo </w:t>
      </w:r>
      <w:proofErr w:type="spellStart"/>
      <w:r w:rsidRPr="0097070E">
        <w:rPr>
          <w:szCs w:val="20"/>
        </w:rPr>
        <w:t>pivotal</w:t>
      </w:r>
      <w:proofErr w:type="spellEnd"/>
      <w:r w:rsidRPr="0097070E">
        <w:rPr>
          <w:szCs w:val="20"/>
        </w:rPr>
        <w:t xml:space="preserve"> en el que se basó la autorización de comercialización de </w:t>
      </w:r>
      <w:proofErr w:type="spellStart"/>
      <w:r w:rsidRPr="0097070E">
        <w:rPr>
          <w:szCs w:val="20"/>
        </w:rPr>
        <w:t>Tavneos</w:t>
      </w:r>
      <w:proofErr w:type="spellEnd"/>
      <w:r w:rsidRPr="0097070E">
        <w:rPr>
          <w:szCs w:val="20"/>
        </w:rPr>
        <w:t xml:space="preserve"> ya no son fiables para demostrar la eficacia del medicamento.</w:t>
      </w:r>
    </w:p>
    <w:p w14:paraId="422A4D24" w14:textId="77777777" w:rsidR="002334B2" w:rsidRPr="00FC32F9" w:rsidRDefault="002334B2" w:rsidP="002334B2">
      <w:pPr>
        <w:pStyle w:val="NormalWeb"/>
        <w:shd w:val="clear" w:color="auto" w:fill="FFFFFF"/>
        <w:tabs>
          <w:tab w:val="num" w:pos="540"/>
        </w:tabs>
        <w:ind w:left="180" w:hanging="180"/>
        <w:rPr>
          <w:szCs w:val="20"/>
        </w:rPr>
      </w:pPr>
    </w:p>
    <w:p w14:paraId="6BDE36DE" w14:textId="77777777" w:rsidR="002334B2" w:rsidRPr="00CD40C7" w:rsidRDefault="002334B2" w:rsidP="002334B2">
      <w:pPr>
        <w:pStyle w:val="NormalWeb"/>
        <w:numPr>
          <w:ilvl w:val="0"/>
          <w:numId w:val="8"/>
        </w:numPr>
        <w:shd w:val="clear" w:color="auto" w:fill="FFFFFF"/>
        <w:tabs>
          <w:tab w:val="num" w:pos="540"/>
        </w:tabs>
        <w:ind w:left="180" w:hanging="180"/>
        <w:rPr>
          <w:szCs w:val="20"/>
        </w:rPr>
      </w:pPr>
      <w:r w:rsidRPr="00CD40C7">
        <w:rPr>
          <w:szCs w:val="20"/>
        </w:rPr>
        <w:t>No se dispone de datos aleatorizados y controlados fiables</w:t>
      </w:r>
      <w:r>
        <w:rPr>
          <w:szCs w:val="20"/>
        </w:rPr>
        <w:t xml:space="preserve"> </w:t>
      </w:r>
      <w:r w:rsidRPr="00CD40C7">
        <w:rPr>
          <w:szCs w:val="20"/>
        </w:rPr>
        <w:t xml:space="preserve">que confirmen la eficacia de </w:t>
      </w:r>
      <w:proofErr w:type="spellStart"/>
      <w:r w:rsidRPr="00CD40C7">
        <w:rPr>
          <w:szCs w:val="20"/>
        </w:rPr>
        <w:t>Tavneos</w:t>
      </w:r>
      <w:proofErr w:type="spellEnd"/>
      <w:r w:rsidRPr="00CD40C7">
        <w:rPr>
          <w:szCs w:val="20"/>
        </w:rPr>
        <w:t xml:space="preserve">. </w:t>
      </w:r>
    </w:p>
    <w:p w14:paraId="46EBC5DA" w14:textId="77777777" w:rsidR="002334B2" w:rsidRPr="00CD40C7" w:rsidRDefault="002334B2" w:rsidP="002334B2">
      <w:pPr>
        <w:pStyle w:val="NormalWeb"/>
        <w:shd w:val="clear" w:color="auto" w:fill="FFFFFF"/>
        <w:tabs>
          <w:tab w:val="num" w:pos="540"/>
        </w:tabs>
        <w:ind w:left="180" w:hanging="180"/>
        <w:rPr>
          <w:szCs w:val="20"/>
        </w:rPr>
      </w:pPr>
    </w:p>
    <w:p w14:paraId="5E1228EA" w14:textId="77777777" w:rsidR="002334B2" w:rsidRPr="00525953" w:rsidRDefault="002334B2" w:rsidP="002334B2">
      <w:pPr>
        <w:pStyle w:val="NormalWeb"/>
        <w:numPr>
          <w:ilvl w:val="0"/>
          <w:numId w:val="8"/>
        </w:numPr>
        <w:shd w:val="clear" w:color="auto" w:fill="FFFFFF"/>
        <w:tabs>
          <w:tab w:val="num" w:pos="540"/>
        </w:tabs>
        <w:ind w:left="180" w:hanging="180"/>
        <w:rPr>
          <w:szCs w:val="20"/>
        </w:rPr>
      </w:pPr>
      <w:r w:rsidRPr="00CD40C7">
        <w:rPr>
          <w:szCs w:val="20"/>
        </w:rPr>
        <w:t xml:space="preserve">Por lo tanto, la EMA ha recomendado la revocación de la autorización de comercialización de </w:t>
      </w:r>
      <w:proofErr w:type="spellStart"/>
      <w:r w:rsidRPr="00CD40C7">
        <w:rPr>
          <w:szCs w:val="20"/>
        </w:rPr>
        <w:t>Tavneos</w:t>
      </w:r>
      <w:proofErr w:type="spellEnd"/>
      <w:r w:rsidRPr="00CD40C7">
        <w:rPr>
          <w:szCs w:val="20"/>
        </w:rPr>
        <w:t xml:space="preserve"> en la Unión Europea, </w:t>
      </w:r>
      <w:r>
        <w:rPr>
          <w:szCs w:val="20"/>
        </w:rPr>
        <w:t>por</w:t>
      </w:r>
      <w:r w:rsidRPr="00CD40C7">
        <w:rPr>
          <w:szCs w:val="20"/>
        </w:rPr>
        <w:t xml:space="preserve">que sus beneficios ya no superan sus riesgos. Si la Comisión Europea confirma esta recomendación, </w:t>
      </w:r>
      <w:proofErr w:type="spellStart"/>
      <w:r w:rsidRPr="00CD40C7">
        <w:rPr>
          <w:szCs w:val="20"/>
        </w:rPr>
        <w:t>Tavneos</w:t>
      </w:r>
      <w:proofErr w:type="spellEnd"/>
      <w:r w:rsidRPr="00CD40C7">
        <w:rPr>
          <w:szCs w:val="20"/>
        </w:rPr>
        <w:t xml:space="preserve"> dejará de estar autorizado en la UE.</w:t>
      </w:r>
    </w:p>
    <w:p w14:paraId="79B88859" w14:textId="77777777" w:rsidR="002334B2" w:rsidRPr="00CD40C7" w:rsidRDefault="002334B2" w:rsidP="002334B2">
      <w:pPr>
        <w:pStyle w:val="NormalWeb"/>
        <w:shd w:val="clear" w:color="auto" w:fill="FFFFFF"/>
        <w:tabs>
          <w:tab w:val="num" w:pos="540"/>
        </w:tabs>
        <w:ind w:left="180" w:hanging="180"/>
        <w:rPr>
          <w:szCs w:val="20"/>
        </w:rPr>
      </w:pPr>
    </w:p>
    <w:p w14:paraId="3753BB63" w14:textId="77777777" w:rsidR="002334B2" w:rsidRPr="00525953" w:rsidRDefault="002334B2" w:rsidP="002334B2">
      <w:pPr>
        <w:pStyle w:val="NormalWeb"/>
        <w:numPr>
          <w:ilvl w:val="0"/>
          <w:numId w:val="8"/>
        </w:numPr>
        <w:shd w:val="clear" w:color="auto" w:fill="FFFFFF"/>
        <w:tabs>
          <w:tab w:val="num" w:pos="540"/>
        </w:tabs>
        <w:ind w:left="180" w:hanging="180"/>
        <w:rPr>
          <w:szCs w:val="20"/>
        </w:rPr>
      </w:pPr>
      <w:r w:rsidRPr="00CD40C7">
        <w:rPr>
          <w:szCs w:val="20"/>
        </w:rPr>
        <w:t xml:space="preserve">No se debe iniciar el tratamiento con </w:t>
      </w:r>
      <w:proofErr w:type="spellStart"/>
      <w:r w:rsidRPr="00CD40C7">
        <w:rPr>
          <w:szCs w:val="20"/>
        </w:rPr>
        <w:t>Tavneos</w:t>
      </w:r>
      <w:proofErr w:type="spellEnd"/>
      <w:r w:rsidRPr="00CD40C7">
        <w:rPr>
          <w:szCs w:val="20"/>
        </w:rPr>
        <w:t xml:space="preserve"> en pacientes nuevos. Los pacientes que actualmente reciben tratamiento con </w:t>
      </w:r>
      <w:proofErr w:type="spellStart"/>
      <w:r w:rsidRPr="00CD40C7">
        <w:rPr>
          <w:szCs w:val="20"/>
        </w:rPr>
        <w:t>Tavneos</w:t>
      </w:r>
      <w:proofErr w:type="spellEnd"/>
      <w:r w:rsidRPr="00CD40C7">
        <w:rPr>
          <w:szCs w:val="20"/>
        </w:rPr>
        <w:t xml:space="preserve"> deben cambiar a opciones de tratamiento alternativas.</w:t>
      </w:r>
    </w:p>
    <w:p w14:paraId="2248A4F3" w14:textId="77777777" w:rsidR="002334B2" w:rsidRPr="00CD40C7" w:rsidRDefault="002334B2" w:rsidP="002334B2">
      <w:pPr>
        <w:pStyle w:val="NormalWeb"/>
        <w:shd w:val="clear" w:color="auto" w:fill="FFFFFF"/>
        <w:tabs>
          <w:tab w:val="num" w:pos="540"/>
        </w:tabs>
        <w:ind w:left="180" w:hanging="180"/>
        <w:rPr>
          <w:szCs w:val="20"/>
        </w:rPr>
      </w:pPr>
    </w:p>
    <w:p w14:paraId="57ECCBE7" w14:textId="77777777" w:rsidR="002334B2" w:rsidRPr="00525953" w:rsidRDefault="002334B2" w:rsidP="002334B2">
      <w:pPr>
        <w:pStyle w:val="NormalWeb"/>
        <w:numPr>
          <w:ilvl w:val="0"/>
          <w:numId w:val="8"/>
        </w:numPr>
        <w:shd w:val="clear" w:color="auto" w:fill="FFFFFF"/>
        <w:tabs>
          <w:tab w:val="num" w:pos="540"/>
        </w:tabs>
        <w:ind w:left="180" w:hanging="180"/>
        <w:rPr>
          <w:szCs w:val="20"/>
        </w:rPr>
      </w:pPr>
      <w:proofErr w:type="spellStart"/>
      <w:r w:rsidRPr="00CD40C7">
        <w:rPr>
          <w:szCs w:val="20"/>
        </w:rPr>
        <w:t>Tavneos</w:t>
      </w:r>
      <w:proofErr w:type="spellEnd"/>
      <w:r w:rsidRPr="00CD40C7">
        <w:rPr>
          <w:szCs w:val="20"/>
        </w:rPr>
        <w:t xml:space="preserve"> se asocia con un mayor riesgo de daño hepático inducido por fármacos y síndrome de desaparición de los conductos biliares, incluyendo casos con desenlace fatal; la mayoría de los casos ocurrieron dentro de los tres meses posteriores al inicio del tratamiento.</w:t>
      </w:r>
    </w:p>
    <w:p w14:paraId="32573DA7" w14:textId="77777777" w:rsidR="002334B2" w:rsidRPr="00CD40C7" w:rsidRDefault="002334B2" w:rsidP="002334B2">
      <w:pPr>
        <w:pStyle w:val="NormalWeb"/>
        <w:shd w:val="clear" w:color="auto" w:fill="FFFFFF"/>
        <w:tabs>
          <w:tab w:val="num" w:pos="540"/>
        </w:tabs>
        <w:ind w:left="180" w:hanging="180"/>
        <w:rPr>
          <w:szCs w:val="20"/>
        </w:rPr>
      </w:pPr>
    </w:p>
    <w:p w14:paraId="57E4F640" w14:textId="77777777" w:rsidR="002334B2" w:rsidRDefault="002334B2" w:rsidP="002334B2">
      <w:pPr>
        <w:pStyle w:val="NormalWeb"/>
        <w:numPr>
          <w:ilvl w:val="0"/>
          <w:numId w:val="9"/>
        </w:numPr>
        <w:shd w:val="clear" w:color="auto" w:fill="FFFFFF"/>
        <w:tabs>
          <w:tab w:val="num" w:pos="540"/>
        </w:tabs>
        <w:ind w:left="180" w:hanging="180"/>
        <w:rPr>
          <w:szCs w:val="20"/>
        </w:rPr>
      </w:pPr>
      <w:r w:rsidRPr="00CD40C7">
        <w:rPr>
          <w:szCs w:val="20"/>
        </w:rPr>
        <w:t xml:space="preserve">Para mitigar estos riesgos, la función hepática de los pacientes tratados recientemente con </w:t>
      </w:r>
      <w:proofErr w:type="spellStart"/>
      <w:r w:rsidRPr="00CD40C7">
        <w:rPr>
          <w:szCs w:val="20"/>
        </w:rPr>
        <w:t>Tavneos</w:t>
      </w:r>
      <w:proofErr w:type="spellEnd"/>
      <w:r w:rsidRPr="00CD40C7">
        <w:rPr>
          <w:szCs w:val="20"/>
        </w:rPr>
        <w:t xml:space="preserve"> debe ser monitor</w:t>
      </w:r>
      <w:r>
        <w:rPr>
          <w:szCs w:val="20"/>
        </w:rPr>
        <w:t>ea</w:t>
      </w:r>
      <w:r w:rsidRPr="00CD40C7">
        <w:rPr>
          <w:szCs w:val="20"/>
        </w:rPr>
        <w:t xml:space="preserve">da estrechamente hasta la interrupción efectiva del tratamiento: </w:t>
      </w:r>
    </w:p>
    <w:p w14:paraId="05C7D324" w14:textId="77777777" w:rsidR="002334B2" w:rsidRDefault="002334B2" w:rsidP="002334B2">
      <w:pPr>
        <w:pStyle w:val="NormalWeb"/>
        <w:shd w:val="clear" w:color="auto" w:fill="FFFFFF"/>
        <w:ind w:left="180"/>
        <w:rPr>
          <w:szCs w:val="20"/>
        </w:rPr>
      </w:pPr>
    </w:p>
    <w:p w14:paraId="5DFBB00B" w14:textId="77777777" w:rsidR="002334B2" w:rsidRPr="00CD40C7" w:rsidRDefault="002334B2" w:rsidP="002334B2">
      <w:pPr>
        <w:pStyle w:val="NormalWeb"/>
        <w:numPr>
          <w:ilvl w:val="1"/>
          <w:numId w:val="9"/>
        </w:numPr>
        <w:shd w:val="clear" w:color="auto" w:fill="FFFFFF"/>
        <w:tabs>
          <w:tab w:val="num" w:pos="360"/>
        </w:tabs>
        <w:ind w:left="180" w:firstLine="0"/>
        <w:rPr>
          <w:szCs w:val="20"/>
        </w:rPr>
      </w:pPr>
      <w:r w:rsidRPr="00CD40C7">
        <w:rPr>
          <w:szCs w:val="20"/>
        </w:rPr>
        <w:t>para pacientes en los primeros tres meses de tratamiento: al menos cada dos semanas;</w:t>
      </w:r>
    </w:p>
    <w:p w14:paraId="1B9D7708" w14:textId="77777777" w:rsidR="002334B2" w:rsidRPr="0097070E" w:rsidRDefault="002334B2" w:rsidP="002334B2">
      <w:pPr>
        <w:pStyle w:val="NormalWeb"/>
        <w:numPr>
          <w:ilvl w:val="1"/>
          <w:numId w:val="9"/>
        </w:numPr>
        <w:shd w:val="clear" w:color="auto" w:fill="FFFFFF"/>
        <w:tabs>
          <w:tab w:val="num" w:pos="360"/>
        </w:tabs>
        <w:ind w:left="180" w:firstLine="0"/>
        <w:rPr>
          <w:szCs w:val="20"/>
        </w:rPr>
      </w:pPr>
      <w:r w:rsidRPr="00CD40C7">
        <w:rPr>
          <w:szCs w:val="20"/>
        </w:rPr>
        <w:t>para pacientes tratados durante más de tres meses: cada cuatro semanas hasta los seis meses de tratamiento, y posteriormente</w:t>
      </w:r>
      <w:r>
        <w:rPr>
          <w:szCs w:val="20"/>
        </w:rPr>
        <w:t>,</w:t>
      </w:r>
      <w:r w:rsidRPr="00CD40C7">
        <w:rPr>
          <w:szCs w:val="20"/>
        </w:rPr>
        <w:t xml:space="preserve"> según esté clínicamente indicado.</w:t>
      </w:r>
    </w:p>
    <w:p w14:paraId="02EC2A01" w14:textId="77777777" w:rsidR="002334B2" w:rsidRPr="00CD40C7" w:rsidRDefault="002334B2" w:rsidP="002334B2">
      <w:pPr>
        <w:pStyle w:val="NormalWeb"/>
        <w:shd w:val="clear" w:color="auto" w:fill="FFFFFF"/>
        <w:tabs>
          <w:tab w:val="num" w:pos="540"/>
        </w:tabs>
        <w:ind w:left="180" w:hanging="180"/>
        <w:rPr>
          <w:szCs w:val="20"/>
        </w:rPr>
      </w:pPr>
    </w:p>
    <w:p w14:paraId="39140F67" w14:textId="77777777" w:rsidR="002334B2" w:rsidRPr="00CD40C7" w:rsidRDefault="002334B2" w:rsidP="002334B2">
      <w:pPr>
        <w:pStyle w:val="NormalWeb"/>
        <w:numPr>
          <w:ilvl w:val="0"/>
          <w:numId w:val="9"/>
        </w:numPr>
        <w:shd w:val="clear" w:color="auto" w:fill="FFFFFF"/>
        <w:tabs>
          <w:tab w:val="num" w:pos="540"/>
        </w:tabs>
        <w:ind w:left="180" w:hanging="180"/>
        <w:rPr>
          <w:szCs w:val="20"/>
        </w:rPr>
      </w:pPr>
      <w:r w:rsidRPr="00CD40C7">
        <w:rPr>
          <w:szCs w:val="20"/>
        </w:rPr>
        <w:t xml:space="preserve">Si se sospecha síndrome de desaparición de los conductos biliares, </w:t>
      </w:r>
      <w:r>
        <w:rPr>
          <w:szCs w:val="20"/>
        </w:rPr>
        <w:t>s</w:t>
      </w:r>
      <w:r w:rsidRPr="00CD40C7">
        <w:rPr>
          <w:szCs w:val="20"/>
        </w:rPr>
        <w:t>e debe interrumpir inmediatamente el tratamiento con</w:t>
      </w:r>
      <w:r>
        <w:rPr>
          <w:szCs w:val="20"/>
        </w:rPr>
        <w:t xml:space="preserve"> </w:t>
      </w:r>
      <w:proofErr w:type="spellStart"/>
      <w:r w:rsidRPr="00CD40C7">
        <w:rPr>
          <w:szCs w:val="20"/>
        </w:rPr>
        <w:t>Tavneos</w:t>
      </w:r>
      <w:proofErr w:type="spellEnd"/>
      <w:r w:rsidRPr="00CD40C7">
        <w:rPr>
          <w:szCs w:val="20"/>
        </w:rPr>
        <w:t>.</w:t>
      </w:r>
    </w:p>
    <w:p w14:paraId="519FAE3F" w14:textId="77777777" w:rsidR="002334B2" w:rsidRDefault="002334B2" w:rsidP="002334B2">
      <w:pPr>
        <w:pStyle w:val="NormalWeb"/>
        <w:shd w:val="clear" w:color="auto" w:fill="FFFFFF"/>
        <w:tabs>
          <w:tab w:val="num" w:pos="540"/>
        </w:tabs>
        <w:ind w:left="180" w:hanging="180"/>
        <w:rPr>
          <w:color w:val="FF0000"/>
          <w:szCs w:val="20"/>
        </w:rPr>
      </w:pPr>
    </w:p>
    <w:p w14:paraId="75EC90D5" w14:textId="77777777" w:rsidR="002334B2" w:rsidRPr="00CD40C7" w:rsidRDefault="002334B2" w:rsidP="002334B2">
      <w:pPr>
        <w:pStyle w:val="NormalWeb"/>
        <w:shd w:val="clear" w:color="auto" w:fill="FFFFFF"/>
        <w:rPr>
          <w:szCs w:val="20"/>
        </w:rPr>
      </w:pPr>
      <w:r w:rsidRPr="00CD40C7">
        <w:rPr>
          <w:szCs w:val="20"/>
        </w:rPr>
        <w:t xml:space="preserve">Se enviará una </w:t>
      </w:r>
      <w:r>
        <w:rPr>
          <w:szCs w:val="20"/>
        </w:rPr>
        <w:t>C</w:t>
      </w:r>
      <w:r w:rsidRPr="00CD40C7">
        <w:rPr>
          <w:szCs w:val="20"/>
        </w:rPr>
        <w:t xml:space="preserve">omunicación </w:t>
      </w:r>
      <w:r>
        <w:rPr>
          <w:szCs w:val="20"/>
        </w:rPr>
        <w:t>D</w:t>
      </w:r>
      <w:r w:rsidRPr="00CD40C7">
        <w:rPr>
          <w:szCs w:val="20"/>
        </w:rPr>
        <w:t xml:space="preserve">irecta a </w:t>
      </w:r>
      <w:r>
        <w:rPr>
          <w:szCs w:val="20"/>
        </w:rPr>
        <w:t>los P</w:t>
      </w:r>
      <w:r w:rsidRPr="00CD40C7">
        <w:rPr>
          <w:szCs w:val="20"/>
        </w:rPr>
        <w:t>rofesionales</w:t>
      </w:r>
      <w:r>
        <w:rPr>
          <w:szCs w:val="20"/>
        </w:rPr>
        <w:t xml:space="preserve"> de la</w:t>
      </w:r>
      <w:r w:rsidRPr="00CD40C7">
        <w:rPr>
          <w:szCs w:val="20"/>
        </w:rPr>
        <w:t xml:space="preserve"> sa</w:t>
      </w:r>
      <w:r>
        <w:rPr>
          <w:szCs w:val="20"/>
        </w:rPr>
        <w:t>lud</w:t>
      </w:r>
      <w:r w:rsidRPr="00CD40C7">
        <w:rPr>
          <w:szCs w:val="20"/>
        </w:rPr>
        <w:t xml:space="preserve"> (</w:t>
      </w:r>
      <w:r>
        <w:rPr>
          <w:szCs w:val="20"/>
        </w:rPr>
        <w:t xml:space="preserve">DHPC o </w:t>
      </w:r>
      <w:r w:rsidRPr="008866C8">
        <w:rPr>
          <w:i/>
          <w:iCs/>
          <w:szCs w:val="20"/>
        </w:rPr>
        <w:t xml:space="preserve">Direct </w:t>
      </w:r>
      <w:proofErr w:type="spellStart"/>
      <w:r w:rsidRPr="008866C8">
        <w:rPr>
          <w:i/>
          <w:iCs/>
          <w:szCs w:val="20"/>
        </w:rPr>
        <w:t>healthcare</w:t>
      </w:r>
      <w:proofErr w:type="spellEnd"/>
      <w:r w:rsidRPr="008866C8">
        <w:rPr>
          <w:i/>
          <w:iCs/>
          <w:szCs w:val="20"/>
        </w:rPr>
        <w:t xml:space="preserve"> profesional </w:t>
      </w:r>
      <w:proofErr w:type="spellStart"/>
      <w:r w:rsidRPr="008866C8">
        <w:rPr>
          <w:i/>
          <w:iCs/>
          <w:szCs w:val="20"/>
        </w:rPr>
        <w:t>communication</w:t>
      </w:r>
      <w:proofErr w:type="spellEnd"/>
      <w:r w:rsidRPr="00CD40C7">
        <w:rPr>
          <w:szCs w:val="20"/>
        </w:rPr>
        <w:t>)</w:t>
      </w:r>
      <w:r>
        <w:rPr>
          <w:szCs w:val="20"/>
        </w:rPr>
        <w:t xml:space="preserve"> </w:t>
      </w:r>
      <w:r w:rsidRPr="00CD40C7">
        <w:rPr>
          <w:szCs w:val="20"/>
        </w:rPr>
        <w:t>que prescriban, dispensen o administren este medicamento</w:t>
      </w:r>
      <w:r>
        <w:rPr>
          <w:szCs w:val="20"/>
        </w:rPr>
        <w:t>,</w:t>
      </w:r>
      <w:r w:rsidRPr="00CD40C7">
        <w:rPr>
          <w:szCs w:val="20"/>
        </w:rPr>
        <w:t xml:space="preserve"> con la información y las recomendaciones </w:t>
      </w:r>
      <w:r>
        <w:rPr>
          <w:szCs w:val="20"/>
        </w:rPr>
        <w:t xml:space="preserve">dadas </w:t>
      </w:r>
      <w:r w:rsidRPr="00CD40C7">
        <w:rPr>
          <w:szCs w:val="20"/>
        </w:rPr>
        <w:t>anterior</w:t>
      </w:r>
      <w:r>
        <w:rPr>
          <w:szCs w:val="20"/>
        </w:rPr>
        <w:t>mente</w:t>
      </w:r>
      <w:r w:rsidRPr="00CD40C7">
        <w:rPr>
          <w:szCs w:val="20"/>
        </w:rPr>
        <w:t xml:space="preserve">. La </w:t>
      </w:r>
      <w:r>
        <w:rPr>
          <w:szCs w:val="20"/>
        </w:rPr>
        <w:t>DHP</w:t>
      </w:r>
      <w:r w:rsidRPr="00CD40C7">
        <w:rPr>
          <w:szCs w:val="20"/>
        </w:rPr>
        <w:t>C también se publica</w:t>
      </w:r>
      <w:r>
        <w:rPr>
          <w:szCs w:val="20"/>
        </w:rPr>
        <w:t>rá</w:t>
      </w:r>
      <w:r w:rsidRPr="00CD40C7">
        <w:rPr>
          <w:szCs w:val="20"/>
        </w:rPr>
        <w:t xml:space="preserve"> en la página </w:t>
      </w:r>
      <w:r>
        <w:rPr>
          <w:szCs w:val="20"/>
        </w:rPr>
        <w:t>web</w:t>
      </w:r>
      <w:r w:rsidRPr="00CD40C7">
        <w:rPr>
          <w:szCs w:val="20"/>
        </w:rPr>
        <w:t xml:space="preserve"> </w:t>
      </w:r>
      <w:r>
        <w:rPr>
          <w:szCs w:val="20"/>
        </w:rPr>
        <w:t>[1]</w:t>
      </w:r>
      <w:r w:rsidRPr="00CD40C7">
        <w:rPr>
          <w:szCs w:val="20"/>
        </w:rPr>
        <w:t>.</w:t>
      </w:r>
      <w:r w:rsidRPr="008866C8">
        <w:rPr>
          <w:szCs w:val="20"/>
        </w:rPr>
        <w:t xml:space="preserve"> </w:t>
      </w:r>
    </w:p>
    <w:p w14:paraId="0F7D3571" w14:textId="77777777" w:rsidR="002334B2" w:rsidRPr="00386945" w:rsidRDefault="002334B2" w:rsidP="002334B2">
      <w:pPr>
        <w:pStyle w:val="NormalWeb"/>
        <w:shd w:val="clear" w:color="auto" w:fill="FFFFFF"/>
        <w:rPr>
          <w:color w:val="FF0000"/>
          <w:szCs w:val="20"/>
        </w:rPr>
      </w:pPr>
    </w:p>
    <w:p w14:paraId="5177DF7B" w14:textId="77777777" w:rsidR="002334B2" w:rsidRPr="008866C8" w:rsidRDefault="002334B2" w:rsidP="002334B2">
      <w:pPr>
        <w:pStyle w:val="NormalWeb"/>
        <w:shd w:val="clear" w:color="auto" w:fill="FFFFFF"/>
        <w:rPr>
          <w:b/>
          <w:bCs/>
          <w:szCs w:val="20"/>
        </w:rPr>
      </w:pPr>
      <w:r w:rsidRPr="008866C8">
        <w:rPr>
          <w:b/>
          <w:bCs/>
          <w:szCs w:val="20"/>
        </w:rPr>
        <w:t>Más información sobre el medicamento</w:t>
      </w:r>
    </w:p>
    <w:p w14:paraId="7EC54AB2" w14:textId="5E5D43D0" w:rsidR="002334B2" w:rsidRDefault="002334B2" w:rsidP="002334B2">
      <w:pPr>
        <w:pStyle w:val="NormalWeb"/>
        <w:shd w:val="clear" w:color="auto" w:fill="FFFFFF"/>
        <w:rPr>
          <w:i/>
          <w:iCs/>
          <w:szCs w:val="20"/>
        </w:rPr>
      </w:pPr>
      <w:proofErr w:type="spellStart"/>
      <w:r w:rsidRPr="008866C8">
        <w:rPr>
          <w:szCs w:val="20"/>
        </w:rPr>
        <w:t>Tavneos</w:t>
      </w:r>
      <w:proofErr w:type="spellEnd"/>
      <w:r w:rsidRPr="008866C8">
        <w:rPr>
          <w:szCs w:val="20"/>
        </w:rPr>
        <w:t xml:space="preserve"> es un medicamento </w:t>
      </w:r>
      <w:r>
        <w:rPr>
          <w:szCs w:val="20"/>
        </w:rPr>
        <w:t>que se utiliza</w:t>
      </w:r>
      <w:r w:rsidRPr="008866C8">
        <w:rPr>
          <w:szCs w:val="20"/>
        </w:rPr>
        <w:t xml:space="preserve"> para tratar a adultos con </w:t>
      </w:r>
      <w:proofErr w:type="spellStart"/>
      <w:r w:rsidRPr="008866C8">
        <w:rPr>
          <w:szCs w:val="20"/>
        </w:rPr>
        <w:t>granulomatosis</w:t>
      </w:r>
      <w:proofErr w:type="spellEnd"/>
      <w:r w:rsidRPr="008866C8">
        <w:rPr>
          <w:szCs w:val="20"/>
        </w:rPr>
        <w:t xml:space="preserve"> con </w:t>
      </w:r>
      <w:proofErr w:type="spellStart"/>
      <w:r w:rsidRPr="008866C8">
        <w:rPr>
          <w:szCs w:val="20"/>
        </w:rPr>
        <w:t>poliangitis</w:t>
      </w:r>
      <w:proofErr w:type="spellEnd"/>
      <w:r w:rsidRPr="008866C8">
        <w:rPr>
          <w:szCs w:val="20"/>
        </w:rPr>
        <w:t xml:space="preserve"> o </w:t>
      </w:r>
      <w:proofErr w:type="spellStart"/>
      <w:r w:rsidRPr="008866C8">
        <w:rPr>
          <w:szCs w:val="20"/>
        </w:rPr>
        <w:t>poliangitis</w:t>
      </w:r>
      <w:proofErr w:type="spellEnd"/>
      <w:r w:rsidRPr="008866C8">
        <w:rPr>
          <w:szCs w:val="20"/>
        </w:rPr>
        <w:t xml:space="preserve"> microscópica graves y activas, que son afecciones inflamatorias de los vasos sanguíneos. </w:t>
      </w:r>
      <w:proofErr w:type="spellStart"/>
      <w:r w:rsidRPr="008866C8">
        <w:rPr>
          <w:szCs w:val="20"/>
        </w:rPr>
        <w:t>Tavneos</w:t>
      </w:r>
      <w:proofErr w:type="spellEnd"/>
      <w:r w:rsidRPr="008866C8">
        <w:rPr>
          <w:szCs w:val="20"/>
        </w:rPr>
        <w:t xml:space="preserve"> se utiliza como parte de un tratamiento combinado que también incluye </w:t>
      </w:r>
      <w:proofErr w:type="spellStart"/>
      <w:r w:rsidRPr="008866C8">
        <w:rPr>
          <w:i/>
          <w:iCs/>
          <w:szCs w:val="20"/>
        </w:rPr>
        <w:t>rituximab</w:t>
      </w:r>
      <w:proofErr w:type="spellEnd"/>
      <w:r w:rsidRPr="008866C8">
        <w:rPr>
          <w:szCs w:val="20"/>
        </w:rPr>
        <w:t xml:space="preserve"> o </w:t>
      </w:r>
      <w:r w:rsidRPr="008866C8">
        <w:rPr>
          <w:i/>
          <w:iCs/>
          <w:szCs w:val="20"/>
        </w:rPr>
        <w:t>ciclofosfamida.</w:t>
      </w:r>
      <w:r w:rsidRPr="008866C8">
        <w:rPr>
          <w:szCs w:val="20"/>
        </w:rPr>
        <w:t xml:space="preserve"> </w:t>
      </w:r>
      <w:proofErr w:type="spellStart"/>
      <w:r w:rsidRPr="008866C8">
        <w:rPr>
          <w:szCs w:val="20"/>
        </w:rPr>
        <w:t>Tavneos</w:t>
      </w:r>
      <w:proofErr w:type="spellEnd"/>
      <w:r w:rsidRPr="008866C8">
        <w:rPr>
          <w:szCs w:val="20"/>
        </w:rPr>
        <w:t xml:space="preserve"> contiene el principio activo </w:t>
      </w:r>
      <w:proofErr w:type="spellStart"/>
      <w:r w:rsidRPr="008866C8">
        <w:rPr>
          <w:i/>
          <w:iCs/>
          <w:szCs w:val="20"/>
        </w:rPr>
        <w:t>avacopan</w:t>
      </w:r>
      <w:proofErr w:type="spellEnd"/>
      <w:r w:rsidRPr="008866C8">
        <w:rPr>
          <w:i/>
          <w:iCs/>
          <w:szCs w:val="20"/>
        </w:rPr>
        <w:t>.</w:t>
      </w:r>
    </w:p>
    <w:p w14:paraId="71CF86C5" w14:textId="77777777" w:rsidR="002334B2" w:rsidRPr="008866C8" w:rsidRDefault="002334B2" w:rsidP="002334B2">
      <w:pPr>
        <w:pStyle w:val="NormalWeb"/>
        <w:shd w:val="clear" w:color="auto" w:fill="FFFFFF"/>
        <w:rPr>
          <w:szCs w:val="20"/>
        </w:rPr>
      </w:pPr>
    </w:p>
    <w:p w14:paraId="41723A5D" w14:textId="77777777" w:rsidR="002334B2" w:rsidRPr="008866C8" w:rsidRDefault="002334B2" w:rsidP="002334B2">
      <w:pPr>
        <w:pStyle w:val="NormalWeb"/>
        <w:shd w:val="clear" w:color="auto" w:fill="FFFFFF"/>
        <w:rPr>
          <w:szCs w:val="20"/>
        </w:rPr>
      </w:pPr>
      <w:r w:rsidRPr="008866C8">
        <w:rPr>
          <w:szCs w:val="20"/>
        </w:rPr>
        <w:t xml:space="preserve">Puede encontrar más información sobre </w:t>
      </w:r>
      <w:proofErr w:type="spellStart"/>
      <w:r w:rsidRPr="008866C8">
        <w:rPr>
          <w:szCs w:val="20"/>
        </w:rPr>
        <w:t>Tavneos</w:t>
      </w:r>
      <w:proofErr w:type="spellEnd"/>
      <w:r w:rsidRPr="008866C8">
        <w:rPr>
          <w:szCs w:val="20"/>
        </w:rPr>
        <w:t xml:space="preserve"> en la página del medicamento [2].</w:t>
      </w:r>
    </w:p>
    <w:p w14:paraId="5635D2EE" w14:textId="77777777" w:rsidR="002334B2" w:rsidRDefault="002334B2" w:rsidP="002334B2">
      <w:pPr>
        <w:shd w:val="clear" w:color="auto" w:fill="FFFFFF"/>
        <w:rPr>
          <w:rFonts w:eastAsia="Times New Roman" w:cs="Times New Roman"/>
          <w:b/>
          <w:bCs/>
          <w:kern w:val="0"/>
          <w:szCs w:val="20"/>
          <w:lang w:eastAsia="es-CO"/>
          <w14:ligatures w14:val="none"/>
        </w:rPr>
      </w:pPr>
    </w:p>
    <w:p w14:paraId="69E9E9CC" w14:textId="77777777" w:rsidR="002334B2" w:rsidRDefault="002334B2" w:rsidP="002334B2">
      <w:pPr>
        <w:shd w:val="clear" w:color="auto" w:fill="FFFFFF"/>
        <w:rPr>
          <w:rFonts w:eastAsia="Times New Roman" w:cs="Times New Roman"/>
          <w:b/>
          <w:bCs/>
          <w:kern w:val="0"/>
          <w:szCs w:val="20"/>
          <w:lang w:eastAsia="es-CO"/>
          <w14:ligatures w14:val="none"/>
        </w:rPr>
      </w:pPr>
      <w:r w:rsidRPr="000C0E92">
        <w:rPr>
          <w:rFonts w:eastAsia="Times New Roman" w:cs="Times New Roman"/>
          <w:b/>
          <w:bCs/>
          <w:kern w:val="0"/>
          <w:szCs w:val="20"/>
          <w:lang w:eastAsia="es-CO"/>
          <w14:ligatures w14:val="none"/>
        </w:rPr>
        <w:t>Más información sobre el procedimiento</w:t>
      </w:r>
    </w:p>
    <w:p w14:paraId="4DBB222E" w14:textId="171A7500" w:rsidR="002334B2" w:rsidRDefault="002334B2" w:rsidP="002334B2">
      <w:pPr>
        <w:shd w:val="clear" w:color="auto" w:fill="FFFFFF"/>
        <w:rPr>
          <w:rFonts w:eastAsia="Times New Roman" w:cs="Times New Roman"/>
          <w:kern w:val="0"/>
          <w:szCs w:val="20"/>
          <w:lang w:eastAsia="es-CO"/>
          <w14:ligatures w14:val="none"/>
        </w:rPr>
      </w:pPr>
      <w:r w:rsidRPr="000C0E92">
        <w:rPr>
          <w:rFonts w:eastAsia="Times New Roman" w:cs="Times New Roman"/>
          <w:kern w:val="0"/>
          <w:szCs w:val="20"/>
          <w:lang w:eastAsia="es-CO"/>
          <w14:ligatures w14:val="none"/>
        </w:rPr>
        <w:t xml:space="preserve">La revisión de </w:t>
      </w:r>
      <w:proofErr w:type="spellStart"/>
      <w:r w:rsidRPr="000C0E92">
        <w:rPr>
          <w:rFonts w:eastAsia="Times New Roman" w:cs="Times New Roman"/>
          <w:kern w:val="0"/>
          <w:szCs w:val="20"/>
          <w:lang w:eastAsia="es-CO"/>
          <w14:ligatures w14:val="none"/>
        </w:rPr>
        <w:t>Tavneos</w:t>
      </w:r>
      <w:proofErr w:type="spellEnd"/>
      <w:r w:rsidRPr="000C0E92">
        <w:rPr>
          <w:rFonts w:eastAsia="Times New Roman" w:cs="Times New Roman"/>
          <w:kern w:val="0"/>
          <w:szCs w:val="20"/>
          <w:lang w:eastAsia="es-CO"/>
          <w14:ligatures w14:val="none"/>
        </w:rPr>
        <w:t xml:space="preserve"> se inició a petición de la Comisión Europea, en virtud del artículo 20 del Reglamento (CE) </w:t>
      </w:r>
      <w:proofErr w:type="spellStart"/>
      <w:r>
        <w:rPr>
          <w:rFonts w:eastAsia="Times New Roman" w:cs="Times New Roman"/>
          <w:kern w:val="0"/>
          <w:szCs w:val="20"/>
          <w:lang w:eastAsia="es-CO"/>
          <w14:ligatures w14:val="none"/>
        </w:rPr>
        <w:t>N</w:t>
      </w:r>
      <w:r w:rsidRPr="000C0E92">
        <w:rPr>
          <w:rFonts w:eastAsia="Times New Roman" w:cs="Times New Roman"/>
          <w:kern w:val="0"/>
          <w:szCs w:val="20"/>
          <w:lang w:eastAsia="es-CO"/>
          <w14:ligatures w14:val="none"/>
        </w:rPr>
        <w:t>º</w:t>
      </w:r>
      <w:proofErr w:type="spellEnd"/>
      <w:r w:rsidRPr="000C0E92">
        <w:rPr>
          <w:rFonts w:eastAsia="Times New Roman" w:cs="Times New Roman"/>
          <w:kern w:val="0"/>
          <w:szCs w:val="20"/>
          <w:lang w:eastAsia="es-CO"/>
          <w14:ligatures w14:val="none"/>
        </w:rPr>
        <w:t xml:space="preserve"> 726/2004</w:t>
      </w:r>
      <w:r>
        <w:rPr>
          <w:rFonts w:eastAsia="Times New Roman" w:cs="Times New Roman"/>
          <w:kern w:val="0"/>
          <w:szCs w:val="20"/>
          <w:lang w:eastAsia="es-CO"/>
          <w14:ligatures w14:val="none"/>
        </w:rPr>
        <w:t xml:space="preserve"> [3]</w:t>
      </w:r>
      <w:r w:rsidRPr="000C0E92">
        <w:rPr>
          <w:rFonts w:eastAsia="Times New Roman" w:cs="Times New Roman"/>
          <w:kern w:val="0"/>
          <w:szCs w:val="20"/>
          <w:lang w:eastAsia="es-CO"/>
          <w14:ligatures w14:val="none"/>
        </w:rPr>
        <w:t>.</w:t>
      </w:r>
    </w:p>
    <w:p w14:paraId="6D07512C" w14:textId="77777777" w:rsidR="002334B2" w:rsidRPr="00476BF2" w:rsidRDefault="002334B2" w:rsidP="002334B2">
      <w:pPr>
        <w:shd w:val="clear" w:color="auto" w:fill="FFFFFF"/>
        <w:rPr>
          <w:rFonts w:eastAsia="Times New Roman" w:cs="Times New Roman"/>
          <w:b/>
          <w:bCs/>
          <w:kern w:val="0"/>
          <w:szCs w:val="20"/>
          <w:lang w:eastAsia="es-CO"/>
          <w14:ligatures w14:val="none"/>
        </w:rPr>
      </w:pPr>
    </w:p>
    <w:p w14:paraId="1F1B2E35" w14:textId="1CBD2894" w:rsidR="002334B2" w:rsidRPr="000C0E92" w:rsidRDefault="002334B2" w:rsidP="002334B2">
      <w:pPr>
        <w:shd w:val="clear" w:color="auto" w:fill="FFFFFF"/>
        <w:rPr>
          <w:rFonts w:eastAsia="Times New Roman" w:cs="Times New Roman"/>
          <w:kern w:val="0"/>
          <w:szCs w:val="20"/>
          <w:lang w:eastAsia="es-CO"/>
          <w14:ligatures w14:val="none"/>
        </w:rPr>
      </w:pPr>
      <w:r>
        <w:rPr>
          <w:rFonts w:eastAsia="Times New Roman" w:cs="Times New Roman"/>
          <w:kern w:val="0"/>
          <w:szCs w:val="20"/>
          <w:lang w:eastAsia="es-CO"/>
          <w14:ligatures w14:val="none"/>
        </w:rPr>
        <w:t>E</w:t>
      </w:r>
      <w:r w:rsidRPr="000C0E92">
        <w:rPr>
          <w:rFonts w:eastAsia="Times New Roman" w:cs="Times New Roman"/>
          <w:kern w:val="0"/>
          <w:szCs w:val="20"/>
          <w:lang w:eastAsia="es-CO"/>
          <w14:ligatures w14:val="none"/>
        </w:rPr>
        <w:t>l Comité de Medicamentos de Uso Humano</w:t>
      </w:r>
      <w:r>
        <w:rPr>
          <w:rFonts w:eastAsia="Times New Roman" w:cs="Times New Roman"/>
          <w:kern w:val="0"/>
          <w:szCs w:val="20"/>
          <w:lang w:eastAsia="es-CO"/>
          <w14:ligatures w14:val="none"/>
        </w:rPr>
        <w:t xml:space="preserve"> (CHMP), </w:t>
      </w:r>
      <w:r w:rsidRPr="000C0E92">
        <w:rPr>
          <w:rFonts w:eastAsia="Times New Roman" w:cs="Times New Roman"/>
          <w:kern w:val="0"/>
          <w:szCs w:val="20"/>
          <w:lang w:eastAsia="es-CO"/>
          <w14:ligatures w14:val="none"/>
        </w:rPr>
        <w:t>responsable de las cuestiones rela</w:t>
      </w:r>
      <w:r>
        <w:rPr>
          <w:rFonts w:eastAsia="Times New Roman" w:cs="Times New Roman"/>
          <w:kern w:val="0"/>
          <w:szCs w:val="20"/>
          <w:lang w:eastAsia="es-CO"/>
          <w14:ligatures w14:val="none"/>
        </w:rPr>
        <w:t>cionad</w:t>
      </w:r>
      <w:r w:rsidRPr="000C0E92">
        <w:rPr>
          <w:rFonts w:eastAsia="Times New Roman" w:cs="Times New Roman"/>
          <w:kern w:val="0"/>
          <w:szCs w:val="20"/>
          <w:lang w:eastAsia="es-CO"/>
          <w14:ligatures w14:val="none"/>
        </w:rPr>
        <w:t xml:space="preserve">as </w:t>
      </w:r>
      <w:r>
        <w:rPr>
          <w:rFonts w:eastAsia="Times New Roman" w:cs="Times New Roman"/>
          <w:kern w:val="0"/>
          <w:szCs w:val="20"/>
          <w:lang w:eastAsia="es-CO"/>
          <w14:ligatures w14:val="none"/>
        </w:rPr>
        <w:t>con</w:t>
      </w:r>
      <w:r w:rsidRPr="000C0E92">
        <w:rPr>
          <w:rFonts w:eastAsia="Times New Roman" w:cs="Times New Roman"/>
          <w:kern w:val="0"/>
          <w:szCs w:val="20"/>
          <w:lang w:eastAsia="es-CO"/>
          <w14:ligatures w14:val="none"/>
        </w:rPr>
        <w:t xml:space="preserve"> los medicamentos de uso humano</w:t>
      </w:r>
      <w:r>
        <w:rPr>
          <w:rFonts w:eastAsia="Times New Roman" w:cs="Times New Roman"/>
          <w:kern w:val="0"/>
          <w:szCs w:val="20"/>
          <w:lang w:eastAsia="es-CO"/>
          <w14:ligatures w14:val="none"/>
        </w:rPr>
        <w:t xml:space="preserve">, </w:t>
      </w:r>
      <w:r w:rsidRPr="000C0E92">
        <w:rPr>
          <w:rFonts w:eastAsia="Times New Roman" w:cs="Times New Roman"/>
          <w:kern w:val="0"/>
          <w:szCs w:val="20"/>
          <w:lang w:eastAsia="es-CO"/>
          <w14:ligatures w14:val="none"/>
        </w:rPr>
        <w:t>ha adoptado la opinión de la Agencia. El CHMP también ha tenido en cuenta la evaluación del reciente informe periódico de actualización de seguridad realizado por el Comité de Evaluación de Riesgos de Farmacovigilancia</w:t>
      </w:r>
      <w:r>
        <w:rPr>
          <w:rFonts w:eastAsia="Times New Roman" w:cs="Times New Roman"/>
          <w:kern w:val="0"/>
          <w:szCs w:val="20"/>
          <w:lang w:eastAsia="es-CO"/>
          <w14:ligatures w14:val="none"/>
        </w:rPr>
        <w:t xml:space="preserve"> (</w:t>
      </w:r>
      <w:r w:rsidRPr="00386945">
        <w:rPr>
          <w:rFonts w:eastAsia="Times New Roman" w:cs="Times New Roman"/>
          <w:kern w:val="0"/>
          <w:szCs w:val="20"/>
          <w:lang w:eastAsia="es-CO"/>
          <w14:ligatures w14:val="none"/>
        </w:rPr>
        <w:t>PRAC</w:t>
      </w:r>
      <w:r w:rsidRPr="00386D2F">
        <w:rPr>
          <w:rFonts w:eastAsia="Times New Roman" w:cs="Times New Roman"/>
          <w:kern w:val="0"/>
          <w:szCs w:val="20"/>
          <w:lang w:eastAsia="es-CO"/>
          <w14:ligatures w14:val="none"/>
        </w:rPr>
        <w:t xml:space="preserve"> </w:t>
      </w:r>
      <w:r>
        <w:rPr>
          <w:rFonts w:eastAsia="Times New Roman" w:cs="Times New Roman"/>
          <w:kern w:val="0"/>
          <w:szCs w:val="20"/>
          <w:lang w:eastAsia="es-CO"/>
          <w14:ligatures w14:val="none"/>
        </w:rPr>
        <w:t xml:space="preserve">o </w:t>
      </w:r>
      <w:proofErr w:type="spellStart"/>
      <w:r w:rsidRPr="00386945">
        <w:rPr>
          <w:rFonts w:eastAsia="Times New Roman" w:cs="Times New Roman"/>
          <w:i/>
          <w:iCs/>
          <w:kern w:val="0"/>
          <w:szCs w:val="20"/>
          <w:lang w:eastAsia="es-CO"/>
          <w14:ligatures w14:val="none"/>
        </w:rPr>
        <w:t>Pharmacovigilance</w:t>
      </w:r>
      <w:proofErr w:type="spellEnd"/>
      <w:r w:rsidRPr="00386945">
        <w:rPr>
          <w:rFonts w:eastAsia="Times New Roman" w:cs="Times New Roman"/>
          <w:i/>
          <w:iCs/>
          <w:kern w:val="0"/>
          <w:szCs w:val="20"/>
          <w:lang w:eastAsia="es-CO"/>
          <w14:ligatures w14:val="none"/>
        </w:rPr>
        <w:t xml:space="preserve"> </w:t>
      </w:r>
      <w:proofErr w:type="spellStart"/>
      <w:r w:rsidRPr="00386945">
        <w:rPr>
          <w:rFonts w:eastAsia="Times New Roman" w:cs="Times New Roman"/>
          <w:i/>
          <w:iCs/>
          <w:kern w:val="0"/>
          <w:szCs w:val="20"/>
          <w:lang w:eastAsia="es-CO"/>
          <w14:ligatures w14:val="none"/>
        </w:rPr>
        <w:t>Risk</w:t>
      </w:r>
      <w:proofErr w:type="spellEnd"/>
      <w:r w:rsidRPr="00386945">
        <w:rPr>
          <w:rFonts w:eastAsia="Times New Roman" w:cs="Times New Roman"/>
          <w:i/>
          <w:iCs/>
          <w:kern w:val="0"/>
          <w:szCs w:val="20"/>
          <w:lang w:eastAsia="es-CO"/>
          <w14:ligatures w14:val="none"/>
        </w:rPr>
        <w:t xml:space="preserve"> </w:t>
      </w:r>
      <w:proofErr w:type="spellStart"/>
      <w:r w:rsidRPr="00386945">
        <w:rPr>
          <w:rFonts w:eastAsia="Times New Roman" w:cs="Times New Roman"/>
          <w:i/>
          <w:iCs/>
          <w:kern w:val="0"/>
          <w:szCs w:val="20"/>
          <w:lang w:eastAsia="es-CO"/>
          <w14:ligatures w14:val="none"/>
        </w:rPr>
        <w:t>Assessment</w:t>
      </w:r>
      <w:proofErr w:type="spellEnd"/>
      <w:r w:rsidRPr="00386945">
        <w:rPr>
          <w:rFonts w:eastAsia="Times New Roman" w:cs="Times New Roman"/>
          <w:i/>
          <w:iCs/>
          <w:kern w:val="0"/>
          <w:szCs w:val="20"/>
          <w:lang w:eastAsia="es-CO"/>
          <w14:ligatures w14:val="none"/>
        </w:rPr>
        <w:t xml:space="preserve"> </w:t>
      </w:r>
      <w:proofErr w:type="spellStart"/>
      <w:r w:rsidRPr="00386945">
        <w:rPr>
          <w:rFonts w:eastAsia="Times New Roman" w:cs="Times New Roman"/>
          <w:i/>
          <w:iCs/>
          <w:kern w:val="0"/>
          <w:szCs w:val="20"/>
          <w:lang w:eastAsia="es-CO"/>
          <w14:ligatures w14:val="none"/>
        </w:rPr>
        <w:t>Committee</w:t>
      </w:r>
      <w:proofErr w:type="spellEnd"/>
      <w:r w:rsidRPr="00386945">
        <w:rPr>
          <w:rFonts w:eastAsia="Times New Roman" w:cs="Times New Roman"/>
          <w:kern w:val="0"/>
          <w:szCs w:val="20"/>
          <w:lang w:eastAsia="es-CO"/>
          <w14:ligatures w14:val="none"/>
        </w:rPr>
        <w:t>)</w:t>
      </w:r>
      <w:r w:rsidRPr="00386D2F">
        <w:rPr>
          <w:rFonts w:eastAsia="Times New Roman" w:cs="Times New Roman"/>
          <w:kern w:val="0"/>
          <w:szCs w:val="20"/>
          <w:lang w:eastAsia="es-CO"/>
          <w14:ligatures w14:val="none"/>
        </w:rPr>
        <w:t xml:space="preserve">, </w:t>
      </w:r>
      <w:r w:rsidRPr="000C0E92">
        <w:rPr>
          <w:rFonts w:eastAsia="Times New Roman" w:cs="Times New Roman"/>
          <w:kern w:val="0"/>
          <w:szCs w:val="20"/>
          <w:lang w:eastAsia="es-CO"/>
          <w14:ligatures w14:val="none"/>
        </w:rPr>
        <w:t xml:space="preserve">responsable de la evaluación de los problemas de seguridad de los medicamentos de uso humano, que </w:t>
      </w:r>
      <w:r>
        <w:rPr>
          <w:rFonts w:eastAsia="Times New Roman" w:cs="Times New Roman"/>
          <w:kern w:val="0"/>
          <w:szCs w:val="20"/>
          <w:lang w:eastAsia="es-CO"/>
          <w14:ligatures w14:val="none"/>
        </w:rPr>
        <w:t xml:space="preserve">hizo </w:t>
      </w:r>
      <w:r w:rsidRPr="000C0E92">
        <w:rPr>
          <w:rFonts w:eastAsia="Times New Roman" w:cs="Times New Roman"/>
          <w:kern w:val="0"/>
          <w:szCs w:val="20"/>
          <w:lang w:eastAsia="es-CO"/>
          <w14:ligatures w14:val="none"/>
        </w:rPr>
        <w:t>una serie de recomendaciones sobre los requisitos de monitor</w:t>
      </w:r>
      <w:r>
        <w:rPr>
          <w:rFonts w:eastAsia="Times New Roman" w:cs="Times New Roman"/>
          <w:kern w:val="0"/>
          <w:szCs w:val="20"/>
          <w:lang w:eastAsia="es-CO"/>
          <w14:ligatures w14:val="none"/>
        </w:rPr>
        <w:t>eo</w:t>
      </w:r>
      <w:r w:rsidRPr="000C0E92">
        <w:rPr>
          <w:rFonts w:eastAsia="Times New Roman" w:cs="Times New Roman"/>
          <w:kern w:val="0"/>
          <w:szCs w:val="20"/>
          <w:lang w:eastAsia="es-CO"/>
          <w14:ligatures w14:val="none"/>
        </w:rPr>
        <w:t xml:space="preserve"> de la función hepática.</w:t>
      </w:r>
    </w:p>
    <w:p w14:paraId="70C86584" w14:textId="77777777" w:rsidR="002334B2" w:rsidRDefault="002334B2" w:rsidP="002334B2">
      <w:pPr>
        <w:shd w:val="clear" w:color="auto" w:fill="FFFFFF"/>
        <w:rPr>
          <w:rFonts w:eastAsia="Times New Roman" w:cs="Times New Roman"/>
          <w:kern w:val="0"/>
          <w:szCs w:val="20"/>
          <w:lang w:eastAsia="es-CO"/>
          <w14:ligatures w14:val="none"/>
        </w:rPr>
      </w:pPr>
    </w:p>
    <w:p w14:paraId="52EB76FB" w14:textId="77777777" w:rsidR="002334B2" w:rsidRPr="00386945" w:rsidRDefault="002334B2" w:rsidP="002334B2">
      <w:pPr>
        <w:shd w:val="clear" w:color="auto" w:fill="FFFFFF"/>
        <w:rPr>
          <w:rFonts w:eastAsia="Times New Roman" w:cs="Times New Roman"/>
          <w:kern w:val="0"/>
          <w:szCs w:val="20"/>
          <w:lang w:eastAsia="es-CO"/>
          <w14:ligatures w14:val="none"/>
        </w:rPr>
      </w:pPr>
      <w:r w:rsidRPr="000C0E92">
        <w:rPr>
          <w:rFonts w:eastAsia="Times New Roman" w:cs="Times New Roman"/>
          <w:kern w:val="0"/>
          <w:szCs w:val="20"/>
          <w:lang w:eastAsia="es-CO"/>
          <w14:ligatures w14:val="none"/>
        </w:rPr>
        <w:t>La opinión del CHMP se remitirá ahora a la Comisión Europea, que emitirá una decisión final jurídicamente vinculante</w:t>
      </w:r>
      <w:r>
        <w:rPr>
          <w:rFonts w:eastAsia="Times New Roman" w:cs="Times New Roman"/>
          <w:kern w:val="0"/>
          <w:szCs w:val="20"/>
          <w:lang w:eastAsia="es-CO"/>
          <w14:ligatures w14:val="none"/>
        </w:rPr>
        <w:t>,</w:t>
      </w:r>
      <w:r w:rsidRPr="000C0E92">
        <w:rPr>
          <w:rFonts w:eastAsia="Times New Roman" w:cs="Times New Roman"/>
          <w:kern w:val="0"/>
          <w:szCs w:val="20"/>
          <w:lang w:eastAsia="es-CO"/>
          <w14:ligatures w14:val="none"/>
        </w:rPr>
        <w:t xml:space="preserve"> aplicable en todos los Estados miembros de la UE.</w:t>
      </w:r>
    </w:p>
    <w:p w14:paraId="2E40691B" w14:textId="77777777" w:rsidR="002334B2" w:rsidRPr="00FC32F9" w:rsidRDefault="002334B2" w:rsidP="002334B2">
      <w:pPr>
        <w:shd w:val="clear" w:color="auto" w:fill="FFFFFF"/>
        <w:rPr>
          <w:rFonts w:eastAsia="Times New Roman" w:cs="Times New Roman"/>
          <w:b/>
          <w:bCs/>
          <w:color w:val="1E1E1E"/>
          <w:kern w:val="0"/>
          <w:sz w:val="18"/>
          <w:szCs w:val="18"/>
          <w:lang w:eastAsia="es-CO"/>
          <w14:ligatures w14:val="none"/>
        </w:rPr>
      </w:pPr>
    </w:p>
    <w:p w14:paraId="780CF630" w14:textId="77777777" w:rsidR="002334B2" w:rsidRPr="003A1C23" w:rsidRDefault="002334B2" w:rsidP="002334B2">
      <w:pPr>
        <w:shd w:val="clear" w:color="auto" w:fill="FFFFFF"/>
        <w:rPr>
          <w:rFonts w:eastAsia="Times New Roman" w:cs="Times New Roman"/>
          <w:b/>
          <w:bCs/>
          <w:color w:val="1E1E1E"/>
          <w:kern w:val="0"/>
          <w:sz w:val="18"/>
          <w:szCs w:val="18"/>
          <w:lang w:val="en-US" w:eastAsia="es-CO"/>
          <w14:ligatures w14:val="none"/>
        </w:rPr>
      </w:pPr>
      <w:proofErr w:type="spellStart"/>
      <w:r w:rsidRPr="003A1C23">
        <w:rPr>
          <w:rFonts w:eastAsia="Times New Roman" w:cs="Times New Roman"/>
          <w:b/>
          <w:bCs/>
          <w:color w:val="1E1E1E"/>
          <w:kern w:val="0"/>
          <w:sz w:val="18"/>
          <w:szCs w:val="18"/>
          <w:lang w:val="en-US" w:eastAsia="es-CO"/>
          <w14:ligatures w14:val="none"/>
        </w:rPr>
        <w:t>Referencias</w:t>
      </w:r>
      <w:proofErr w:type="spellEnd"/>
    </w:p>
    <w:p w14:paraId="244D9749" w14:textId="77777777" w:rsidR="002334B2" w:rsidRDefault="002334B2" w:rsidP="002334B2">
      <w:pPr>
        <w:shd w:val="clear" w:color="auto" w:fill="FFFFFF"/>
        <w:ind w:left="180" w:hanging="180"/>
        <w:rPr>
          <w:rFonts w:eastAsia="Times New Roman" w:cs="Times New Roman"/>
          <w:color w:val="1E1E1E"/>
          <w:kern w:val="0"/>
          <w:sz w:val="18"/>
          <w:szCs w:val="18"/>
          <w:lang w:eastAsia="es-CO"/>
          <w14:ligatures w14:val="none"/>
        </w:rPr>
      </w:pPr>
      <w:r w:rsidRPr="003A1C23">
        <w:rPr>
          <w:rFonts w:eastAsia="Times New Roman" w:cs="Times New Roman"/>
          <w:color w:val="1E1E1E"/>
          <w:kern w:val="0"/>
          <w:sz w:val="18"/>
          <w:szCs w:val="18"/>
          <w:lang w:val="en-US" w:eastAsia="es-CO"/>
          <w14:ligatures w14:val="none"/>
        </w:rPr>
        <w:t xml:space="preserve">1.EMA. </w:t>
      </w:r>
      <w:r w:rsidRPr="003A1C23">
        <w:rPr>
          <w:rFonts w:cs="Times New Roman"/>
          <w:sz w:val="18"/>
          <w:szCs w:val="18"/>
          <w:lang w:val="en-US"/>
        </w:rPr>
        <w:t xml:space="preserve">Direct healthcare </w:t>
      </w:r>
      <w:proofErr w:type="spellStart"/>
      <w:r w:rsidRPr="003A1C23">
        <w:rPr>
          <w:rFonts w:cs="Times New Roman"/>
          <w:sz w:val="18"/>
          <w:szCs w:val="18"/>
          <w:lang w:val="en-US"/>
        </w:rPr>
        <w:t>profesional</w:t>
      </w:r>
      <w:proofErr w:type="spellEnd"/>
      <w:r w:rsidRPr="003A1C23">
        <w:rPr>
          <w:rFonts w:cs="Times New Roman"/>
          <w:sz w:val="18"/>
          <w:szCs w:val="18"/>
          <w:lang w:val="en-US"/>
        </w:rPr>
        <w:t xml:space="preserve"> communications. </w:t>
      </w:r>
      <w:r>
        <w:rPr>
          <w:rFonts w:cs="Times New Roman"/>
          <w:sz w:val="18"/>
          <w:szCs w:val="18"/>
        </w:rPr>
        <w:t>Disponible en:</w:t>
      </w:r>
      <w:r>
        <w:rPr>
          <w:rFonts w:eastAsia="Times New Roman" w:cs="Times New Roman"/>
          <w:color w:val="1E1E1E"/>
          <w:kern w:val="0"/>
          <w:sz w:val="18"/>
          <w:szCs w:val="18"/>
          <w:lang w:eastAsia="es-CO"/>
          <w14:ligatures w14:val="none"/>
        </w:rPr>
        <w:t xml:space="preserve"> </w:t>
      </w:r>
      <w:hyperlink r:id="rId66" w:history="1">
        <w:r w:rsidRPr="00A96C1C">
          <w:rPr>
            <w:rStyle w:val="Hipervnculo"/>
            <w:rFonts w:eastAsia="Times New Roman" w:cs="Times New Roman"/>
            <w:kern w:val="0"/>
            <w:sz w:val="18"/>
            <w:szCs w:val="18"/>
            <w:lang w:eastAsia="es-CO"/>
            <w14:ligatures w14:val="none"/>
          </w:rPr>
          <w:t>https://www.ema.europa.eu/en/human-regulatory-overview/post-authorisation/pharmacovigilance-post-authorisation/direct-healthcare-professional-communications-dhpc</w:t>
        </w:r>
      </w:hyperlink>
    </w:p>
    <w:p w14:paraId="4FB18B22" w14:textId="77777777" w:rsidR="002334B2" w:rsidRDefault="002334B2" w:rsidP="002334B2">
      <w:pPr>
        <w:shd w:val="clear" w:color="auto" w:fill="FFFFFF"/>
        <w:ind w:left="180" w:hanging="180"/>
      </w:pPr>
      <w:r>
        <w:rPr>
          <w:rFonts w:eastAsia="Times New Roman" w:cs="Times New Roman"/>
          <w:color w:val="1E1E1E"/>
          <w:kern w:val="0"/>
          <w:sz w:val="18"/>
          <w:szCs w:val="18"/>
          <w:lang w:eastAsia="es-CO"/>
          <w14:ligatures w14:val="none"/>
        </w:rPr>
        <w:t xml:space="preserve">2.EMA. </w:t>
      </w:r>
      <w:proofErr w:type="spellStart"/>
      <w:r>
        <w:rPr>
          <w:rFonts w:eastAsia="Times New Roman" w:cs="Times New Roman"/>
          <w:color w:val="1E1E1E"/>
          <w:kern w:val="0"/>
          <w:sz w:val="18"/>
          <w:szCs w:val="18"/>
          <w:lang w:eastAsia="es-CO"/>
          <w14:ligatures w14:val="none"/>
        </w:rPr>
        <w:t>Tavneos</w:t>
      </w:r>
      <w:proofErr w:type="spellEnd"/>
      <w:r>
        <w:rPr>
          <w:rFonts w:eastAsia="Times New Roman" w:cs="Times New Roman"/>
          <w:color w:val="1E1E1E"/>
          <w:kern w:val="0"/>
          <w:sz w:val="18"/>
          <w:szCs w:val="18"/>
          <w:lang w:eastAsia="es-CO"/>
          <w14:ligatures w14:val="none"/>
        </w:rPr>
        <w:t xml:space="preserve"> (</w:t>
      </w:r>
      <w:proofErr w:type="spellStart"/>
      <w:r w:rsidRPr="000C0E92">
        <w:rPr>
          <w:rFonts w:eastAsia="Times New Roman" w:cs="Times New Roman"/>
          <w:i/>
          <w:iCs/>
          <w:color w:val="1E1E1E"/>
          <w:kern w:val="0"/>
          <w:sz w:val="18"/>
          <w:szCs w:val="18"/>
          <w:lang w:eastAsia="es-CO"/>
          <w14:ligatures w14:val="none"/>
        </w:rPr>
        <w:t>avacopan</w:t>
      </w:r>
      <w:proofErr w:type="spellEnd"/>
      <w:r>
        <w:rPr>
          <w:rFonts w:eastAsia="Times New Roman" w:cs="Times New Roman"/>
          <w:color w:val="1E1E1E"/>
          <w:kern w:val="0"/>
          <w:sz w:val="18"/>
          <w:szCs w:val="18"/>
          <w:lang w:eastAsia="es-CO"/>
          <w14:ligatures w14:val="none"/>
        </w:rPr>
        <w:t xml:space="preserve">). </w:t>
      </w:r>
      <w:hyperlink r:id="rId67" w:history="1">
        <w:proofErr w:type="spellStart"/>
        <w:r>
          <w:rPr>
            <w:rStyle w:val="Hipervnculo"/>
          </w:rPr>
          <w:t>Tavneos</w:t>
        </w:r>
        <w:proofErr w:type="spellEnd"/>
        <w:r>
          <w:rPr>
            <w:rStyle w:val="Hipervnculo"/>
          </w:rPr>
          <w:t xml:space="preserve"> | </w:t>
        </w:r>
        <w:proofErr w:type="spellStart"/>
        <w:r>
          <w:rPr>
            <w:rStyle w:val="Hipervnculo"/>
          </w:rPr>
          <w:t>European</w:t>
        </w:r>
        <w:proofErr w:type="spellEnd"/>
        <w:r>
          <w:rPr>
            <w:rStyle w:val="Hipervnculo"/>
          </w:rPr>
          <w:t xml:space="preserve"> Medicines Agency (EMA)</w:t>
        </w:r>
      </w:hyperlink>
    </w:p>
    <w:p w14:paraId="6933795B" w14:textId="77777777" w:rsidR="002334B2" w:rsidRPr="00D636AF" w:rsidRDefault="002334B2" w:rsidP="002334B2">
      <w:pPr>
        <w:pStyle w:val="file-title"/>
        <w:shd w:val="clear" w:color="auto" w:fill="FFFFFF"/>
        <w:spacing w:before="0" w:beforeAutospacing="0" w:after="0" w:afterAutospacing="0"/>
        <w:ind w:left="180" w:hanging="180"/>
        <w:rPr>
          <w:color w:val="1E1E1E"/>
          <w:sz w:val="18"/>
          <w:szCs w:val="18"/>
        </w:rPr>
      </w:pPr>
      <w:r w:rsidRPr="000C0E92">
        <w:rPr>
          <w:sz w:val="18"/>
          <w:szCs w:val="18"/>
        </w:rPr>
        <w:t xml:space="preserve">3.EMA. </w:t>
      </w:r>
      <w:proofErr w:type="spellStart"/>
      <w:r w:rsidRPr="000C0E92">
        <w:rPr>
          <w:color w:val="1E1E1E"/>
          <w:sz w:val="18"/>
          <w:szCs w:val="18"/>
        </w:rPr>
        <w:t>Tavneos</w:t>
      </w:r>
      <w:proofErr w:type="spellEnd"/>
      <w:r w:rsidRPr="000C0E92">
        <w:rPr>
          <w:color w:val="1E1E1E"/>
          <w:sz w:val="18"/>
          <w:szCs w:val="18"/>
        </w:rPr>
        <w:t xml:space="preserve">: EPAR </w:t>
      </w:r>
      <w:r>
        <w:rPr>
          <w:color w:val="1E1E1E"/>
          <w:sz w:val="18"/>
          <w:szCs w:val="18"/>
        </w:rPr>
        <w:t>–</w:t>
      </w:r>
      <w:r w:rsidRPr="000C0E92">
        <w:rPr>
          <w:color w:val="1E1E1E"/>
          <w:sz w:val="18"/>
          <w:szCs w:val="18"/>
        </w:rPr>
        <w:t xml:space="preserve"> Medicine </w:t>
      </w:r>
      <w:proofErr w:type="spellStart"/>
      <w:r w:rsidRPr="000C0E92">
        <w:rPr>
          <w:color w:val="1E1E1E"/>
          <w:sz w:val="18"/>
          <w:szCs w:val="18"/>
        </w:rPr>
        <w:t>Overview</w:t>
      </w:r>
      <w:proofErr w:type="spellEnd"/>
      <w:r>
        <w:rPr>
          <w:color w:val="1E1E1E"/>
          <w:sz w:val="18"/>
          <w:szCs w:val="18"/>
        </w:rPr>
        <w:t xml:space="preserve">. </w:t>
      </w:r>
      <w:r w:rsidRPr="000C0E92">
        <w:rPr>
          <w:color w:val="1E1E1E"/>
          <w:sz w:val="18"/>
          <w:szCs w:val="18"/>
        </w:rPr>
        <w:t>Número de referencia:</w:t>
      </w:r>
      <w:r>
        <w:rPr>
          <w:color w:val="1E1E1E"/>
          <w:sz w:val="18"/>
          <w:szCs w:val="18"/>
        </w:rPr>
        <w:t xml:space="preserve"> </w:t>
      </w:r>
      <w:r w:rsidRPr="000C0E92">
        <w:rPr>
          <w:color w:val="1E1E1E"/>
          <w:sz w:val="18"/>
          <w:szCs w:val="18"/>
        </w:rPr>
        <w:t>EMA/686677/2021</w:t>
      </w:r>
      <w:r>
        <w:rPr>
          <w:color w:val="1E1E1E"/>
          <w:sz w:val="18"/>
          <w:szCs w:val="18"/>
        </w:rPr>
        <w:t xml:space="preserve"> </w:t>
      </w:r>
      <w:hyperlink r:id="rId68" w:history="1">
        <w:r w:rsidRPr="00A96C1C">
          <w:rPr>
            <w:rStyle w:val="Hipervnculo"/>
            <w:sz w:val="18"/>
            <w:szCs w:val="18"/>
          </w:rPr>
          <w:t>https://www.ema.europa.eu/en/medicines/human/EPAR/tavneos</w:t>
        </w:r>
      </w:hyperlink>
    </w:p>
    <w:p w14:paraId="76C38860" w14:textId="77777777" w:rsidR="002334B2" w:rsidRDefault="002334B2" w:rsidP="002334B2">
      <w:pPr>
        <w:rPr>
          <w:b/>
          <w:bCs/>
        </w:rPr>
      </w:pPr>
    </w:p>
    <w:p w14:paraId="4653AF6E" w14:textId="18003DD1" w:rsidR="002334B2" w:rsidRDefault="002334B2" w:rsidP="002334B2">
      <w:r w:rsidRPr="00D5511B">
        <w:rPr>
          <w:b/>
          <w:bCs/>
        </w:rPr>
        <w:t>Comentario de Salud y Fármacos:</w:t>
      </w:r>
      <w:r>
        <w:rPr>
          <w:b/>
          <w:bCs/>
        </w:rPr>
        <w:t xml:space="preserve"> </w:t>
      </w:r>
      <w:r>
        <w:t>Un</w:t>
      </w:r>
      <w:r w:rsidRPr="00B847CA">
        <w:t xml:space="preserve"> cambio </w:t>
      </w:r>
      <w:r w:rsidRPr="00476BF2">
        <w:t xml:space="preserve">en </w:t>
      </w:r>
      <w:r w:rsidRPr="00B847CA">
        <w:t xml:space="preserve">los resultados </w:t>
      </w:r>
      <w:r>
        <w:t xml:space="preserve">de ensayos clínicos (supuestamente cegado), </w:t>
      </w:r>
      <w:r w:rsidRPr="00B847CA">
        <w:t>puede alterar las conclusiones de un estudio y</w:t>
      </w:r>
      <w:r>
        <w:t xml:space="preserve"> </w:t>
      </w:r>
      <w:r w:rsidRPr="00B847CA">
        <w:t xml:space="preserve">afectar </w:t>
      </w:r>
      <w:r>
        <w:t>los</w:t>
      </w:r>
      <w:r w:rsidRPr="00B847CA">
        <w:t xml:space="preserve"> medicamentos </w:t>
      </w:r>
      <w:r>
        <w:t xml:space="preserve">que </w:t>
      </w:r>
      <w:r w:rsidRPr="00B847CA">
        <w:t>se aprueban,</w:t>
      </w:r>
      <w:r>
        <w:t xml:space="preserve"> se</w:t>
      </w:r>
      <w:r w:rsidRPr="00B847CA">
        <w:t xml:space="preserve"> financian y</w:t>
      </w:r>
      <w:r>
        <w:t xml:space="preserve"> se</w:t>
      </w:r>
      <w:r w:rsidRPr="00B847CA">
        <w:t xml:space="preserve"> prescriben a los pacientes.</w:t>
      </w:r>
      <w:r>
        <w:t xml:space="preserve"> La manipulación de los resultados expone a los pacientes a </w:t>
      </w:r>
      <w:proofErr w:type="spellStart"/>
      <w:r>
        <w:t>multiples</w:t>
      </w:r>
      <w:proofErr w:type="spellEnd"/>
      <w:r>
        <w:t xml:space="preserve"> riesgos, incluyendo que</w:t>
      </w:r>
      <w:r w:rsidRPr="00B847CA">
        <w:t xml:space="preserve"> los paciente</w:t>
      </w:r>
      <w:r>
        <w:t>s</w:t>
      </w:r>
      <w:r w:rsidRPr="00B847CA">
        <w:t xml:space="preserve"> recib</w:t>
      </w:r>
      <w:r>
        <w:t>an</w:t>
      </w:r>
      <w:r w:rsidRPr="00B847CA">
        <w:t xml:space="preserve"> tratamientos </w:t>
      </w:r>
      <w:r>
        <w:t xml:space="preserve">con un </w:t>
      </w:r>
      <w:r>
        <w:lastRenderedPageBreak/>
        <w:t>balance riesgo-beneficio desfavorable</w:t>
      </w:r>
      <w:r w:rsidRPr="00B847CA">
        <w:t>.</w:t>
      </w:r>
      <w:r>
        <w:t xml:space="preserve"> En el caso de </w:t>
      </w:r>
      <w:proofErr w:type="spellStart"/>
      <w:r w:rsidRPr="007E6026">
        <w:rPr>
          <w:i/>
          <w:iCs/>
        </w:rPr>
        <w:t>avacopan</w:t>
      </w:r>
      <w:proofErr w:type="spellEnd"/>
      <w:r>
        <w:t xml:space="preserve"> (</w:t>
      </w:r>
      <w:proofErr w:type="spellStart"/>
      <w:r>
        <w:t>Tavneos</w:t>
      </w:r>
      <w:proofErr w:type="spellEnd"/>
      <w:r>
        <w:t xml:space="preserve">), muchos pacientes sufrieron efectos secundarios graves y se desperdiciaron importantes recursos para la salud [1]. </w:t>
      </w:r>
    </w:p>
    <w:p w14:paraId="137DDFD0" w14:textId="77777777" w:rsidR="002334B2" w:rsidRPr="00525953" w:rsidRDefault="002334B2" w:rsidP="002334B2">
      <w:pPr>
        <w:rPr>
          <w:b/>
          <w:bCs/>
        </w:rPr>
      </w:pPr>
    </w:p>
    <w:p w14:paraId="5EFFE1A9" w14:textId="77777777" w:rsidR="002334B2" w:rsidRDefault="002334B2" w:rsidP="002334B2">
      <w:r>
        <w:t xml:space="preserve">Según la FDA, la información que salió a la luz más de tres años después de la aprobación de </w:t>
      </w:r>
      <w:proofErr w:type="spellStart"/>
      <w:r w:rsidRPr="007E6026">
        <w:rPr>
          <w:i/>
          <w:iCs/>
        </w:rPr>
        <w:t>avacopan</w:t>
      </w:r>
      <w:proofErr w:type="spellEnd"/>
      <w:r>
        <w:t xml:space="preserve"> (</w:t>
      </w:r>
      <w:proofErr w:type="spellStart"/>
      <w:r>
        <w:t>Tavneos</w:t>
      </w:r>
      <w:proofErr w:type="spellEnd"/>
      <w:r>
        <w:t xml:space="preserve">) demostró que personal involucrado en el ensayo </w:t>
      </w:r>
      <w:proofErr w:type="spellStart"/>
      <w:r>
        <w:t>Advocate</w:t>
      </w:r>
      <w:proofErr w:type="spellEnd"/>
      <w:r>
        <w:t xml:space="preserve">, que conocía el tratamiento que estaba recibiendo cada paciente, manipuló los datos de nueve participantes en el ensayo clínico </w:t>
      </w:r>
      <w:proofErr w:type="spellStart"/>
      <w:r>
        <w:t>pivotal</w:t>
      </w:r>
      <w:proofErr w:type="spellEnd"/>
      <w:r>
        <w:t xml:space="preserve"> para que </w:t>
      </w:r>
      <w:proofErr w:type="spellStart"/>
      <w:r>
        <w:t>Tavneos</w:t>
      </w:r>
      <w:proofErr w:type="spellEnd"/>
      <w:r>
        <w:t xml:space="preserve"> pareciera eficaz, cuando el análisis original de los datos no respaldaba esa conclusión. El solicitante tampoco reveló los resultados del análisis original a la FDA, violando la regulación de ensayos clínicos con humanos [1].</w:t>
      </w:r>
    </w:p>
    <w:p w14:paraId="19810BF4" w14:textId="77777777" w:rsidR="002334B2" w:rsidRDefault="002334B2" w:rsidP="002334B2"/>
    <w:p w14:paraId="06B45747" w14:textId="77777777" w:rsidR="002334B2" w:rsidRDefault="002334B2" w:rsidP="002334B2">
      <w:r>
        <w:t xml:space="preserve">La EMA, que emitió una opinión favorable sobre el medicamento </w:t>
      </w:r>
      <w:proofErr w:type="spellStart"/>
      <w:r w:rsidRPr="007E6026">
        <w:rPr>
          <w:i/>
          <w:iCs/>
        </w:rPr>
        <w:t>avacopan</w:t>
      </w:r>
      <w:proofErr w:type="spellEnd"/>
      <w:r>
        <w:t xml:space="preserve"> (</w:t>
      </w:r>
      <w:proofErr w:type="spellStart"/>
      <w:r>
        <w:t>Tavneos</w:t>
      </w:r>
      <w:proofErr w:type="spellEnd"/>
      <w:r>
        <w:t xml:space="preserve">) un mes después de que lo hubiera aprobado la FDA en 2021, ahora concluye que el estudio </w:t>
      </w:r>
      <w:proofErr w:type="spellStart"/>
      <w:r>
        <w:t>Advocate</w:t>
      </w:r>
      <w:proofErr w:type="spellEnd"/>
      <w:r>
        <w:t xml:space="preserve"> se llevó a cabo incumpliendo las buenas prácticas clínicas [1].</w:t>
      </w:r>
    </w:p>
    <w:p w14:paraId="4F84E4C8" w14:textId="77777777" w:rsidR="002334B2" w:rsidRDefault="002334B2" w:rsidP="002334B2"/>
    <w:p w14:paraId="3849AA05" w14:textId="2ABAB852" w:rsidR="002334B2" w:rsidRDefault="002334B2" w:rsidP="002334B2">
      <w:r>
        <w:t>La confianza es difícil de ganar y fácil de perder. Aunque los daños a la integridad de la ciencia</w:t>
      </w:r>
      <w:r w:rsidRPr="00110F8B">
        <w:t xml:space="preserve"> </w:t>
      </w:r>
      <w:r>
        <w:t xml:space="preserve">son graves, el </w:t>
      </w:r>
      <w:r w:rsidRPr="004C140A">
        <w:rPr>
          <w:i/>
          <w:iCs/>
        </w:rPr>
        <w:t xml:space="preserve">New </w:t>
      </w:r>
      <w:proofErr w:type="spellStart"/>
      <w:r w:rsidRPr="004C140A">
        <w:rPr>
          <w:i/>
          <w:iCs/>
        </w:rPr>
        <w:t>England</w:t>
      </w:r>
      <w:proofErr w:type="spellEnd"/>
      <w:r w:rsidRPr="004C140A">
        <w:rPr>
          <w:i/>
          <w:iCs/>
        </w:rPr>
        <w:t xml:space="preserve"> </w:t>
      </w:r>
      <w:proofErr w:type="spellStart"/>
      <w:r w:rsidRPr="004C140A">
        <w:rPr>
          <w:i/>
          <w:iCs/>
        </w:rPr>
        <w:t>Journal</w:t>
      </w:r>
      <w:proofErr w:type="spellEnd"/>
      <w:r w:rsidRPr="004C140A">
        <w:rPr>
          <w:i/>
          <w:iCs/>
        </w:rPr>
        <w:t xml:space="preserve"> of Medicine</w:t>
      </w:r>
      <w:r>
        <w:t xml:space="preserve"> (NEJM) retractó la publicación del histórico ensayo </w:t>
      </w:r>
      <w:proofErr w:type="spellStart"/>
      <w:r>
        <w:t>Advocate</w:t>
      </w:r>
      <w:proofErr w:type="spellEnd"/>
      <w:r>
        <w:t xml:space="preserve"> después de que dos académicos lo solicitaran. Según el aviso de retractación, los autores desconocían que personal del estudio </w:t>
      </w:r>
      <w:proofErr w:type="spellStart"/>
      <w:r>
        <w:t>readjudicó</w:t>
      </w:r>
      <w:proofErr w:type="spellEnd"/>
      <w:r>
        <w:t xml:space="preserve"> los datos del criterio principal de valoración de nueve pacientes tras el cierre de la base de datos. y tras conocer cómo se habían asignado los tratamientos [1].</w:t>
      </w:r>
    </w:p>
    <w:p w14:paraId="7D0C41BA" w14:textId="77777777" w:rsidR="002334B2" w:rsidRDefault="002334B2" w:rsidP="002334B2"/>
    <w:p w14:paraId="5A427A73" w14:textId="77777777" w:rsidR="002334B2" w:rsidRDefault="002334B2" w:rsidP="002334B2">
      <w:r>
        <w:t xml:space="preserve">En EE UU, el </w:t>
      </w:r>
      <w:proofErr w:type="spellStart"/>
      <w:r w:rsidRPr="007E6026">
        <w:rPr>
          <w:i/>
          <w:iCs/>
        </w:rPr>
        <w:t>avacopan</w:t>
      </w:r>
      <w:proofErr w:type="spellEnd"/>
      <w:r>
        <w:t xml:space="preserve"> (</w:t>
      </w:r>
      <w:proofErr w:type="spellStart"/>
      <w:r>
        <w:t>Tavneos</w:t>
      </w:r>
      <w:proofErr w:type="spellEnd"/>
      <w:r>
        <w:t xml:space="preserve">) permanecerá en el mercado hasta que el solicitante decida retirarlo o el Comisionado de la FDA ordene el retiro de la aprobación otorgada a </w:t>
      </w:r>
      <w:proofErr w:type="spellStart"/>
      <w:r w:rsidRPr="00FF6399">
        <w:rPr>
          <w:i/>
          <w:iCs/>
        </w:rPr>
        <w:t>avacopan</w:t>
      </w:r>
      <w:proofErr w:type="spellEnd"/>
      <w:r w:rsidRPr="00FF6399">
        <w:rPr>
          <w:i/>
          <w:iCs/>
        </w:rPr>
        <w:t>.</w:t>
      </w:r>
      <w:r>
        <w:t xml:space="preserve"> </w:t>
      </w:r>
    </w:p>
    <w:p w14:paraId="43606D9C" w14:textId="77777777" w:rsidR="002334B2" w:rsidRDefault="002334B2" w:rsidP="002334B2"/>
    <w:p w14:paraId="6559DFB9" w14:textId="77777777" w:rsidR="002334B2" w:rsidRPr="00FC32F9" w:rsidRDefault="002334B2" w:rsidP="002334B2">
      <w:pPr>
        <w:rPr>
          <w:lang w:val="en-US"/>
        </w:rPr>
      </w:pPr>
      <w:r w:rsidRPr="00F4468A">
        <w:t xml:space="preserve">Van </w:t>
      </w:r>
      <w:proofErr w:type="spellStart"/>
      <w:r w:rsidRPr="00F4468A">
        <w:t>Waalwijk</w:t>
      </w:r>
      <w:proofErr w:type="spellEnd"/>
      <w:r w:rsidRPr="00F4468A">
        <w:rPr>
          <w:sz w:val="22"/>
          <w:szCs w:val="28"/>
        </w:rPr>
        <w:t xml:space="preserve"> </w:t>
      </w:r>
      <w:r>
        <w:t xml:space="preserve">considera que la manipulación de datos afecta la confianza en la ciencia misma y se plantea varios interrogantes: ¿cuántos casos similares pasan desapercibidos? cuestiona el papel de los académicos que participan en ensayos patrocinados por la industria, y se pregunta ¿qué sentido tiene ser coautor de sus publicaciones si el patrocinador no considera importante revelar desviaciones o infracciones de esta naturaleza? </w:t>
      </w:r>
      <w:r w:rsidRPr="00FC32F9">
        <w:rPr>
          <w:lang w:val="en-US"/>
        </w:rPr>
        <w:t>[1].</w:t>
      </w:r>
    </w:p>
    <w:p w14:paraId="43E8A52F" w14:textId="77777777" w:rsidR="002334B2" w:rsidRPr="00FC32F9" w:rsidRDefault="002334B2" w:rsidP="002334B2">
      <w:pPr>
        <w:rPr>
          <w:lang w:val="en-US"/>
        </w:rPr>
      </w:pPr>
    </w:p>
    <w:p w14:paraId="4F15C1E8" w14:textId="77777777" w:rsidR="002334B2" w:rsidRPr="00D5511B" w:rsidRDefault="002334B2" w:rsidP="002334B2">
      <w:pPr>
        <w:rPr>
          <w:b/>
          <w:bCs/>
          <w:sz w:val="18"/>
          <w:szCs w:val="22"/>
          <w:lang w:val="en-US"/>
        </w:rPr>
      </w:pPr>
      <w:proofErr w:type="spellStart"/>
      <w:r w:rsidRPr="00D5511B">
        <w:rPr>
          <w:b/>
          <w:bCs/>
          <w:sz w:val="18"/>
          <w:szCs w:val="22"/>
          <w:lang w:val="en-US"/>
        </w:rPr>
        <w:t>Referencia</w:t>
      </w:r>
      <w:proofErr w:type="spellEnd"/>
      <w:r w:rsidRPr="00D5511B">
        <w:rPr>
          <w:b/>
          <w:bCs/>
          <w:sz w:val="18"/>
          <w:szCs w:val="22"/>
          <w:lang w:val="en-US"/>
        </w:rPr>
        <w:t>:</w:t>
      </w:r>
    </w:p>
    <w:p w14:paraId="098B7B7F" w14:textId="77777777" w:rsidR="007D0C90" w:rsidRDefault="002334B2" w:rsidP="002334B2">
      <w:pPr>
        <w:rPr>
          <w:sz w:val="18"/>
          <w:szCs w:val="22"/>
        </w:rPr>
        <w:sectPr w:rsidR="007D0C90" w:rsidSect="007D0C90">
          <w:type w:val="continuous"/>
          <w:pgSz w:w="12240" w:h="15840" w:code="1"/>
          <w:pgMar w:top="720" w:right="720" w:bottom="720" w:left="720" w:header="288" w:footer="288" w:gutter="0"/>
          <w:cols w:num="2" w:space="288"/>
          <w:docGrid w:linePitch="360"/>
        </w:sectPr>
      </w:pPr>
      <w:r w:rsidRPr="00D5511B">
        <w:rPr>
          <w:sz w:val="18"/>
          <w:szCs w:val="22"/>
          <w:lang w:val="en-US"/>
        </w:rPr>
        <w:t xml:space="preserve">1. Van </w:t>
      </w:r>
      <w:proofErr w:type="spellStart"/>
      <w:r w:rsidRPr="00D5511B">
        <w:rPr>
          <w:sz w:val="18"/>
          <w:szCs w:val="22"/>
          <w:lang w:val="en-US"/>
        </w:rPr>
        <w:t>Waalwijk</w:t>
      </w:r>
      <w:proofErr w:type="spellEnd"/>
      <w:r w:rsidRPr="00D5511B">
        <w:rPr>
          <w:sz w:val="18"/>
          <w:szCs w:val="22"/>
          <w:lang w:val="en-US"/>
        </w:rPr>
        <w:t>, S. EMA and FDA Advocate Removing Amgen’s Drug from the Market: How Unblinded Personnel Manipulated the ADVOCATE Trial</w:t>
      </w:r>
      <w:r>
        <w:rPr>
          <w:sz w:val="18"/>
          <w:szCs w:val="22"/>
          <w:lang w:val="en-US"/>
        </w:rPr>
        <w:t xml:space="preserve">. </w:t>
      </w:r>
      <w:proofErr w:type="spellStart"/>
      <w:r w:rsidRPr="00FC32F9">
        <w:rPr>
          <w:i/>
          <w:iCs/>
          <w:sz w:val="18"/>
          <w:szCs w:val="22"/>
        </w:rPr>
        <w:t>The</w:t>
      </w:r>
      <w:proofErr w:type="spellEnd"/>
      <w:r w:rsidRPr="00FC32F9">
        <w:rPr>
          <w:i/>
          <w:iCs/>
          <w:sz w:val="18"/>
          <w:szCs w:val="22"/>
        </w:rPr>
        <w:t xml:space="preserve"> </w:t>
      </w:r>
      <w:proofErr w:type="spellStart"/>
      <w:r w:rsidRPr="00FC32F9">
        <w:rPr>
          <w:i/>
          <w:iCs/>
          <w:sz w:val="18"/>
          <w:szCs w:val="22"/>
        </w:rPr>
        <w:t>Oncology</w:t>
      </w:r>
      <w:proofErr w:type="spellEnd"/>
      <w:r w:rsidRPr="00FC32F9">
        <w:rPr>
          <w:i/>
          <w:iCs/>
          <w:sz w:val="18"/>
          <w:szCs w:val="22"/>
        </w:rPr>
        <w:t xml:space="preserve"> </w:t>
      </w:r>
      <w:proofErr w:type="spellStart"/>
      <w:r w:rsidRPr="00FC32F9">
        <w:rPr>
          <w:i/>
          <w:iCs/>
          <w:sz w:val="18"/>
          <w:szCs w:val="22"/>
        </w:rPr>
        <w:t>Shot</w:t>
      </w:r>
      <w:proofErr w:type="spellEnd"/>
      <w:r w:rsidRPr="00FC32F9">
        <w:rPr>
          <w:i/>
          <w:iCs/>
          <w:sz w:val="18"/>
          <w:szCs w:val="22"/>
        </w:rPr>
        <w:t>,</w:t>
      </w:r>
      <w:r w:rsidRPr="00FC32F9">
        <w:rPr>
          <w:sz w:val="18"/>
          <w:szCs w:val="22"/>
        </w:rPr>
        <w:t xml:space="preserve"> 9 de julio de 2026.</w:t>
      </w:r>
    </w:p>
    <w:bookmarkEnd w:id="3"/>
    <w:p w14:paraId="5826C6A8" w14:textId="629FFEAF" w:rsidR="002334B2" w:rsidRDefault="002334B2" w:rsidP="007D0C90">
      <w:pPr>
        <w:rPr>
          <w:bCs/>
          <w:szCs w:val="20"/>
        </w:rPr>
      </w:pPr>
    </w:p>
    <w:p w14:paraId="2EFA6FBE" w14:textId="77777777" w:rsidR="002334B2" w:rsidRDefault="002334B2" w:rsidP="009F0519">
      <w:pPr>
        <w:jc w:val="center"/>
        <w:rPr>
          <w:bCs/>
          <w:szCs w:val="20"/>
        </w:rPr>
      </w:pPr>
    </w:p>
    <w:p w14:paraId="05A3465C" w14:textId="59AEB6F4" w:rsidR="001C58D0" w:rsidRPr="009B2DBA" w:rsidRDefault="00057E97" w:rsidP="001C58D0">
      <w:pPr>
        <w:jc w:val="center"/>
        <w:rPr>
          <w:rFonts w:eastAsia="Times New Roman" w:cs="Times New Roman"/>
          <w:b/>
          <w:bCs/>
          <w:color w:val="FF0000"/>
          <w:szCs w:val="20"/>
        </w:rPr>
      </w:pPr>
      <w:r w:rsidRPr="00057E97">
        <w:rPr>
          <w:rFonts w:eastAsia="Times New Roman" w:cs="Times New Roman"/>
          <w:color w:val="0D0D0D" w:themeColor="text1" w:themeTint="F2"/>
          <w:szCs w:val="20"/>
        </w:rPr>
        <w:t>Europa.</w:t>
      </w:r>
      <w:r>
        <w:rPr>
          <w:rFonts w:eastAsia="Times New Roman" w:cs="Times New Roman"/>
          <w:b/>
          <w:bCs/>
          <w:color w:val="0D0D0D" w:themeColor="text1" w:themeTint="F2"/>
          <w:szCs w:val="20"/>
        </w:rPr>
        <w:t xml:space="preserve"> </w:t>
      </w:r>
      <w:r w:rsidR="001C58D0" w:rsidRPr="00C50B64">
        <w:rPr>
          <w:rFonts w:eastAsia="Times New Roman" w:cs="Times New Roman"/>
          <w:b/>
          <w:bCs/>
          <w:color w:val="0D0D0D" w:themeColor="text1" w:themeTint="F2"/>
          <w:szCs w:val="20"/>
        </w:rPr>
        <w:t xml:space="preserve">Retirada de medicamentos que contienen </w:t>
      </w:r>
      <w:proofErr w:type="spellStart"/>
      <w:r w:rsidR="001C58D0" w:rsidRPr="00C50B64">
        <w:rPr>
          <w:rFonts w:eastAsia="Times New Roman" w:cs="Times New Roman"/>
          <w:b/>
          <w:bCs/>
          <w:i/>
          <w:iCs/>
          <w:color w:val="0D0D0D" w:themeColor="text1" w:themeTint="F2"/>
          <w:szCs w:val="20"/>
        </w:rPr>
        <w:t>levamisol</w:t>
      </w:r>
      <w:proofErr w:type="spellEnd"/>
      <w:r w:rsidR="001C58D0" w:rsidRPr="00C50B64">
        <w:rPr>
          <w:rFonts w:eastAsia="Times New Roman" w:cs="Times New Roman"/>
          <w:b/>
          <w:bCs/>
          <w:color w:val="0D0D0D" w:themeColor="text1" w:themeTint="F2"/>
          <w:szCs w:val="20"/>
        </w:rPr>
        <w:t xml:space="preserve"> </w:t>
      </w:r>
    </w:p>
    <w:p w14:paraId="63CEFE14" w14:textId="77777777" w:rsidR="001C58D0" w:rsidRDefault="001C58D0" w:rsidP="001C58D0">
      <w:pPr>
        <w:jc w:val="center"/>
        <w:rPr>
          <w:rFonts w:eastAsia="Times New Roman" w:cs="Times New Roman"/>
          <w:color w:val="0D0D0D" w:themeColor="text1" w:themeTint="F2"/>
          <w:szCs w:val="20"/>
        </w:rPr>
      </w:pPr>
      <w:proofErr w:type="spellStart"/>
      <w:r w:rsidRPr="00C50B64">
        <w:rPr>
          <w:rFonts w:eastAsia="Times New Roman" w:cs="Times New Roman"/>
          <w:i/>
          <w:iCs/>
          <w:color w:val="0D0D0D" w:themeColor="text1" w:themeTint="F2"/>
          <w:szCs w:val="20"/>
        </w:rPr>
        <w:t>European</w:t>
      </w:r>
      <w:proofErr w:type="spellEnd"/>
      <w:r w:rsidRPr="00C50B64">
        <w:rPr>
          <w:rFonts w:eastAsia="Times New Roman" w:cs="Times New Roman"/>
          <w:i/>
          <w:iCs/>
          <w:color w:val="0D0D0D" w:themeColor="text1" w:themeTint="F2"/>
          <w:szCs w:val="20"/>
        </w:rPr>
        <w:t xml:space="preserve"> Medicine Agency,</w:t>
      </w:r>
      <w:r w:rsidRPr="00C50B64">
        <w:rPr>
          <w:rFonts w:eastAsia="Times New Roman" w:cs="Times New Roman"/>
          <w:color w:val="0D0D0D" w:themeColor="text1" w:themeTint="F2"/>
          <w:szCs w:val="20"/>
        </w:rPr>
        <w:t xml:space="preserve"> 26 de marzo de 2026 </w:t>
      </w:r>
    </w:p>
    <w:p w14:paraId="16F62A1F" w14:textId="77777777" w:rsidR="001C58D0" w:rsidRPr="00C50B64" w:rsidRDefault="00B00DA4" w:rsidP="001C58D0">
      <w:pPr>
        <w:jc w:val="center"/>
        <w:rPr>
          <w:rFonts w:eastAsia="Times New Roman" w:cs="Times New Roman"/>
          <w:color w:val="0D0D0D" w:themeColor="text1" w:themeTint="F2"/>
          <w:szCs w:val="20"/>
        </w:rPr>
      </w:pPr>
      <w:hyperlink r:id="rId69" w:history="1">
        <w:r w:rsidR="001C58D0" w:rsidRPr="00CC1F71">
          <w:rPr>
            <w:rStyle w:val="Hipervnculo"/>
            <w:rFonts w:eastAsia="Times New Roman" w:cs="Times New Roman"/>
            <w:szCs w:val="20"/>
          </w:rPr>
          <w:t>https://www.ema.europa.eu/en/medicines/human/referrals/levamisole-containing-medicinal-products</w:t>
        </w:r>
      </w:hyperlink>
    </w:p>
    <w:p w14:paraId="042143D3" w14:textId="77777777" w:rsidR="00F25512" w:rsidRPr="00A21F37" w:rsidRDefault="00F25512" w:rsidP="00F25512">
      <w:pPr>
        <w:jc w:val="center"/>
        <w:rPr>
          <w:lang w:val="es-ES"/>
        </w:rPr>
      </w:pPr>
      <w:r w:rsidRPr="00CA0441">
        <w:rPr>
          <w:rFonts w:eastAsia="Times New Roman" w:cs="Times New Roman"/>
          <w:szCs w:val="20"/>
          <w:lang w:val="es-ES"/>
        </w:rPr>
        <w:t xml:space="preserve">Traducido por Salud y Fármacos, publicado en </w:t>
      </w:r>
      <w:r w:rsidRPr="00CA0441">
        <w:rPr>
          <w:rFonts w:cs="Times New Roman"/>
          <w:i/>
          <w:iCs/>
          <w:szCs w:val="20"/>
          <w:lang w:val="es-ES"/>
        </w:rPr>
        <w:t xml:space="preserve">Boletín Fármacos: </w:t>
      </w:r>
      <w:r>
        <w:rPr>
          <w:rFonts w:eastAsia="Times New Roman" w:cs="Times New Roman"/>
          <w:bCs/>
          <w:i/>
          <w:iCs/>
          <w:color w:val="000000" w:themeColor="text1"/>
          <w:szCs w:val="16"/>
          <w:lang w:val="es-ES"/>
        </w:rPr>
        <w:t>Agencias Reguladoras</w:t>
      </w:r>
      <w:r w:rsidRPr="00A21F37">
        <w:rPr>
          <w:rFonts w:eastAsia="Times New Roman" w:cs="Times New Roman"/>
          <w:bCs/>
          <w:i/>
          <w:iCs/>
          <w:color w:val="000000" w:themeColor="text1"/>
          <w:szCs w:val="16"/>
          <w:lang w:val="es-ES"/>
        </w:rPr>
        <w:t xml:space="preserve"> 2026; 29(</w:t>
      </w:r>
      <w:r>
        <w:rPr>
          <w:rFonts w:eastAsia="Times New Roman" w:cs="Times New Roman"/>
          <w:bCs/>
          <w:i/>
          <w:iCs/>
          <w:color w:val="000000" w:themeColor="text1"/>
          <w:szCs w:val="16"/>
          <w:lang w:val="es-ES"/>
        </w:rPr>
        <w:t>3</w:t>
      </w:r>
      <w:r w:rsidRPr="00A21F37">
        <w:rPr>
          <w:rFonts w:eastAsia="Times New Roman" w:cs="Times New Roman"/>
          <w:bCs/>
          <w:i/>
          <w:iCs/>
          <w:color w:val="000000" w:themeColor="text1"/>
          <w:szCs w:val="16"/>
          <w:lang w:val="es-ES"/>
        </w:rPr>
        <w:t>)</w:t>
      </w:r>
    </w:p>
    <w:p w14:paraId="6AFF48A8" w14:textId="77777777" w:rsidR="009B2DBA" w:rsidRPr="00F25512" w:rsidRDefault="009B2DBA" w:rsidP="009B2DBA">
      <w:pPr>
        <w:jc w:val="center"/>
        <w:rPr>
          <w:rFonts w:cs="Times New Roman"/>
          <w:b/>
          <w:bCs/>
          <w:color w:val="000000" w:themeColor="text1"/>
          <w:szCs w:val="20"/>
          <w:lang w:val="es-ES"/>
        </w:rPr>
      </w:pPr>
    </w:p>
    <w:p w14:paraId="6AF4B14B" w14:textId="77777777" w:rsidR="007D0C90" w:rsidRDefault="007D0C90" w:rsidP="001C58D0">
      <w:pPr>
        <w:rPr>
          <w:rFonts w:cs="Times New Roman"/>
          <w:b/>
          <w:bCs/>
          <w:color w:val="000000" w:themeColor="text1"/>
          <w:szCs w:val="20"/>
        </w:rPr>
        <w:sectPr w:rsidR="007D0C90" w:rsidSect="00F25512">
          <w:type w:val="continuous"/>
          <w:pgSz w:w="12240" w:h="15840" w:code="1"/>
          <w:pgMar w:top="720" w:right="720" w:bottom="720" w:left="720" w:header="288" w:footer="288" w:gutter="0"/>
          <w:cols w:space="288"/>
          <w:docGrid w:linePitch="360"/>
        </w:sectPr>
      </w:pPr>
    </w:p>
    <w:p w14:paraId="5D5BFCEF" w14:textId="470D7956" w:rsidR="001C58D0" w:rsidRPr="00C271D0" w:rsidRDefault="001C58D0" w:rsidP="001C58D0">
      <w:pPr>
        <w:rPr>
          <w:rFonts w:cs="Times New Roman"/>
          <w:b/>
          <w:bCs/>
          <w:color w:val="000000" w:themeColor="text1"/>
          <w:szCs w:val="20"/>
        </w:rPr>
      </w:pPr>
      <w:r w:rsidRPr="00C271D0">
        <w:rPr>
          <w:rFonts w:cs="Times New Roman"/>
          <w:b/>
          <w:bCs/>
          <w:color w:val="000000" w:themeColor="text1"/>
          <w:szCs w:val="20"/>
        </w:rPr>
        <w:t xml:space="preserve">Descripción general </w:t>
      </w:r>
    </w:p>
    <w:p w14:paraId="2D033BFC" w14:textId="77777777" w:rsidR="001C58D0" w:rsidRDefault="001C58D0" w:rsidP="001C58D0">
      <w:pPr>
        <w:rPr>
          <w:rFonts w:cs="Times New Roman"/>
          <w:color w:val="000000" w:themeColor="text1"/>
          <w:szCs w:val="20"/>
        </w:rPr>
      </w:pPr>
      <w:r w:rsidRPr="006B5B9D">
        <w:rPr>
          <w:rFonts w:cs="Times New Roman"/>
          <w:color w:val="000000" w:themeColor="text1"/>
          <w:szCs w:val="20"/>
        </w:rPr>
        <w:t xml:space="preserve">La EMA recomienda la retirada de las autorizaciones de comercialización de los medicamentos que contienen </w:t>
      </w:r>
      <w:proofErr w:type="spellStart"/>
      <w:r w:rsidRPr="00C271D0">
        <w:rPr>
          <w:rFonts w:cs="Times New Roman"/>
          <w:i/>
          <w:iCs/>
          <w:color w:val="000000" w:themeColor="text1"/>
          <w:szCs w:val="20"/>
        </w:rPr>
        <w:t>levamisol</w:t>
      </w:r>
      <w:proofErr w:type="spellEnd"/>
      <w:r w:rsidRPr="00C271D0">
        <w:rPr>
          <w:rFonts w:cs="Times New Roman"/>
          <w:i/>
          <w:iCs/>
          <w:color w:val="000000" w:themeColor="text1"/>
          <w:szCs w:val="20"/>
        </w:rPr>
        <w:t>.</w:t>
      </w:r>
      <w:r w:rsidRPr="006B5B9D">
        <w:rPr>
          <w:rFonts w:cs="Times New Roman"/>
          <w:color w:val="000000" w:themeColor="text1"/>
          <w:szCs w:val="20"/>
        </w:rPr>
        <w:t xml:space="preserve"> Se ha confirmado que la </w:t>
      </w:r>
      <w:proofErr w:type="spellStart"/>
      <w:r w:rsidRPr="006B5B9D">
        <w:rPr>
          <w:rFonts w:cs="Times New Roman"/>
          <w:color w:val="000000" w:themeColor="text1"/>
          <w:szCs w:val="20"/>
        </w:rPr>
        <w:t>leucoencefalopatía</w:t>
      </w:r>
      <w:proofErr w:type="spellEnd"/>
      <w:r w:rsidRPr="006B5B9D">
        <w:rPr>
          <w:rFonts w:cs="Times New Roman"/>
          <w:color w:val="000000" w:themeColor="text1"/>
          <w:szCs w:val="20"/>
        </w:rPr>
        <w:t xml:space="preserve"> es un efecto secundario grave del </w:t>
      </w:r>
      <w:proofErr w:type="spellStart"/>
      <w:r w:rsidRPr="00C271D0">
        <w:rPr>
          <w:rFonts w:cs="Times New Roman"/>
          <w:i/>
          <w:iCs/>
          <w:color w:val="000000" w:themeColor="text1"/>
          <w:szCs w:val="20"/>
        </w:rPr>
        <w:t>levamisol</w:t>
      </w:r>
      <w:proofErr w:type="spellEnd"/>
      <w:r w:rsidRPr="00C271D0">
        <w:rPr>
          <w:rFonts w:cs="Times New Roman"/>
          <w:i/>
          <w:iCs/>
          <w:color w:val="000000" w:themeColor="text1"/>
          <w:szCs w:val="20"/>
        </w:rPr>
        <w:t>.</w:t>
      </w:r>
      <w:r w:rsidRPr="006B5B9D">
        <w:rPr>
          <w:rFonts w:cs="Times New Roman"/>
          <w:color w:val="000000" w:themeColor="text1"/>
          <w:szCs w:val="20"/>
        </w:rPr>
        <w:t xml:space="preserve"> </w:t>
      </w:r>
    </w:p>
    <w:p w14:paraId="7021003F" w14:textId="77777777" w:rsidR="001C58D0" w:rsidRDefault="001C58D0" w:rsidP="001C58D0">
      <w:pPr>
        <w:rPr>
          <w:rFonts w:cs="Times New Roman"/>
          <w:color w:val="000000" w:themeColor="text1"/>
          <w:szCs w:val="20"/>
        </w:rPr>
      </w:pPr>
    </w:p>
    <w:p w14:paraId="3D135897" w14:textId="2ACA6AED" w:rsidR="001C58D0" w:rsidRDefault="001C58D0" w:rsidP="001C58D0">
      <w:pPr>
        <w:rPr>
          <w:rFonts w:cs="Times New Roman"/>
          <w:color w:val="000000" w:themeColor="text1"/>
          <w:szCs w:val="20"/>
        </w:rPr>
      </w:pPr>
      <w:r w:rsidRPr="006B5B9D">
        <w:rPr>
          <w:rFonts w:cs="Times New Roman"/>
          <w:color w:val="000000" w:themeColor="text1"/>
          <w:szCs w:val="20"/>
        </w:rPr>
        <w:t>El 26 de marzo de 2026, el Grupo de Coordinación para el Reconocimiento Mutuo y los Procedimientos Descentralizados – Humanos (</w:t>
      </w:r>
      <w:proofErr w:type="spellStart"/>
      <w:r w:rsidRPr="006B5B9D">
        <w:rPr>
          <w:rFonts w:cs="Times New Roman"/>
          <w:color w:val="000000" w:themeColor="text1"/>
          <w:szCs w:val="20"/>
        </w:rPr>
        <w:t>CMDh</w:t>
      </w:r>
      <w:proofErr w:type="spellEnd"/>
      <w:r w:rsidRPr="006B5B9D">
        <w:rPr>
          <w:rFonts w:cs="Times New Roman"/>
          <w:color w:val="000000" w:themeColor="text1"/>
          <w:szCs w:val="20"/>
        </w:rPr>
        <w:t xml:space="preserve">) respaldó la recomendación del Comité de Seguridad de la EMA (PRAC) de retirar del mercado de la UE los medicamentos que contienen </w:t>
      </w:r>
      <w:proofErr w:type="spellStart"/>
      <w:r w:rsidRPr="00C271D0">
        <w:rPr>
          <w:rFonts w:cs="Times New Roman"/>
          <w:i/>
          <w:iCs/>
          <w:color w:val="000000" w:themeColor="text1"/>
          <w:szCs w:val="20"/>
        </w:rPr>
        <w:t>levamisol</w:t>
      </w:r>
      <w:proofErr w:type="spellEnd"/>
      <w:r w:rsidRPr="00C271D0">
        <w:rPr>
          <w:rFonts w:cs="Times New Roman"/>
          <w:i/>
          <w:iCs/>
          <w:color w:val="000000" w:themeColor="text1"/>
          <w:szCs w:val="20"/>
        </w:rPr>
        <w:t>.</w:t>
      </w:r>
      <w:r w:rsidRPr="006B5B9D">
        <w:rPr>
          <w:rFonts w:cs="Times New Roman"/>
          <w:color w:val="000000" w:themeColor="text1"/>
          <w:szCs w:val="20"/>
        </w:rPr>
        <w:t xml:space="preserve"> Esta decisión se produjo tras una revisión a nivel de la UE que concluyó que</w:t>
      </w:r>
      <w:r w:rsidR="009B2DBA">
        <w:rPr>
          <w:rFonts w:cs="Times New Roman"/>
          <w:color w:val="000000" w:themeColor="text1"/>
          <w:szCs w:val="20"/>
        </w:rPr>
        <w:t>,</w:t>
      </w:r>
      <w:r w:rsidRPr="006B5B9D">
        <w:rPr>
          <w:rFonts w:cs="Times New Roman"/>
          <w:color w:val="000000" w:themeColor="text1"/>
          <w:szCs w:val="20"/>
        </w:rPr>
        <w:t xml:space="preserve"> </w:t>
      </w:r>
      <w:r w:rsidR="009B2DBA" w:rsidRPr="006B5B9D">
        <w:rPr>
          <w:rFonts w:cs="Times New Roman"/>
          <w:color w:val="000000" w:themeColor="text1"/>
          <w:szCs w:val="20"/>
        </w:rPr>
        <w:t>para el tratamiento de las infecciones parasitarias por gusanos en adultos y niños</w:t>
      </w:r>
      <w:r w:rsidR="009B2DBA">
        <w:rPr>
          <w:rFonts w:cs="Times New Roman"/>
          <w:color w:val="000000" w:themeColor="text1"/>
          <w:szCs w:val="20"/>
        </w:rPr>
        <w:t>,</w:t>
      </w:r>
      <w:r w:rsidR="009B2DBA" w:rsidRPr="006B5B9D">
        <w:rPr>
          <w:rFonts w:cs="Times New Roman"/>
          <w:color w:val="000000" w:themeColor="text1"/>
          <w:szCs w:val="20"/>
        </w:rPr>
        <w:t xml:space="preserve"> </w:t>
      </w:r>
      <w:r w:rsidRPr="006B5B9D">
        <w:rPr>
          <w:rFonts w:cs="Times New Roman"/>
          <w:color w:val="000000" w:themeColor="text1"/>
          <w:szCs w:val="20"/>
        </w:rPr>
        <w:t xml:space="preserve">los beneficios de estos medicamentos ya no compensan sus riesgos. </w:t>
      </w:r>
    </w:p>
    <w:p w14:paraId="2A3A5B52" w14:textId="77777777" w:rsidR="001C58D0" w:rsidRDefault="001C58D0" w:rsidP="001C58D0">
      <w:pPr>
        <w:rPr>
          <w:rFonts w:cs="Times New Roman"/>
          <w:color w:val="000000" w:themeColor="text1"/>
          <w:szCs w:val="20"/>
        </w:rPr>
      </w:pPr>
    </w:p>
    <w:p w14:paraId="1BCE10B0" w14:textId="7EE6F4FB" w:rsidR="001C58D0" w:rsidRDefault="001C58D0" w:rsidP="001C58D0">
      <w:pPr>
        <w:rPr>
          <w:rFonts w:cs="Times New Roman"/>
          <w:color w:val="000000" w:themeColor="text1"/>
          <w:szCs w:val="20"/>
        </w:rPr>
      </w:pPr>
      <w:r w:rsidRPr="006B5B9D">
        <w:rPr>
          <w:rFonts w:cs="Times New Roman"/>
          <w:color w:val="000000" w:themeColor="text1"/>
          <w:szCs w:val="20"/>
        </w:rPr>
        <w:t xml:space="preserve">La revisión confirmó que la </w:t>
      </w:r>
      <w:proofErr w:type="spellStart"/>
      <w:r w:rsidRPr="006B5B9D">
        <w:rPr>
          <w:rFonts w:cs="Times New Roman"/>
          <w:color w:val="000000" w:themeColor="text1"/>
          <w:szCs w:val="20"/>
        </w:rPr>
        <w:t>leucoencefalopatía</w:t>
      </w:r>
      <w:proofErr w:type="spellEnd"/>
      <w:r w:rsidRPr="006B5B9D">
        <w:rPr>
          <w:rFonts w:cs="Times New Roman"/>
          <w:color w:val="000000" w:themeColor="text1"/>
          <w:szCs w:val="20"/>
        </w:rPr>
        <w:t xml:space="preserve"> es un efecto secundario poco frecuente pero grave del </w:t>
      </w:r>
      <w:proofErr w:type="spellStart"/>
      <w:r w:rsidRPr="00C271D0">
        <w:rPr>
          <w:rFonts w:cs="Times New Roman"/>
          <w:i/>
          <w:iCs/>
          <w:color w:val="000000" w:themeColor="text1"/>
          <w:szCs w:val="20"/>
        </w:rPr>
        <w:t>levamisol</w:t>
      </w:r>
      <w:proofErr w:type="spellEnd"/>
      <w:r w:rsidRPr="00C271D0">
        <w:rPr>
          <w:rFonts w:cs="Times New Roman"/>
          <w:i/>
          <w:iCs/>
          <w:color w:val="000000" w:themeColor="text1"/>
          <w:szCs w:val="20"/>
        </w:rPr>
        <w:t>.</w:t>
      </w:r>
      <w:r w:rsidRPr="006B5B9D">
        <w:rPr>
          <w:rFonts w:cs="Times New Roman"/>
          <w:color w:val="000000" w:themeColor="text1"/>
          <w:szCs w:val="20"/>
        </w:rPr>
        <w:t xml:space="preserve"> La </w:t>
      </w:r>
      <w:proofErr w:type="spellStart"/>
      <w:r w:rsidRPr="006B5B9D">
        <w:rPr>
          <w:rFonts w:cs="Times New Roman"/>
          <w:color w:val="000000" w:themeColor="text1"/>
          <w:szCs w:val="20"/>
        </w:rPr>
        <w:t>leucoencefalopatía</w:t>
      </w:r>
      <w:proofErr w:type="spellEnd"/>
      <w:r w:rsidRPr="006B5B9D">
        <w:rPr>
          <w:rFonts w:cs="Times New Roman"/>
          <w:color w:val="000000" w:themeColor="text1"/>
          <w:szCs w:val="20"/>
        </w:rPr>
        <w:t xml:space="preserve"> daña la sustancia blanca del cerebro, compuesta por fibras nerviosas recubiertas de mielina</w:t>
      </w:r>
      <w:r>
        <w:rPr>
          <w:rFonts w:cs="Times New Roman"/>
          <w:color w:val="000000" w:themeColor="text1"/>
          <w:szCs w:val="20"/>
        </w:rPr>
        <w:t xml:space="preserve"> (</w:t>
      </w:r>
      <w:r w:rsidRPr="006B5B9D">
        <w:rPr>
          <w:rFonts w:cs="Times New Roman"/>
          <w:color w:val="000000" w:themeColor="text1"/>
          <w:szCs w:val="20"/>
        </w:rPr>
        <w:t xml:space="preserve">una capa protectora que permite </w:t>
      </w:r>
      <w:r w:rsidR="009B2DBA">
        <w:rPr>
          <w:rFonts w:cs="Times New Roman"/>
          <w:color w:val="000000" w:themeColor="text1"/>
          <w:szCs w:val="20"/>
        </w:rPr>
        <w:t>que la</w:t>
      </w:r>
      <w:r w:rsidRPr="006B5B9D">
        <w:rPr>
          <w:rFonts w:cs="Times New Roman"/>
          <w:color w:val="000000" w:themeColor="text1"/>
          <w:szCs w:val="20"/>
        </w:rPr>
        <w:t xml:space="preserve"> comunicación entre las diferentes partes del cerebro</w:t>
      </w:r>
      <w:r w:rsidR="009B2DBA" w:rsidRPr="009B2DBA">
        <w:rPr>
          <w:rFonts w:cs="Times New Roman"/>
          <w:color w:val="000000" w:themeColor="text1"/>
          <w:szCs w:val="20"/>
        </w:rPr>
        <w:t xml:space="preserve"> </w:t>
      </w:r>
      <w:r w:rsidR="009B2DBA">
        <w:rPr>
          <w:rFonts w:cs="Times New Roman"/>
          <w:color w:val="000000" w:themeColor="text1"/>
          <w:szCs w:val="20"/>
        </w:rPr>
        <w:t xml:space="preserve">sea </w:t>
      </w:r>
      <w:r w:rsidR="009B2DBA" w:rsidRPr="006B5B9D">
        <w:rPr>
          <w:rFonts w:cs="Times New Roman"/>
          <w:color w:val="000000" w:themeColor="text1"/>
          <w:szCs w:val="20"/>
        </w:rPr>
        <w:t>eficaz</w:t>
      </w:r>
      <w:r>
        <w:rPr>
          <w:rFonts w:cs="Times New Roman"/>
          <w:color w:val="000000" w:themeColor="text1"/>
          <w:szCs w:val="20"/>
        </w:rPr>
        <w:t>)</w:t>
      </w:r>
      <w:r w:rsidRPr="006B5B9D">
        <w:rPr>
          <w:rFonts w:cs="Times New Roman"/>
          <w:color w:val="000000" w:themeColor="text1"/>
          <w:szCs w:val="20"/>
        </w:rPr>
        <w:t xml:space="preserve">. Esta afección puede ser debilitante y potencialmente mortal, sobre todo si no se trata, y su diagnóstico es complejo. </w:t>
      </w:r>
    </w:p>
    <w:p w14:paraId="4B62F6BF" w14:textId="77777777" w:rsidR="001C58D0" w:rsidRDefault="001C58D0" w:rsidP="001C58D0">
      <w:pPr>
        <w:rPr>
          <w:rFonts w:cs="Times New Roman"/>
          <w:color w:val="000000" w:themeColor="text1"/>
          <w:szCs w:val="20"/>
        </w:rPr>
      </w:pPr>
    </w:p>
    <w:p w14:paraId="2EA0C9D1" w14:textId="3AC919FD" w:rsidR="001C58D0" w:rsidRDefault="001C58D0" w:rsidP="001C58D0">
      <w:pPr>
        <w:rPr>
          <w:rFonts w:cs="Times New Roman"/>
          <w:color w:val="000000" w:themeColor="text1"/>
          <w:szCs w:val="20"/>
        </w:rPr>
      </w:pPr>
      <w:r w:rsidRPr="006B5B9D">
        <w:rPr>
          <w:rFonts w:cs="Times New Roman"/>
          <w:color w:val="000000" w:themeColor="text1"/>
          <w:szCs w:val="20"/>
        </w:rPr>
        <w:t xml:space="preserve">La información revisada por el PRAC demostró que la </w:t>
      </w:r>
      <w:proofErr w:type="spellStart"/>
      <w:r w:rsidRPr="006B5B9D">
        <w:rPr>
          <w:rFonts w:cs="Times New Roman"/>
          <w:color w:val="000000" w:themeColor="text1"/>
          <w:szCs w:val="20"/>
        </w:rPr>
        <w:t>leucoencefalopatía</w:t>
      </w:r>
      <w:proofErr w:type="spellEnd"/>
      <w:r w:rsidRPr="006B5B9D">
        <w:rPr>
          <w:rFonts w:cs="Times New Roman"/>
          <w:color w:val="000000" w:themeColor="text1"/>
          <w:szCs w:val="20"/>
        </w:rPr>
        <w:t xml:space="preserve"> se puede producir tras una única dosis de </w:t>
      </w:r>
      <w:proofErr w:type="spellStart"/>
      <w:r w:rsidRPr="00E85FB4">
        <w:rPr>
          <w:rFonts w:cs="Times New Roman"/>
          <w:i/>
          <w:iCs/>
          <w:color w:val="000000" w:themeColor="text1"/>
          <w:szCs w:val="20"/>
        </w:rPr>
        <w:t>levamisol</w:t>
      </w:r>
      <w:proofErr w:type="spellEnd"/>
      <w:r w:rsidRPr="00E85FB4">
        <w:rPr>
          <w:rFonts w:cs="Times New Roman"/>
          <w:i/>
          <w:iCs/>
          <w:color w:val="000000" w:themeColor="text1"/>
          <w:szCs w:val="20"/>
        </w:rPr>
        <w:t xml:space="preserve"> </w:t>
      </w:r>
      <w:r w:rsidRPr="006B5B9D">
        <w:rPr>
          <w:rFonts w:cs="Times New Roman"/>
          <w:color w:val="000000" w:themeColor="text1"/>
          <w:szCs w:val="20"/>
        </w:rPr>
        <w:t xml:space="preserve">y que los síntomas </w:t>
      </w:r>
      <w:r w:rsidR="009B2DBA">
        <w:rPr>
          <w:rFonts w:cs="Times New Roman"/>
          <w:color w:val="000000" w:themeColor="text1"/>
          <w:szCs w:val="20"/>
        </w:rPr>
        <w:t xml:space="preserve">se </w:t>
      </w:r>
      <w:r w:rsidRPr="006B5B9D">
        <w:rPr>
          <w:rFonts w:cs="Times New Roman"/>
          <w:color w:val="000000" w:themeColor="text1"/>
          <w:szCs w:val="20"/>
        </w:rPr>
        <w:t xml:space="preserve">pueden desarrollar hasta varios meses después del tratamiento. La revisión no identificó ninguna medida para reducir el riesgo ni ningún grupo de personas con mayor o menor riesgo. Además, existen otros medicamentos </w:t>
      </w:r>
      <w:r w:rsidRPr="006B5B9D">
        <w:rPr>
          <w:rFonts w:cs="Times New Roman"/>
          <w:color w:val="000000" w:themeColor="text1"/>
          <w:szCs w:val="20"/>
        </w:rPr>
        <w:t xml:space="preserve">autorizados en la UE para el tratamiento de infecciones parasitarias por gusanos. </w:t>
      </w:r>
    </w:p>
    <w:p w14:paraId="696B14E4" w14:textId="77777777" w:rsidR="001C58D0" w:rsidRDefault="001C58D0" w:rsidP="001C58D0">
      <w:pPr>
        <w:rPr>
          <w:rFonts w:cs="Times New Roman"/>
          <w:color w:val="000000" w:themeColor="text1"/>
          <w:szCs w:val="20"/>
        </w:rPr>
      </w:pPr>
    </w:p>
    <w:p w14:paraId="4C0D50FC" w14:textId="49764B7C" w:rsidR="001C58D0" w:rsidRDefault="001C58D0" w:rsidP="001C58D0">
      <w:pPr>
        <w:rPr>
          <w:rFonts w:cs="Times New Roman"/>
          <w:color w:val="000000" w:themeColor="text1"/>
          <w:szCs w:val="20"/>
        </w:rPr>
      </w:pPr>
      <w:r w:rsidRPr="006B5B9D">
        <w:rPr>
          <w:rFonts w:cs="Times New Roman"/>
          <w:color w:val="000000" w:themeColor="text1"/>
          <w:szCs w:val="20"/>
        </w:rPr>
        <w:t xml:space="preserve">Dado que los medicamentos con </w:t>
      </w:r>
      <w:proofErr w:type="spellStart"/>
      <w:r w:rsidRPr="00E85FB4">
        <w:rPr>
          <w:rFonts w:cs="Times New Roman"/>
          <w:i/>
          <w:iCs/>
          <w:color w:val="000000" w:themeColor="text1"/>
          <w:szCs w:val="20"/>
        </w:rPr>
        <w:t>levamisol</w:t>
      </w:r>
      <w:proofErr w:type="spellEnd"/>
      <w:r w:rsidRPr="00E85FB4">
        <w:rPr>
          <w:rFonts w:cs="Times New Roman"/>
          <w:i/>
          <w:iCs/>
          <w:color w:val="000000" w:themeColor="text1"/>
          <w:szCs w:val="20"/>
        </w:rPr>
        <w:t xml:space="preserve"> </w:t>
      </w:r>
      <w:r w:rsidRPr="006B5B9D">
        <w:rPr>
          <w:rFonts w:cs="Times New Roman"/>
          <w:color w:val="000000" w:themeColor="text1"/>
          <w:szCs w:val="20"/>
        </w:rPr>
        <w:t>se utilizan para tratar infecciones parasitarias leves por gusanos</w:t>
      </w:r>
      <w:r w:rsidR="009B2DBA">
        <w:rPr>
          <w:rFonts w:cs="Times New Roman"/>
          <w:color w:val="000000" w:themeColor="text1"/>
          <w:szCs w:val="20"/>
        </w:rPr>
        <w:t>,</w:t>
      </w:r>
      <w:r w:rsidRPr="006B5B9D">
        <w:rPr>
          <w:rFonts w:cs="Times New Roman"/>
          <w:color w:val="000000" w:themeColor="text1"/>
          <w:szCs w:val="20"/>
        </w:rPr>
        <w:t xml:space="preserve"> y que la </w:t>
      </w:r>
      <w:proofErr w:type="spellStart"/>
      <w:r w:rsidRPr="006B5B9D">
        <w:rPr>
          <w:rFonts w:cs="Times New Roman"/>
          <w:color w:val="000000" w:themeColor="text1"/>
          <w:szCs w:val="20"/>
        </w:rPr>
        <w:t>leucoencefalopatía</w:t>
      </w:r>
      <w:proofErr w:type="spellEnd"/>
      <w:r w:rsidRPr="006B5B9D">
        <w:rPr>
          <w:rFonts w:cs="Times New Roman"/>
          <w:color w:val="000000" w:themeColor="text1"/>
          <w:szCs w:val="20"/>
        </w:rPr>
        <w:t xml:space="preserve"> inducida por </w:t>
      </w:r>
      <w:proofErr w:type="spellStart"/>
      <w:r w:rsidRPr="00E85FB4">
        <w:rPr>
          <w:rFonts w:cs="Times New Roman"/>
          <w:i/>
          <w:iCs/>
          <w:color w:val="000000" w:themeColor="text1"/>
          <w:szCs w:val="20"/>
        </w:rPr>
        <w:t>levamisol</w:t>
      </w:r>
      <w:proofErr w:type="spellEnd"/>
      <w:r w:rsidRPr="006B5B9D">
        <w:rPr>
          <w:rFonts w:cs="Times New Roman"/>
          <w:color w:val="000000" w:themeColor="text1"/>
          <w:szCs w:val="20"/>
        </w:rPr>
        <w:t xml:space="preserve"> es una afección grave de aparición impredecible, el PRAC concluyó que los beneficios de los medicamentos con </w:t>
      </w:r>
      <w:proofErr w:type="spellStart"/>
      <w:r w:rsidRPr="00E85FB4">
        <w:rPr>
          <w:rFonts w:cs="Times New Roman"/>
          <w:i/>
          <w:iCs/>
          <w:color w:val="000000" w:themeColor="text1"/>
          <w:szCs w:val="20"/>
        </w:rPr>
        <w:t>levamisol</w:t>
      </w:r>
      <w:proofErr w:type="spellEnd"/>
      <w:r w:rsidRPr="006B5B9D">
        <w:rPr>
          <w:rFonts w:cs="Times New Roman"/>
          <w:color w:val="000000" w:themeColor="text1"/>
          <w:szCs w:val="20"/>
        </w:rPr>
        <w:t xml:space="preserve"> ya no compensan los riesgos</w:t>
      </w:r>
      <w:r w:rsidR="009B2DBA">
        <w:rPr>
          <w:rFonts w:cs="Times New Roman"/>
          <w:color w:val="000000" w:themeColor="text1"/>
          <w:szCs w:val="20"/>
        </w:rPr>
        <w:t>,</w:t>
      </w:r>
      <w:r w:rsidRPr="006B5B9D">
        <w:rPr>
          <w:rFonts w:cs="Times New Roman"/>
          <w:color w:val="000000" w:themeColor="text1"/>
          <w:szCs w:val="20"/>
        </w:rPr>
        <w:t xml:space="preserve"> y recomendó la retirada de sus autorizaciones de comercialización en la UE.</w:t>
      </w:r>
    </w:p>
    <w:p w14:paraId="35E8AB70" w14:textId="77777777" w:rsidR="001C58D0" w:rsidRDefault="001C58D0" w:rsidP="001C58D0">
      <w:pPr>
        <w:rPr>
          <w:rFonts w:cs="Times New Roman"/>
          <w:color w:val="000000" w:themeColor="text1"/>
          <w:szCs w:val="20"/>
        </w:rPr>
      </w:pPr>
    </w:p>
    <w:p w14:paraId="3A05C400" w14:textId="205DF45B" w:rsidR="001C58D0" w:rsidRDefault="001C58D0" w:rsidP="001C58D0">
      <w:pPr>
        <w:rPr>
          <w:rFonts w:cs="Times New Roman"/>
          <w:color w:val="000000" w:themeColor="text1"/>
          <w:szCs w:val="20"/>
        </w:rPr>
      </w:pPr>
      <w:r w:rsidRPr="006B5B9D">
        <w:rPr>
          <w:rFonts w:cs="Times New Roman"/>
          <w:color w:val="000000" w:themeColor="text1"/>
          <w:szCs w:val="20"/>
        </w:rPr>
        <w:t xml:space="preserve">La recomendación del PRAC se basa en la evaluación </w:t>
      </w:r>
      <w:r w:rsidR="009B2DBA">
        <w:rPr>
          <w:rFonts w:cs="Times New Roman"/>
          <w:color w:val="000000" w:themeColor="text1"/>
          <w:szCs w:val="20"/>
        </w:rPr>
        <w:t xml:space="preserve">los </w:t>
      </w:r>
      <w:r w:rsidRPr="006B5B9D">
        <w:rPr>
          <w:rFonts w:cs="Times New Roman"/>
          <w:color w:val="000000" w:themeColor="text1"/>
          <w:szCs w:val="20"/>
        </w:rPr>
        <w:t xml:space="preserve">datos recopilados mediante la vigilancia continua de la seguridad de los medicamentos autorizados en la UE. Estos datos incluyeron informes de casos graves de </w:t>
      </w:r>
      <w:proofErr w:type="spellStart"/>
      <w:r w:rsidRPr="006B5B9D">
        <w:rPr>
          <w:rFonts w:cs="Times New Roman"/>
          <w:color w:val="000000" w:themeColor="text1"/>
          <w:szCs w:val="20"/>
        </w:rPr>
        <w:t>leucoencefalopatía</w:t>
      </w:r>
      <w:proofErr w:type="spellEnd"/>
      <w:r w:rsidRPr="006B5B9D">
        <w:rPr>
          <w:rFonts w:cs="Times New Roman"/>
          <w:color w:val="000000" w:themeColor="text1"/>
          <w:szCs w:val="20"/>
        </w:rPr>
        <w:t xml:space="preserve"> y desmielinización del sistema nervioso central (pérdida de mielina en el cerebro y la médula espinal) tras el uso de </w:t>
      </w:r>
      <w:proofErr w:type="spellStart"/>
      <w:r w:rsidRPr="00E85FB4">
        <w:rPr>
          <w:rFonts w:cs="Times New Roman"/>
          <w:i/>
          <w:iCs/>
          <w:color w:val="000000" w:themeColor="text1"/>
          <w:szCs w:val="20"/>
        </w:rPr>
        <w:t>levamisol</w:t>
      </w:r>
      <w:proofErr w:type="spellEnd"/>
      <w:r w:rsidRPr="006B5B9D">
        <w:rPr>
          <w:rFonts w:cs="Times New Roman"/>
          <w:color w:val="000000" w:themeColor="text1"/>
          <w:szCs w:val="20"/>
        </w:rPr>
        <w:t xml:space="preserve">, así como una revisión de la literatura científica publicada. </w:t>
      </w:r>
    </w:p>
    <w:p w14:paraId="0A3D0573" w14:textId="77777777" w:rsidR="001C58D0" w:rsidRDefault="001C58D0" w:rsidP="001C58D0">
      <w:pPr>
        <w:rPr>
          <w:rFonts w:cs="Times New Roman"/>
          <w:color w:val="000000" w:themeColor="text1"/>
          <w:szCs w:val="20"/>
        </w:rPr>
      </w:pPr>
    </w:p>
    <w:p w14:paraId="3CCF0382" w14:textId="268AE25A" w:rsidR="00F1779A" w:rsidRDefault="001C58D0" w:rsidP="001C58D0">
      <w:pPr>
        <w:rPr>
          <w:rFonts w:cs="Times New Roman"/>
          <w:color w:val="000000" w:themeColor="text1"/>
          <w:szCs w:val="20"/>
        </w:rPr>
      </w:pPr>
      <w:r w:rsidRPr="006B5B9D">
        <w:rPr>
          <w:rFonts w:cs="Times New Roman"/>
          <w:color w:val="000000" w:themeColor="text1"/>
          <w:szCs w:val="20"/>
        </w:rPr>
        <w:t>El PRAC también tuvo en cuenta los aportes de un panel de expertos en enfermedades infecciosas y neurólogos</w:t>
      </w:r>
      <w:r w:rsidR="009B2DBA" w:rsidRPr="009B2DBA">
        <w:rPr>
          <w:rFonts w:cs="Times New Roman"/>
          <w:color w:val="000000" w:themeColor="text1"/>
          <w:szCs w:val="20"/>
        </w:rPr>
        <w:t xml:space="preserve"> </w:t>
      </w:r>
      <w:r w:rsidR="009B2DBA">
        <w:rPr>
          <w:rFonts w:cs="Times New Roman"/>
          <w:color w:val="000000" w:themeColor="text1"/>
          <w:szCs w:val="20"/>
        </w:rPr>
        <w:t xml:space="preserve">considerados </w:t>
      </w:r>
      <w:r w:rsidR="009B2DBA" w:rsidRPr="006B5B9D">
        <w:rPr>
          <w:rFonts w:cs="Times New Roman"/>
          <w:color w:val="000000" w:themeColor="text1"/>
          <w:szCs w:val="20"/>
        </w:rPr>
        <w:t>independientes</w:t>
      </w:r>
      <w:r w:rsidRPr="006B5B9D">
        <w:rPr>
          <w:rFonts w:cs="Times New Roman"/>
          <w:color w:val="000000" w:themeColor="text1"/>
          <w:szCs w:val="20"/>
        </w:rPr>
        <w:t xml:space="preserve">, y de la Organización Mundial de la Salud. La EMA supervisa continuamente la seguridad de los medicamentos autorizados en la UE. </w:t>
      </w:r>
    </w:p>
    <w:p w14:paraId="13DBF1F6" w14:textId="77777777" w:rsidR="00F1779A" w:rsidRDefault="00F1779A" w:rsidP="001C58D0">
      <w:pPr>
        <w:rPr>
          <w:rFonts w:cs="Times New Roman"/>
          <w:color w:val="000000" w:themeColor="text1"/>
          <w:szCs w:val="20"/>
        </w:rPr>
      </w:pPr>
    </w:p>
    <w:p w14:paraId="6206D143" w14:textId="6CC670A2" w:rsidR="001C58D0" w:rsidRDefault="001C58D0" w:rsidP="001C58D0">
      <w:pPr>
        <w:rPr>
          <w:rFonts w:cs="Times New Roman"/>
          <w:color w:val="000000" w:themeColor="text1"/>
          <w:szCs w:val="20"/>
        </w:rPr>
      </w:pPr>
      <w:r w:rsidRPr="006B5B9D">
        <w:rPr>
          <w:rFonts w:cs="Times New Roman"/>
          <w:color w:val="000000" w:themeColor="text1"/>
          <w:szCs w:val="20"/>
        </w:rPr>
        <w:t xml:space="preserve">Cuando surgen nuevas pruebas que demuestran que los riesgos de un medicamento pueden superar sus beneficios, la Agencia toma medidas para proteger la salud pública. </w:t>
      </w:r>
    </w:p>
    <w:p w14:paraId="21AF9C2C" w14:textId="77777777" w:rsidR="00F1779A" w:rsidRDefault="00F1779A" w:rsidP="001C58D0">
      <w:pPr>
        <w:rPr>
          <w:rFonts w:cs="Times New Roman"/>
          <w:color w:val="000000" w:themeColor="text1"/>
          <w:szCs w:val="20"/>
        </w:rPr>
      </w:pPr>
    </w:p>
    <w:p w14:paraId="3A96D1EE" w14:textId="77DE2EA0" w:rsidR="001C58D0" w:rsidRDefault="001C58D0" w:rsidP="001C58D0">
      <w:pPr>
        <w:rPr>
          <w:rFonts w:cs="Times New Roman"/>
          <w:color w:val="000000" w:themeColor="text1"/>
          <w:szCs w:val="20"/>
        </w:rPr>
      </w:pPr>
      <w:r w:rsidRPr="006B5B9D">
        <w:rPr>
          <w:rFonts w:cs="Times New Roman"/>
          <w:color w:val="000000" w:themeColor="text1"/>
          <w:szCs w:val="20"/>
        </w:rPr>
        <w:t xml:space="preserve">La recomendación de retirar los medicamentos que contienen </w:t>
      </w:r>
      <w:proofErr w:type="spellStart"/>
      <w:r w:rsidRPr="00E85FB4">
        <w:rPr>
          <w:rFonts w:cs="Times New Roman"/>
          <w:i/>
          <w:iCs/>
          <w:color w:val="000000" w:themeColor="text1"/>
          <w:szCs w:val="20"/>
        </w:rPr>
        <w:t>levamisol</w:t>
      </w:r>
      <w:proofErr w:type="spellEnd"/>
      <w:r w:rsidRPr="00E85FB4">
        <w:rPr>
          <w:rFonts w:cs="Times New Roman"/>
          <w:i/>
          <w:iCs/>
          <w:color w:val="000000" w:themeColor="text1"/>
          <w:szCs w:val="20"/>
        </w:rPr>
        <w:t xml:space="preserve"> </w:t>
      </w:r>
      <w:r w:rsidRPr="006B5B9D">
        <w:rPr>
          <w:rFonts w:cs="Times New Roman"/>
          <w:color w:val="000000" w:themeColor="text1"/>
          <w:szCs w:val="20"/>
        </w:rPr>
        <w:t xml:space="preserve">refleja el compromiso de la EMA de garantizar que los </w:t>
      </w:r>
      <w:r w:rsidRPr="006B5B9D">
        <w:rPr>
          <w:rFonts w:cs="Times New Roman"/>
          <w:color w:val="000000" w:themeColor="text1"/>
          <w:szCs w:val="20"/>
        </w:rPr>
        <w:lastRenderedPageBreak/>
        <w:t xml:space="preserve">medicamentos disponibles en la UE cumplan con estándares rigurosos de seguridad, eficacia y calidad. </w:t>
      </w:r>
    </w:p>
    <w:p w14:paraId="47006217" w14:textId="77777777" w:rsidR="001C58D0" w:rsidRDefault="001C58D0" w:rsidP="001C58D0">
      <w:pPr>
        <w:rPr>
          <w:rFonts w:cs="Times New Roman"/>
          <w:color w:val="000000" w:themeColor="text1"/>
          <w:szCs w:val="20"/>
        </w:rPr>
      </w:pPr>
    </w:p>
    <w:p w14:paraId="74BFE2E5" w14:textId="77777777" w:rsidR="001C58D0" w:rsidRPr="0003665E" w:rsidRDefault="001C58D0" w:rsidP="001C58D0">
      <w:pPr>
        <w:rPr>
          <w:rFonts w:cs="Times New Roman"/>
          <w:b/>
          <w:bCs/>
          <w:color w:val="000000" w:themeColor="text1"/>
          <w:szCs w:val="20"/>
        </w:rPr>
      </w:pPr>
      <w:r w:rsidRPr="0003665E">
        <w:rPr>
          <w:rFonts w:cs="Times New Roman"/>
          <w:b/>
          <w:bCs/>
          <w:color w:val="000000" w:themeColor="text1"/>
          <w:szCs w:val="20"/>
        </w:rPr>
        <w:t xml:space="preserve">Información para pacientes: </w:t>
      </w:r>
    </w:p>
    <w:p w14:paraId="00706388" w14:textId="391A697E" w:rsidR="001C58D0" w:rsidRDefault="001C58D0" w:rsidP="009B2DBA">
      <w:pPr>
        <w:ind w:left="180" w:hanging="180"/>
        <w:rPr>
          <w:rFonts w:cs="Times New Roman"/>
          <w:color w:val="000000" w:themeColor="text1"/>
          <w:szCs w:val="20"/>
        </w:rPr>
      </w:pPr>
      <w:r w:rsidRPr="006B5B9D">
        <w:rPr>
          <w:rFonts w:cs="Times New Roman"/>
          <w:color w:val="000000" w:themeColor="text1"/>
          <w:szCs w:val="20"/>
        </w:rPr>
        <w:t xml:space="preserve">• La EMA recomendó la retirada del mercado de la UE de los medicamentos que contienen </w:t>
      </w:r>
      <w:proofErr w:type="spellStart"/>
      <w:r w:rsidRPr="0003665E">
        <w:rPr>
          <w:rFonts w:cs="Times New Roman"/>
          <w:i/>
          <w:iCs/>
          <w:color w:val="000000" w:themeColor="text1"/>
          <w:szCs w:val="20"/>
        </w:rPr>
        <w:t>levamisol</w:t>
      </w:r>
      <w:proofErr w:type="spellEnd"/>
      <w:r w:rsidRPr="0003665E">
        <w:rPr>
          <w:rFonts w:cs="Times New Roman"/>
          <w:i/>
          <w:iCs/>
          <w:color w:val="000000" w:themeColor="text1"/>
          <w:szCs w:val="20"/>
        </w:rPr>
        <w:t>.</w:t>
      </w:r>
      <w:r w:rsidRPr="006B5B9D">
        <w:rPr>
          <w:rFonts w:cs="Times New Roman"/>
          <w:color w:val="000000" w:themeColor="text1"/>
          <w:szCs w:val="20"/>
        </w:rPr>
        <w:t xml:space="preserve"> Estos medicamentos están autorizados en algunos países de la UE para tratar infecciones parasitarias por gusanos. </w:t>
      </w:r>
    </w:p>
    <w:p w14:paraId="454DD599" w14:textId="77777777" w:rsidR="009B2DBA" w:rsidRDefault="009B2DBA" w:rsidP="009B2DBA">
      <w:pPr>
        <w:ind w:left="180" w:hanging="180"/>
        <w:rPr>
          <w:rFonts w:cs="Times New Roman"/>
          <w:color w:val="000000" w:themeColor="text1"/>
          <w:szCs w:val="20"/>
        </w:rPr>
      </w:pPr>
    </w:p>
    <w:p w14:paraId="72A70117" w14:textId="56082BB8" w:rsidR="001C58D0" w:rsidRDefault="001C58D0" w:rsidP="009B2DBA">
      <w:pPr>
        <w:ind w:left="180" w:hanging="180"/>
        <w:rPr>
          <w:rFonts w:cs="Times New Roman"/>
          <w:color w:val="000000" w:themeColor="text1"/>
          <w:szCs w:val="20"/>
        </w:rPr>
      </w:pPr>
      <w:r w:rsidRPr="006B5B9D">
        <w:rPr>
          <w:rFonts w:cs="Times New Roman"/>
          <w:color w:val="000000" w:themeColor="text1"/>
          <w:szCs w:val="20"/>
        </w:rPr>
        <w:t xml:space="preserve">• Una revisión realizada por el comité de seguridad de la EMA (PRAC) confirmó que los medicamentos que contienen </w:t>
      </w:r>
      <w:proofErr w:type="spellStart"/>
      <w:r w:rsidRPr="0003665E">
        <w:rPr>
          <w:rFonts w:cs="Times New Roman"/>
          <w:i/>
          <w:iCs/>
          <w:color w:val="000000" w:themeColor="text1"/>
          <w:szCs w:val="20"/>
        </w:rPr>
        <w:t>levamisol</w:t>
      </w:r>
      <w:proofErr w:type="spellEnd"/>
      <w:r w:rsidRPr="006B5B9D">
        <w:rPr>
          <w:rFonts w:cs="Times New Roman"/>
          <w:color w:val="000000" w:themeColor="text1"/>
          <w:szCs w:val="20"/>
        </w:rPr>
        <w:t xml:space="preserve"> pueden causar </w:t>
      </w:r>
      <w:proofErr w:type="spellStart"/>
      <w:r w:rsidRPr="006B5B9D">
        <w:rPr>
          <w:rFonts w:cs="Times New Roman"/>
          <w:color w:val="000000" w:themeColor="text1"/>
          <w:szCs w:val="20"/>
        </w:rPr>
        <w:t>leucoencefalopatía</w:t>
      </w:r>
      <w:proofErr w:type="spellEnd"/>
      <w:r w:rsidRPr="006B5B9D">
        <w:rPr>
          <w:rFonts w:cs="Times New Roman"/>
          <w:color w:val="000000" w:themeColor="text1"/>
          <w:szCs w:val="20"/>
        </w:rPr>
        <w:t xml:space="preserve">, un efecto secundario grave que daña partes del cerebro. </w:t>
      </w:r>
    </w:p>
    <w:p w14:paraId="12820338" w14:textId="77777777" w:rsidR="009B2DBA" w:rsidRDefault="009B2DBA" w:rsidP="009B2DBA">
      <w:pPr>
        <w:ind w:left="180" w:hanging="180"/>
        <w:rPr>
          <w:rFonts w:cs="Times New Roman"/>
          <w:color w:val="000000" w:themeColor="text1"/>
          <w:szCs w:val="20"/>
        </w:rPr>
      </w:pPr>
    </w:p>
    <w:p w14:paraId="0BE1C167" w14:textId="20C238DD" w:rsidR="001C58D0" w:rsidRDefault="001C58D0" w:rsidP="009B2DBA">
      <w:pPr>
        <w:ind w:left="180" w:hanging="180"/>
        <w:rPr>
          <w:rFonts w:cs="Times New Roman"/>
          <w:color w:val="000000" w:themeColor="text1"/>
          <w:szCs w:val="20"/>
        </w:rPr>
      </w:pPr>
      <w:r w:rsidRPr="006B5B9D">
        <w:rPr>
          <w:rFonts w:cs="Times New Roman"/>
          <w:color w:val="000000" w:themeColor="text1"/>
          <w:szCs w:val="20"/>
        </w:rPr>
        <w:t xml:space="preserve">• En la UE existen otros medicamentos para tratar las infecciones por gusanos - parásitos. </w:t>
      </w:r>
    </w:p>
    <w:p w14:paraId="560C2EA1" w14:textId="77777777" w:rsidR="009B2DBA" w:rsidRDefault="009B2DBA" w:rsidP="009B2DBA">
      <w:pPr>
        <w:ind w:left="180" w:hanging="180"/>
        <w:rPr>
          <w:rFonts w:cs="Times New Roman"/>
          <w:color w:val="000000" w:themeColor="text1"/>
          <w:szCs w:val="20"/>
        </w:rPr>
      </w:pPr>
    </w:p>
    <w:p w14:paraId="6EC5369A" w14:textId="2C65C71B" w:rsidR="001C58D0" w:rsidRDefault="001C58D0" w:rsidP="009B2DBA">
      <w:pPr>
        <w:ind w:left="180" w:hanging="180"/>
        <w:rPr>
          <w:rFonts w:cs="Times New Roman"/>
          <w:color w:val="000000" w:themeColor="text1"/>
          <w:szCs w:val="20"/>
        </w:rPr>
      </w:pPr>
      <w:r w:rsidRPr="006B5B9D">
        <w:rPr>
          <w:rFonts w:cs="Times New Roman"/>
          <w:color w:val="000000" w:themeColor="text1"/>
          <w:szCs w:val="20"/>
        </w:rPr>
        <w:t xml:space="preserve">• Las personas que hayan recibido tratamiento con medicamentos que contengan </w:t>
      </w:r>
      <w:proofErr w:type="spellStart"/>
      <w:r w:rsidRPr="0003665E">
        <w:rPr>
          <w:rFonts w:cs="Times New Roman"/>
          <w:i/>
          <w:iCs/>
          <w:color w:val="000000" w:themeColor="text1"/>
          <w:szCs w:val="20"/>
        </w:rPr>
        <w:t>levamisol</w:t>
      </w:r>
      <w:proofErr w:type="spellEnd"/>
      <w:r w:rsidRPr="0003665E">
        <w:rPr>
          <w:rFonts w:cs="Times New Roman"/>
          <w:i/>
          <w:iCs/>
          <w:color w:val="000000" w:themeColor="text1"/>
          <w:szCs w:val="20"/>
        </w:rPr>
        <w:t xml:space="preserve"> </w:t>
      </w:r>
      <w:r w:rsidRPr="006B5B9D">
        <w:rPr>
          <w:rFonts w:cs="Times New Roman"/>
          <w:color w:val="000000" w:themeColor="text1"/>
          <w:szCs w:val="20"/>
        </w:rPr>
        <w:t xml:space="preserve">deben consultar a un médico de inmediato si presentan debilidad muscular, dificultad para hablar, confusión o dificultad para controlar sus movimientos. </w:t>
      </w:r>
    </w:p>
    <w:p w14:paraId="579430DF" w14:textId="77777777" w:rsidR="009B2DBA" w:rsidRDefault="009B2DBA" w:rsidP="009B2DBA">
      <w:pPr>
        <w:ind w:left="180" w:hanging="180"/>
        <w:rPr>
          <w:rFonts w:cs="Times New Roman"/>
          <w:color w:val="000000" w:themeColor="text1"/>
          <w:szCs w:val="20"/>
        </w:rPr>
      </w:pPr>
    </w:p>
    <w:p w14:paraId="1ECC95E7" w14:textId="32F49A55" w:rsidR="001C58D0" w:rsidRDefault="001C58D0" w:rsidP="009B2DBA">
      <w:pPr>
        <w:ind w:left="180" w:hanging="180"/>
        <w:rPr>
          <w:rFonts w:cs="Times New Roman"/>
          <w:color w:val="000000" w:themeColor="text1"/>
          <w:szCs w:val="20"/>
        </w:rPr>
      </w:pPr>
      <w:r w:rsidRPr="006B5B9D">
        <w:rPr>
          <w:rFonts w:cs="Times New Roman"/>
          <w:color w:val="000000" w:themeColor="text1"/>
          <w:szCs w:val="20"/>
        </w:rPr>
        <w:t xml:space="preserve">• Estos síntomas pueden aparecer tras una sola dosis de </w:t>
      </w:r>
      <w:proofErr w:type="spellStart"/>
      <w:r w:rsidRPr="0003665E">
        <w:rPr>
          <w:rFonts w:cs="Times New Roman"/>
          <w:i/>
          <w:iCs/>
          <w:color w:val="000000" w:themeColor="text1"/>
          <w:szCs w:val="20"/>
        </w:rPr>
        <w:t>levamisol</w:t>
      </w:r>
      <w:proofErr w:type="spellEnd"/>
      <w:r w:rsidR="006F221F">
        <w:rPr>
          <w:rFonts w:cs="Times New Roman"/>
          <w:i/>
          <w:iCs/>
          <w:color w:val="000000" w:themeColor="text1"/>
          <w:szCs w:val="20"/>
        </w:rPr>
        <w:t>,</w:t>
      </w:r>
      <w:r w:rsidRPr="006B5B9D">
        <w:rPr>
          <w:rFonts w:cs="Times New Roman"/>
          <w:color w:val="000000" w:themeColor="text1"/>
          <w:szCs w:val="20"/>
        </w:rPr>
        <w:t xml:space="preserve"> y pueden desarrollarse hasta varios meses después del tratamiento con un medicamento que contenga </w:t>
      </w:r>
      <w:proofErr w:type="spellStart"/>
      <w:r w:rsidRPr="0003665E">
        <w:rPr>
          <w:rFonts w:cs="Times New Roman"/>
          <w:i/>
          <w:iCs/>
          <w:color w:val="000000" w:themeColor="text1"/>
          <w:szCs w:val="20"/>
        </w:rPr>
        <w:t>levamisol</w:t>
      </w:r>
      <w:proofErr w:type="spellEnd"/>
      <w:r w:rsidRPr="0003665E">
        <w:rPr>
          <w:rFonts w:cs="Times New Roman"/>
          <w:i/>
          <w:iCs/>
          <w:color w:val="000000" w:themeColor="text1"/>
          <w:szCs w:val="20"/>
        </w:rPr>
        <w:t>.</w:t>
      </w:r>
      <w:r w:rsidRPr="006B5B9D">
        <w:rPr>
          <w:rFonts w:cs="Times New Roman"/>
          <w:color w:val="000000" w:themeColor="text1"/>
          <w:szCs w:val="20"/>
        </w:rPr>
        <w:t xml:space="preserve"> </w:t>
      </w:r>
    </w:p>
    <w:p w14:paraId="55C68AE1" w14:textId="77777777" w:rsidR="009B2DBA" w:rsidRDefault="009B2DBA" w:rsidP="009B2DBA">
      <w:pPr>
        <w:ind w:left="180" w:hanging="180"/>
        <w:rPr>
          <w:rFonts w:cs="Times New Roman"/>
          <w:color w:val="000000" w:themeColor="text1"/>
          <w:szCs w:val="20"/>
        </w:rPr>
      </w:pPr>
    </w:p>
    <w:p w14:paraId="299F7E62" w14:textId="77777777" w:rsidR="001C58D0" w:rsidRDefault="001C58D0" w:rsidP="009B2DBA">
      <w:pPr>
        <w:ind w:left="180" w:hanging="180"/>
        <w:rPr>
          <w:rFonts w:cs="Times New Roman"/>
          <w:color w:val="000000" w:themeColor="text1"/>
          <w:szCs w:val="20"/>
        </w:rPr>
      </w:pPr>
      <w:r w:rsidRPr="006B5B9D">
        <w:rPr>
          <w:rFonts w:cs="Times New Roman"/>
          <w:color w:val="000000" w:themeColor="text1"/>
          <w:szCs w:val="20"/>
        </w:rPr>
        <w:t xml:space="preserve">• Si tiene alguna pregunta sobre el tratamiento que usted o su hijo hayan recibido, ya sea en el pasado o en el presente, con un medicamento que contenga </w:t>
      </w:r>
      <w:proofErr w:type="spellStart"/>
      <w:r w:rsidRPr="0003665E">
        <w:rPr>
          <w:rFonts w:cs="Times New Roman"/>
          <w:i/>
          <w:iCs/>
          <w:color w:val="000000" w:themeColor="text1"/>
          <w:szCs w:val="20"/>
        </w:rPr>
        <w:t>levamisol</w:t>
      </w:r>
      <w:proofErr w:type="spellEnd"/>
      <w:r w:rsidRPr="0003665E">
        <w:rPr>
          <w:rFonts w:cs="Times New Roman"/>
          <w:i/>
          <w:iCs/>
          <w:color w:val="000000" w:themeColor="text1"/>
          <w:szCs w:val="20"/>
        </w:rPr>
        <w:t>,</w:t>
      </w:r>
      <w:r w:rsidRPr="006B5B9D">
        <w:rPr>
          <w:rFonts w:cs="Times New Roman"/>
          <w:color w:val="000000" w:themeColor="text1"/>
          <w:szCs w:val="20"/>
        </w:rPr>
        <w:t xml:space="preserve"> póngase en contacto con su médico. </w:t>
      </w:r>
    </w:p>
    <w:p w14:paraId="66C049AB" w14:textId="77777777" w:rsidR="001C58D0" w:rsidRDefault="001C58D0" w:rsidP="001C58D0">
      <w:pPr>
        <w:rPr>
          <w:rFonts w:cs="Times New Roman"/>
          <w:color w:val="000000" w:themeColor="text1"/>
          <w:szCs w:val="20"/>
        </w:rPr>
      </w:pPr>
    </w:p>
    <w:p w14:paraId="79D71DAD" w14:textId="77777777" w:rsidR="001C58D0" w:rsidRPr="0003665E" w:rsidRDefault="001C58D0" w:rsidP="001C58D0">
      <w:pPr>
        <w:rPr>
          <w:rFonts w:cs="Times New Roman"/>
          <w:b/>
          <w:bCs/>
          <w:color w:val="000000" w:themeColor="text1"/>
          <w:szCs w:val="20"/>
        </w:rPr>
      </w:pPr>
      <w:r w:rsidRPr="0003665E">
        <w:rPr>
          <w:rFonts w:cs="Times New Roman"/>
          <w:b/>
          <w:bCs/>
          <w:color w:val="000000" w:themeColor="text1"/>
          <w:szCs w:val="20"/>
        </w:rPr>
        <w:t xml:space="preserve">Información para profesionales de la salud: </w:t>
      </w:r>
    </w:p>
    <w:p w14:paraId="4C9A8004" w14:textId="6CD17E73" w:rsidR="001C58D0" w:rsidRDefault="001C58D0" w:rsidP="006F221F">
      <w:pPr>
        <w:ind w:left="180" w:hanging="180"/>
        <w:rPr>
          <w:rFonts w:cs="Times New Roman"/>
          <w:color w:val="000000" w:themeColor="text1"/>
          <w:szCs w:val="20"/>
        </w:rPr>
      </w:pPr>
      <w:r w:rsidRPr="006B5B9D">
        <w:rPr>
          <w:rFonts w:cs="Times New Roman"/>
          <w:color w:val="000000" w:themeColor="text1"/>
          <w:szCs w:val="20"/>
        </w:rPr>
        <w:t xml:space="preserve">• La EMA recomendó la retirada del mercado de la UE de los medicamentos que contienen </w:t>
      </w:r>
      <w:proofErr w:type="spellStart"/>
      <w:r w:rsidRPr="00416979">
        <w:rPr>
          <w:rFonts w:cs="Times New Roman"/>
          <w:i/>
          <w:iCs/>
          <w:color w:val="000000" w:themeColor="text1"/>
          <w:szCs w:val="20"/>
        </w:rPr>
        <w:t>levamisol</w:t>
      </w:r>
      <w:proofErr w:type="spellEnd"/>
      <w:r w:rsidRPr="00416979">
        <w:rPr>
          <w:rFonts w:cs="Times New Roman"/>
          <w:i/>
          <w:iCs/>
          <w:color w:val="000000" w:themeColor="text1"/>
          <w:szCs w:val="20"/>
        </w:rPr>
        <w:t>.</w:t>
      </w:r>
      <w:r w:rsidRPr="006B5B9D">
        <w:rPr>
          <w:rFonts w:cs="Times New Roman"/>
          <w:color w:val="000000" w:themeColor="text1"/>
          <w:szCs w:val="20"/>
        </w:rPr>
        <w:t xml:space="preserve"> En algunos países de la UE, estos medicamentos están autorizados como antihelmínticos. </w:t>
      </w:r>
    </w:p>
    <w:p w14:paraId="3BECFE3C" w14:textId="77777777" w:rsidR="006F221F" w:rsidRDefault="006F221F" w:rsidP="006F221F">
      <w:pPr>
        <w:ind w:left="180" w:hanging="180"/>
        <w:rPr>
          <w:rFonts w:cs="Times New Roman"/>
          <w:color w:val="000000" w:themeColor="text1"/>
          <w:szCs w:val="20"/>
        </w:rPr>
      </w:pPr>
    </w:p>
    <w:p w14:paraId="5E2DF131" w14:textId="0DE21266" w:rsidR="001C58D0" w:rsidRDefault="001C58D0" w:rsidP="006F221F">
      <w:pPr>
        <w:ind w:left="180" w:hanging="180"/>
        <w:rPr>
          <w:rFonts w:cs="Times New Roman"/>
          <w:color w:val="000000" w:themeColor="text1"/>
          <w:szCs w:val="20"/>
        </w:rPr>
      </w:pPr>
      <w:r w:rsidRPr="006B5B9D">
        <w:rPr>
          <w:rFonts w:cs="Times New Roman"/>
          <w:color w:val="000000" w:themeColor="text1"/>
          <w:szCs w:val="20"/>
        </w:rPr>
        <w:t xml:space="preserve">• Una revisión realizada por el comité de seguridad de la EMA (PRAC) confirmó que el </w:t>
      </w:r>
      <w:proofErr w:type="spellStart"/>
      <w:r w:rsidRPr="00416979">
        <w:rPr>
          <w:rFonts w:cs="Times New Roman"/>
          <w:i/>
          <w:iCs/>
          <w:color w:val="000000" w:themeColor="text1"/>
          <w:szCs w:val="20"/>
        </w:rPr>
        <w:t>levamisol</w:t>
      </w:r>
      <w:proofErr w:type="spellEnd"/>
      <w:r w:rsidRPr="00416979">
        <w:rPr>
          <w:rFonts w:cs="Times New Roman"/>
          <w:i/>
          <w:iCs/>
          <w:color w:val="000000" w:themeColor="text1"/>
          <w:szCs w:val="20"/>
        </w:rPr>
        <w:t xml:space="preserve"> </w:t>
      </w:r>
      <w:r w:rsidRPr="006B5B9D">
        <w:rPr>
          <w:rFonts w:cs="Times New Roman"/>
          <w:color w:val="000000" w:themeColor="text1"/>
          <w:szCs w:val="20"/>
        </w:rPr>
        <w:t xml:space="preserve">puede causar </w:t>
      </w:r>
      <w:proofErr w:type="spellStart"/>
      <w:r w:rsidRPr="006B5B9D">
        <w:rPr>
          <w:rFonts w:cs="Times New Roman"/>
          <w:color w:val="000000" w:themeColor="text1"/>
          <w:szCs w:val="20"/>
        </w:rPr>
        <w:t>leucoencefalopatía</w:t>
      </w:r>
      <w:proofErr w:type="spellEnd"/>
      <w:r w:rsidRPr="006B5B9D">
        <w:rPr>
          <w:rFonts w:cs="Times New Roman"/>
          <w:color w:val="000000" w:themeColor="text1"/>
          <w:szCs w:val="20"/>
        </w:rPr>
        <w:t xml:space="preserve">, una reacción adversa grave de aparición impredecible. </w:t>
      </w:r>
    </w:p>
    <w:p w14:paraId="34E89B49" w14:textId="77777777" w:rsidR="006F221F" w:rsidRDefault="006F221F" w:rsidP="006F221F">
      <w:pPr>
        <w:ind w:left="180" w:hanging="180"/>
        <w:rPr>
          <w:rFonts w:cs="Times New Roman"/>
          <w:color w:val="000000" w:themeColor="text1"/>
          <w:szCs w:val="20"/>
        </w:rPr>
      </w:pPr>
    </w:p>
    <w:p w14:paraId="238AD98B" w14:textId="5A9A1D41" w:rsidR="001C58D0" w:rsidRDefault="001C58D0" w:rsidP="006F221F">
      <w:pPr>
        <w:ind w:left="180" w:hanging="180"/>
        <w:rPr>
          <w:rFonts w:cs="Times New Roman"/>
          <w:color w:val="000000" w:themeColor="text1"/>
          <w:szCs w:val="20"/>
        </w:rPr>
      </w:pPr>
      <w:r w:rsidRPr="006B5B9D">
        <w:rPr>
          <w:rFonts w:cs="Times New Roman"/>
          <w:color w:val="000000" w:themeColor="text1"/>
          <w:szCs w:val="20"/>
        </w:rPr>
        <w:t xml:space="preserve">• Los síntomas de </w:t>
      </w:r>
      <w:proofErr w:type="spellStart"/>
      <w:r w:rsidRPr="006B5B9D">
        <w:rPr>
          <w:rFonts w:cs="Times New Roman"/>
          <w:color w:val="000000" w:themeColor="text1"/>
          <w:szCs w:val="20"/>
        </w:rPr>
        <w:t>leucoencefalopatía</w:t>
      </w:r>
      <w:proofErr w:type="spellEnd"/>
      <w:r w:rsidRPr="006B5B9D">
        <w:rPr>
          <w:rFonts w:cs="Times New Roman"/>
          <w:color w:val="000000" w:themeColor="text1"/>
          <w:szCs w:val="20"/>
        </w:rPr>
        <w:t xml:space="preserve"> pueden aparecer tras una sola dosis de </w:t>
      </w:r>
      <w:proofErr w:type="spellStart"/>
      <w:r w:rsidRPr="00416979">
        <w:rPr>
          <w:rFonts w:cs="Times New Roman"/>
          <w:i/>
          <w:iCs/>
          <w:color w:val="000000" w:themeColor="text1"/>
          <w:szCs w:val="20"/>
        </w:rPr>
        <w:t>levamisol</w:t>
      </w:r>
      <w:proofErr w:type="spellEnd"/>
      <w:r w:rsidRPr="00416979">
        <w:rPr>
          <w:rFonts w:cs="Times New Roman"/>
          <w:i/>
          <w:iCs/>
          <w:color w:val="000000" w:themeColor="text1"/>
          <w:szCs w:val="20"/>
        </w:rPr>
        <w:t xml:space="preserve"> </w:t>
      </w:r>
      <w:r w:rsidRPr="006B5B9D">
        <w:rPr>
          <w:rFonts w:cs="Times New Roman"/>
          <w:color w:val="000000" w:themeColor="text1"/>
          <w:szCs w:val="20"/>
        </w:rPr>
        <w:t xml:space="preserve">y desarrollarse hasta varios meses después del tratamiento. </w:t>
      </w:r>
    </w:p>
    <w:p w14:paraId="6561295E" w14:textId="77777777" w:rsidR="006F221F" w:rsidRDefault="006F221F" w:rsidP="006F221F">
      <w:pPr>
        <w:ind w:left="180" w:hanging="180"/>
        <w:rPr>
          <w:rFonts w:cs="Times New Roman"/>
          <w:color w:val="000000" w:themeColor="text1"/>
          <w:szCs w:val="20"/>
        </w:rPr>
      </w:pPr>
    </w:p>
    <w:p w14:paraId="20C85CD3" w14:textId="5B7CE46C" w:rsidR="001C58D0" w:rsidRDefault="001C58D0" w:rsidP="006F221F">
      <w:pPr>
        <w:ind w:left="180" w:hanging="180"/>
        <w:rPr>
          <w:rFonts w:cs="Times New Roman"/>
          <w:color w:val="000000" w:themeColor="text1"/>
          <w:szCs w:val="20"/>
        </w:rPr>
      </w:pPr>
      <w:r w:rsidRPr="006B5B9D">
        <w:rPr>
          <w:rFonts w:cs="Times New Roman"/>
          <w:color w:val="000000" w:themeColor="text1"/>
          <w:szCs w:val="20"/>
        </w:rPr>
        <w:t xml:space="preserve">• En pacientes con </w:t>
      </w:r>
      <w:proofErr w:type="spellStart"/>
      <w:r w:rsidRPr="006B5B9D">
        <w:rPr>
          <w:rFonts w:cs="Times New Roman"/>
          <w:color w:val="000000" w:themeColor="text1"/>
          <w:szCs w:val="20"/>
        </w:rPr>
        <w:t>leucoencefalopatía</w:t>
      </w:r>
      <w:proofErr w:type="spellEnd"/>
      <w:r w:rsidRPr="006B5B9D">
        <w:rPr>
          <w:rFonts w:cs="Times New Roman"/>
          <w:color w:val="000000" w:themeColor="text1"/>
          <w:szCs w:val="20"/>
        </w:rPr>
        <w:t xml:space="preserve"> asociada a </w:t>
      </w:r>
      <w:proofErr w:type="spellStart"/>
      <w:r w:rsidRPr="00416979">
        <w:rPr>
          <w:rFonts w:cs="Times New Roman"/>
          <w:i/>
          <w:iCs/>
          <w:color w:val="000000" w:themeColor="text1"/>
          <w:szCs w:val="20"/>
        </w:rPr>
        <w:t>levamisol</w:t>
      </w:r>
      <w:proofErr w:type="spellEnd"/>
      <w:r w:rsidRPr="006B5B9D">
        <w:rPr>
          <w:rFonts w:cs="Times New Roman"/>
          <w:color w:val="000000" w:themeColor="text1"/>
          <w:szCs w:val="20"/>
        </w:rPr>
        <w:t xml:space="preserve">, los síntomas neurológicos varían según la localización de las lesiones y pueden incluir debilidad muscular, alteración del lenguaje, disfunción cognitiva, ataxia y </w:t>
      </w:r>
      <w:proofErr w:type="spellStart"/>
      <w:r w:rsidRPr="006B5B9D">
        <w:rPr>
          <w:rFonts w:cs="Times New Roman"/>
          <w:color w:val="000000" w:themeColor="text1"/>
          <w:szCs w:val="20"/>
        </w:rPr>
        <w:t>paresia</w:t>
      </w:r>
      <w:proofErr w:type="spellEnd"/>
      <w:r w:rsidRPr="006B5B9D">
        <w:rPr>
          <w:rFonts w:cs="Times New Roman"/>
          <w:color w:val="000000" w:themeColor="text1"/>
          <w:szCs w:val="20"/>
        </w:rPr>
        <w:t xml:space="preserve">. </w:t>
      </w:r>
    </w:p>
    <w:p w14:paraId="6153E4F0" w14:textId="77777777" w:rsidR="006F221F" w:rsidRDefault="006F221F" w:rsidP="006F221F">
      <w:pPr>
        <w:ind w:left="180" w:hanging="180"/>
        <w:rPr>
          <w:rFonts w:cs="Times New Roman"/>
          <w:color w:val="000000" w:themeColor="text1"/>
          <w:szCs w:val="20"/>
        </w:rPr>
      </w:pPr>
    </w:p>
    <w:p w14:paraId="419DCE63" w14:textId="6A82C5FE" w:rsidR="001C58D0" w:rsidRDefault="001C58D0" w:rsidP="006F221F">
      <w:pPr>
        <w:ind w:left="180" w:hanging="180"/>
        <w:rPr>
          <w:rFonts w:cs="Times New Roman"/>
          <w:color w:val="000000" w:themeColor="text1"/>
          <w:szCs w:val="20"/>
        </w:rPr>
      </w:pPr>
      <w:r w:rsidRPr="006B5B9D">
        <w:rPr>
          <w:rFonts w:cs="Times New Roman"/>
          <w:color w:val="000000" w:themeColor="text1"/>
          <w:szCs w:val="20"/>
        </w:rPr>
        <w:t xml:space="preserve">• En la UE están autorizados otros tratamientos antihelmínticos. </w:t>
      </w:r>
    </w:p>
    <w:p w14:paraId="35F29650" w14:textId="77777777" w:rsidR="006F221F" w:rsidRDefault="006F221F" w:rsidP="006F221F">
      <w:pPr>
        <w:ind w:left="180" w:hanging="180"/>
        <w:rPr>
          <w:rFonts w:cs="Times New Roman"/>
          <w:color w:val="000000" w:themeColor="text1"/>
          <w:szCs w:val="20"/>
        </w:rPr>
      </w:pPr>
    </w:p>
    <w:p w14:paraId="5E038D98" w14:textId="367D4A43" w:rsidR="001C58D0" w:rsidRDefault="001C58D0" w:rsidP="006F221F">
      <w:pPr>
        <w:ind w:left="180" w:hanging="180"/>
        <w:rPr>
          <w:rFonts w:cs="Times New Roman"/>
          <w:color w:val="000000" w:themeColor="text1"/>
          <w:szCs w:val="20"/>
        </w:rPr>
      </w:pPr>
      <w:r w:rsidRPr="006B5B9D">
        <w:rPr>
          <w:rFonts w:cs="Times New Roman"/>
          <w:color w:val="000000" w:themeColor="text1"/>
          <w:szCs w:val="20"/>
        </w:rPr>
        <w:t xml:space="preserve">• La recomendación de la EMA se basa en una revisión a nivel de la UE de los informes espontáneos de </w:t>
      </w:r>
      <w:proofErr w:type="spellStart"/>
      <w:r w:rsidRPr="006B5B9D">
        <w:rPr>
          <w:rFonts w:cs="Times New Roman"/>
          <w:color w:val="000000" w:themeColor="text1"/>
          <w:szCs w:val="20"/>
        </w:rPr>
        <w:t>leucoencefalopatía</w:t>
      </w:r>
      <w:proofErr w:type="spellEnd"/>
      <w:r w:rsidRPr="006B5B9D">
        <w:rPr>
          <w:rFonts w:cs="Times New Roman"/>
          <w:color w:val="000000" w:themeColor="text1"/>
          <w:szCs w:val="20"/>
        </w:rPr>
        <w:t xml:space="preserve"> y desmielinización del sistema nervioso central tras el uso de </w:t>
      </w:r>
      <w:proofErr w:type="spellStart"/>
      <w:r w:rsidRPr="00416979">
        <w:rPr>
          <w:rFonts w:cs="Times New Roman"/>
          <w:i/>
          <w:iCs/>
          <w:color w:val="000000" w:themeColor="text1"/>
          <w:szCs w:val="20"/>
        </w:rPr>
        <w:t>levamisol</w:t>
      </w:r>
      <w:proofErr w:type="spellEnd"/>
      <w:r w:rsidRPr="00416979">
        <w:rPr>
          <w:rFonts w:cs="Times New Roman"/>
          <w:i/>
          <w:iCs/>
          <w:color w:val="000000" w:themeColor="text1"/>
          <w:szCs w:val="20"/>
        </w:rPr>
        <w:t>,</w:t>
      </w:r>
      <w:r w:rsidRPr="006B5B9D">
        <w:rPr>
          <w:rFonts w:cs="Times New Roman"/>
          <w:color w:val="000000" w:themeColor="text1"/>
          <w:szCs w:val="20"/>
        </w:rPr>
        <w:t xml:space="preserve"> ya sea en su indicación autorizada o en el contexto de un uso no autorizado, un uso indebido o una exposición accidental, una revisión de la literatura científica y las </w:t>
      </w:r>
      <w:r w:rsidRPr="006B5B9D">
        <w:rPr>
          <w:rFonts w:cs="Times New Roman"/>
          <w:color w:val="000000" w:themeColor="text1"/>
          <w:szCs w:val="20"/>
        </w:rPr>
        <w:t xml:space="preserve">aportaciones de un panel de expertos independientes en enfermedades infecciosas y neurología. </w:t>
      </w:r>
    </w:p>
    <w:p w14:paraId="7F96C5F3" w14:textId="77777777" w:rsidR="006F221F" w:rsidRDefault="006F221F" w:rsidP="006F221F">
      <w:pPr>
        <w:ind w:left="180" w:hanging="180"/>
        <w:rPr>
          <w:rFonts w:cs="Times New Roman"/>
          <w:color w:val="000000" w:themeColor="text1"/>
          <w:szCs w:val="20"/>
        </w:rPr>
      </w:pPr>
    </w:p>
    <w:p w14:paraId="495BF40F" w14:textId="77777777" w:rsidR="001C58D0" w:rsidRDefault="001C58D0" w:rsidP="006F221F">
      <w:pPr>
        <w:ind w:left="180" w:hanging="180"/>
        <w:rPr>
          <w:rFonts w:cs="Times New Roman"/>
          <w:color w:val="000000" w:themeColor="text1"/>
          <w:szCs w:val="20"/>
        </w:rPr>
      </w:pPr>
      <w:r w:rsidRPr="006B5B9D">
        <w:rPr>
          <w:rFonts w:cs="Times New Roman"/>
          <w:color w:val="000000" w:themeColor="text1"/>
          <w:szCs w:val="20"/>
        </w:rPr>
        <w:t xml:space="preserve">• Se enviará una comunicación directa a los profesionales sanitarios pertinentes (DHPC, por sus siglas en inglés) y se publicará en una página dedicada [1]. </w:t>
      </w:r>
    </w:p>
    <w:p w14:paraId="67AEB63E" w14:textId="77777777" w:rsidR="001C58D0" w:rsidRDefault="001C58D0" w:rsidP="001C58D0">
      <w:pPr>
        <w:rPr>
          <w:rFonts w:cs="Times New Roman"/>
          <w:color w:val="000000" w:themeColor="text1"/>
          <w:szCs w:val="20"/>
        </w:rPr>
      </w:pPr>
    </w:p>
    <w:p w14:paraId="34925DB6" w14:textId="77777777" w:rsidR="001C58D0" w:rsidRPr="00416979" w:rsidRDefault="001C58D0" w:rsidP="001C58D0">
      <w:pPr>
        <w:rPr>
          <w:rFonts w:cs="Times New Roman"/>
          <w:b/>
          <w:bCs/>
          <w:color w:val="000000" w:themeColor="text1"/>
          <w:szCs w:val="20"/>
        </w:rPr>
      </w:pPr>
      <w:r w:rsidRPr="00416979">
        <w:rPr>
          <w:rFonts w:cs="Times New Roman"/>
          <w:b/>
          <w:bCs/>
          <w:color w:val="000000" w:themeColor="text1"/>
          <w:szCs w:val="20"/>
        </w:rPr>
        <w:t xml:space="preserve">Más información sobre el medicamento: </w:t>
      </w:r>
    </w:p>
    <w:p w14:paraId="6E21EC40" w14:textId="77777777" w:rsidR="001C58D0" w:rsidRDefault="001C58D0" w:rsidP="001C58D0">
      <w:pPr>
        <w:rPr>
          <w:rFonts w:cs="Times New Roman"/>
          <w:color w:val="000000" w:themeColor="text1"/>
          <w:szCs w:val="20"/>
        </w:rPr>
      </w:pPr>
      <w:r w:rsidRPr="006B5B9D">
        <w:rPr>
          <w:rFonts w:cs="Times New Roman"/>
          <w:color w:val="000000" w:themeColor="text1"/>
          <w:szCs w:val="20"/>
        </w:rPr>
        <w:t xml:space="preserve">El </w:t>
      </w:r>
      <w:proofErr w:type="spellStart"/>
      <w:r w:rsidRPr="00416979">
        <w:rPr>
          <w:rFonts w:cs="Times New Roman"/>
          <w:i/>
          <w:iCs/>
          <w:color w:val="000000" w:themeColor="text1"/>
          <w:szCs w:val="20"/>
        </w:rPr>
        <w:t>levamisol</w:t>
      </w:r>
      <w:proofErr w:type="spellEnd"/>
      <w:r w:rsidRPr="006B5B9D">
        <w:rPr>
          <w:rFonts w:cs="Times New Roman"/>
          <w:color w:val="000000" w:themeColor="text1"/>
          <w:szCs w:val="20"/>
        </w:rPr>
        <w:t xml:space="preserve"> es un antihelmíntico, un medicamento utilizado en adultos y niños para tratar infecciones causadas por los siguientes parásitos: </w:t>
      </w:r>
      <w:proofErr w:type="spellStart"/>
      <w:r w:rsidRPr="006B5B9D">
        <w:rPr>
          <w:rFonts w:cs="Times New Roman"/>
          <w:color w:val="000000" w:themeColor="text1"/>
          <w:szCs w:val="20"/>
        </w:rPr>
        <w:t>Ascaris</w:t>
      </w:r>
      <w:proofErr w:type="spellEnd"/>
      <w:r w:rsidRPr="006B5B9D">
        <w:rPr>
          <w:rFonts w:cs="Times New Roman"/>
          <w:color w:val="000000" w:themeColor="text1"/>
          <w:szCs w:val="20"/>
        </w:rPr>
        <w:t xml:space="preserve"> </w:t>
      </w:r>
      <w:proofErr w:type="spellStart"/>
      <w:r w:rsidRPr="006B5B9D">
        <w:rPr>
          <w:rFonts w:cs="Times New Roman"/>
          <w:color w:val="000000" w:themeColor="text1"/>
          <w:szCs w:val="20"/>
        </w:rPr>
        <w:t>lumbricoides</w:t>
      </w:r>
      <w:proofErr w:type="spellEnd"/>
      <w:r w:rsidRPr="006B5B9D">
        <w:rPr>
          <w:rFonts w:cs="Times New Roman"/>
          <w:color w:val="000000" w:themeColor="text1"/>
          <w:szCs w:val="20"/>
        </w:rPr>
        <w:t xml:space="preserve">, </w:t>
      </w:r>
      <w:proofErr w:type="spellStart"/>
      <w:r w:rsidRPr="006B5B9D">
        <w:rPr>
          <w:rFonts w:cs="Times New Roman"/>
          <w:color w:val="000000" w:themeColor="text1"/>
          <w:szCs w:val="20"/>
        </w:rPr>
        <w:t>Necator</w:t>
      </w:r>
      <w:proofErr w:type="spellEnd"/>
      <w:r w:rsidRPr="006B5B9D">
        <w:rPr>
          <w:rFonts w:cs="Times New Roman"/>
          <w:color w:val="000000" w:themeColor="text1"/>
          <w:szCs w:val="20"/>
        </w:rPr>
        <w:t xml:space="preserve"> </w:t>
      </w:r>
      <w:proofErr w:type="spellStart"/>
      <w:r w:rsidRPr="006B5B9D">
        <w:rPr>
          <w:rFonts w:cs="Times New Roman"/>
          <w:color w:val="000000" w:themeColor="text1"/>
          <w:szCs w:val="20"/>
        </w:rPr>
        <w:t>americanus</w:t>
      </w:r>
      <w:proofErr w:type="spellEnd"/>
      <w:r w:rsidRPr="006B5B9D">
        <w:rPr>
          <w:rFonts w:cs="Times New Roman"/>
          <w:color w:val="000000" w:themeColor="text1"/>
          <w:szCs w:val="20"/>
        </w:rPr>
        <w:t xml:space="preserve">, </w:t>
      </w:r>
      <w:proofErr w:type="spellStart"/>
      <w:r w:rsidRPr="006B5B9D">
        <w:rPr>
          <w:rFonts w:cs="Times New Roman"/>
          <w:color w:val="000000" w:themeColor="text1"/>
          <w:szCs w:val="20"/>
        </w:rPr>
        <w:t>Ancylostoma</w:t>
      </w:r>
      <w:proofErr w:type="spellEnd"/>
      <w:r w:rsidRPr="006B5B9D">
        <w:rPr>
          <w:rFonts w:cs="Times New Roman"/>
          <w:color w:val="000000" w:themeColor="text1"/>
          <w:szCs w:val="20"/>
        </w:rPr>
        <w:t xml:space="preserve"> </w:t>
      </w:r>
      <w:proofErr w:type="spellStart"/>
      <w:r w:rsidRPr="006B5B9D">
        <w:rPr>
          <w:rFonts w:cs="Times New Roman"/>
          <w:color w:val="000000" w:themeColor="text1"/>
          <w:szCs w:val="20"/>
        </w:rPr>
        <w:t>duodenale</w:t>
      </w:r>
      <w:proofErr w:type="spellEnd"/>
      <w:r w:rsidRPr="006B5B9D">
        <w:rPr>
          <w:rFonts w:cs="Times New Roman"/>
          <w:color w:val="000000" w:themeColor="text1"/>
          <w:szCs w:val="20"/>
        </w:rPr>
        <w:t xml:space="preserve">, </w:t>
      </w:r>
      <w:proofErr w:type="spellStart"/>
      <w:r w:rsidRPr="006B5B9D">
        <w:rPr>
          <w:rFonts w:cs="Times New Roman"/>
          <w:color w:val="000000" w:themeColor="text1"/>
          <w:szCs w:val="20"/>
        </w:rPr>
        <w:t>Strongyloides</w:t>
      </w:r>
      <w:proofErr w:type="spellEnd"/>
      <w:r w:rsidRPr="006B5B9D">
        <w:rPr>
          <w:rFonts w:cs="Times New Roman"/>
          <w:color w:val="000000" w:themeColor="text1"/>
          <w:szCs w:val="20"/>
        </w:rPr>
        <w:t xml:space="preserve"> </w:t>
      </w:r>
      <w:proofErr w:type="spellStart"/>
      <w:r w:rsidRPr="006B5B9D">
        <w:rPr>
          <w:rFonts w:cs="Times New Roman"/>
          <w:color w:val="000000" w:themeColor="text1"/>
          <w:szCs w:val="20"/>
        </w:rPr>
        <w:t>stercoralis</w:t>
      </w:r>
      <w:proofErr w:type="spellEnd"/>
      <w:r w:rsidRPr="006B5B9D">
        <w:rPr>
          <w:rFonts w:cs="Times New Roman"/>
          <w:color w:val="000000" w:themeColor="text1"/>
          <w:szCs w:val="20"/>
        </w:rPr>
        <w:t xml:space="preserve"> y </w:t>
      </w:r>
      <w:proofErr w:type="spellStart"/>
      <w:r w:rsidRPr="006B5B9D">
        <w:rPr>
          <w:rFonts w:cs="Times New Roman"/>
          <w:color w:val="000000" w:themeColor="text1"/>
          <w:szCs w:val="20"/>
        </w:rPr>
        <w:t>Trichostrongylus</w:t>
      </w:r>
      <w:proofErr w:type="spellEnd"/>
      <w:r w:rsidRPr="006B5B9D">
        <w:rPr>
          <w:rFonts w:cs="Times New Roman"/>
          <w:color w:val="000000" w:themeColor="text1"/>
          <w:szCs w:val="20"/>
        </w:rPr>
        <w:t xml:space="preserve"> </w:t>
      </w:r>
      <w:proofErr w:type="spellStart"/>
      <w:r w:rsidRPr="006B5B9D">
        <w:rPr>
          <w:rFonts w:cs="Times New Roman"/>
          <w:color w:val="000000" w:themeColor="text1"/>
          <w:szCs w:val="20"/>
        </w:rPr>
        <w:t>colubriformis</w:t>
      </w:r>
      <w:proofErr w:type="spellEnd"/>
      <w:r w:rsidRPr="006B5B9D">
        <w:rPr>
          <w:rFonts w:cs="Times New Roman"/>
          <w:color w:val="000000" w:themeColor="text1"/>
          <w:szCs w:val="20"/>
        </w:rPr>
        <w:t xml:space="preserve">. El </w:t>
      </w:r>
      <w:proofErr w:type="spellStart"/>
      <w:r w:rsidRPr="00416979">
        <w:rPr>
          <w:rFonts w:cs="Times New Roman"/>
          <w:i/>
          <w:iCs/>
          <w:color w:val="000000" w:themeColor="text1"/>
          <w:szCs w:val="20"/>
        </w:rPr>
        <w:t>levamisol</w:t>
      </w:r>
      <w:proofErr w:type="spellEnd"/>
      <w:r w:rsidRPr="00416979">
        <w:rPr>
          <w:rFonts w:cs="Times New Roman"/>
          <w:i/>
          <w:iCs/>
          <w:color w:val="000000" w:themeColor="text1"/>
          <w:szCs w:val="20"/>
        </w:rPr>
        <w:t xml:space="preserve"> </w:t>
      </w:r>
      <w:r w:rsidRPr="006B5B9D">
        <w:rPr>
          <w:rFonts w:cs="Times New Roman"/>
          <w:color w:val="000000" w:themeColor="text1"/>
          <w:szCs w:val="20"/>
        </w:rPr>
        <w:t xml:space="preserve">actúa principalmente estimulando los receptores nicotínicos de acetilcolina, que son proteínas presentes en la superficie de las células nerviosas del gusano. Esto provoca una parálisis rápida de los músculos del gusano, impidiendo su movimiento y permitiendo su expulsión del intestino de la persona infectada. </w:t>
      </w:r>
    </w:p>
    <w:p w14:paraId="26714AFD" w14:textId="77777777" w:rsidR="001C58D0" w:rsidRDefault="001C58D0" w:rsidP="001C58D0">
      <w:pPr>
        <w:rPr>
          <w:rFonts w:cs="Times New Roman"/>
          <w:color w:val="000000" w:themeColor="text1"/>
          <w:szCs w:val="20"/>
        </w:rPr>
      </w:pPr>
    </w:p>
    <w:p w14:paraId="63568993" w14:textId="77777777" w:rsidR="001C58D0" w:rsidRDefault="001C58D0" w:rsidP="001C58D0">
      <w:pPr>
        <w:rPr>
          <w:rFonts w:cs="Times New Roman"/>
          <w:color w:val="000000" w:themeColor="text1"/>
          <w:szCs w:val="20"/>
        </w:rPr>
      </w:pPr>
      <w:r w:rsidRPr="006B5B9D">
        <w:rPr>
          <w:rFonts w:cs="Times New Roman"/>
          <w:color w:val="000000" w:themeColor="text1"/>
          <w:szCs w:val="20"/>
        </w:rPr>
        <w:t xml:space="preserve">Los medicamentos para uso humano que contienen </w:t>
      </w:r>
      <w:proofErr w:type="spellStart"/>
      <w:r w:rsidRPr="00416979">
        <w:rPr>
          <w:rFonts w:cs="Times New Roman"/>
          <w:i/>
          <w:iCs/>
          <w:color w:val="000000" w:themeColor="text1"/>
          <w:szCs w:val="20"/>
        </w:rPr>
        <w:t>levamisol</w:t>
      </w:r>
      <w:proofErr w:type="spellEnd"/>
      <w:r w:rsidRPr="006B5B9D">
        <w:rPr>
          <w:rFonts w:cs="Times New Roman"/>
          <w:color w:val="000000" w:themeColor="text1"/>
          <w:szCs w:val="20"/>
        </w:rPr>
        <w:t xml:space="preserve"> se presentan en forma de comprimidos para administración oral, generalmente en dosis única. Están autorizados en Hungría, Lituania, Letonia y Rumanía con los nombres comerciales de </w:t>
      </w:r>
      <w:proofErr w:type="spellStart"/>
      <w:r w:rsidRPr="006B5B9D">
        <w:rPr>
          <w:rFonts w:cs="Times New Roman"/>
          <w:color w:val="000000" w:themeColor="text1"/>
          <w:szCs w:val="20"/>
        </w:rPr>
        <w:t>Decaris</w:t>
      </w:r>
      <w:proofErr w:type="spellEnd"/>
      <w:r w:rsidRPr="006B5B9D">
        <w:rPr>
          <w:rFonts w:cs="Times New Roman"/>
          <w:color w:val="000000" w:themeColor="text1"/>
          <w:szCs w:val="20"/>
        </w:rPr>
        <w:t xml:space="preserve"> y </w:t>
      </w:r>
      <w:proofErr w:type="spellStart"/>
      <w:r w:rsidRPr="006B5B9D">
        <w:rPr>
          <w:rFonts w:cs="Times New Roman"/>
          <w:color w:val="000000" w:themeColor="text1"/>
          <w:szCs w:val="20"/>
        </w:rPr>
        <w:t>Levamisol</w:t>
      </w:r>
      <w:proofErr w:type="spellEnd"/>
      <w:r w:rsidRPr="006B5B9D">
        <w:rPr>
          <w:rFonts w:cs="Times New Roman"/>
          <w:color w:val="000000" w:themeColor="text1"/>
          <w:szCs w:val="20"/>
        </w:rPr>
        <w:t xml:space="preserve"> Arena. </w:t>
      </w:r>
    </w:p>
    <w:p w14:paraId="09E8B90D" w14:textId="77777777" w:rsidR="001C58D0" w:rsidRDefault="001C58D0" w:rsidP="001C58D0">
      <w:pPr>
        <w:rPr>
          <w:rFonts w:cs="Times New Roman"/>
          <w:color w:val="000000" w:themeColor="text1"/>
          <w:szCs w:val="20"/>
        </w:rPr>
      </w:pPr>
    </w:p>
    <w:p w14:paraId="400FE9BC" w14:textId="77777777" w:rsidR="001C58D0" w:rsidRPr="00C24284" w:rsidRDefault="001C58D0" w:rsidP="001C58D0">
      <w:pPr>
        <w:rPr>
          <w:rFonts w:cs="Times New Roman"/>
          <w:b/>
          <w:bCs/>
          <w:color w:val="000000" w:themeColor="text1"/>
          <w:szCs w:val="20"/>
        </w:rPr>
      </w:pPr>
      <w:r w:rsidRPr="00C24284">
        <w:rPr>
          <w:rFonts w:cs="Times New Roman"/>
          <w:b/>
          <w:bCs/>
          <w:color w:val="000000" w:themeColor="text1"/>
          <w:szCs w:val="20"/>
        </w:rPr>
        <w:t xml:space="preserve">Más información sobre el procedimiento </w:t>
      </w:r>
    </w:p>
    <w:p w14:paraId="3D86AC1C" w14:textId="77777777" w:rsidR="001C58D0" w:rsidRDefault="001C58D0" w:rsidP="001C58D0">
      <w:pPr>
        <w:rPr>
          <w:rFonts w:cs="Times New Roman"/>
          <w:color w:val="000000" w:themeColor="text1"/>
          <w:szCs w:val="20"/>
        </w:rPr>
      </w:pPr>
      <w:r w:rsidRPr="006B5B9D">
        <w:rPr>
          <w:rFonts w:cs="Times New Roman"/>
          <w:color w:val="000000" w:themeColor="text1"/>
          <w:szCs w:val="20"/>
        </w:rPr>
        <w:t xml:space="preserve">La revisión de los medicamentos que contienen </w:t>
      </w:r>
      <w:proofErr w:type="spellStart"/>
      <w:r w:rsidRPr="00C24284">
        <w:rPr>
          <w:rFonts w:cs="Times New Roman"/>
          <w:i/>
          <w:iCs/>
          <w:color w:val="000000" w:themeColor="text1"/>
          <w:szCs w:val="20"/>
        </w:rPr>
        <w:t>levamisol</w:t>
      </w:r>
      <w:proofErr w:type="spellEnd"/>
      <w:r w:rsidRPr="00C24284">
        <w:rPr>
          <w:rFonts w:cs="Times New Roman"/>
          <w:i/>
          <w:iCs/>
          <w:color w:val="000000" w:themeColor="text1"/>
          <w:szCs w:val="20"/>
        </w:rPr>
        <w:t xml:space="preserve"> </w:t>
      </w:r>
      <w:r w:rsidRPr="006B5B9D">
        <w:rPr>
          <w:rFonts w:cs="Times New Roman"/>
          <w:color w:val="000000" w:themeColor="text1"/>
          <w:szCs w:val="20"/>
        </w:rPr>
        <w:t xml:space="preserve">se inició a petición de la Agencia Rumana de Medicamentos (NAMMDR), en virtud del artículo 31 de la Directiva 2001/83/CE [2]. La revisión fue realizada por el Comité de Evaluación de Riesgos de Farmacovigilancia (PRAC), el comité responsable de la evaluación de los problemas de seguridad de los medicamentos para uso humano, que emitió una recomendación. </w:t>
      </w:r>
    </w:p>
    <w:p w14:paraId="72858DB4" w14:textId="77777777" w:rsidR="001C58D0" w:rsidRDefault="001C58D0" w:rsidP="001C58D0">
      <w:pPr>
        <w:rPr>
          <w:rFonts w:cs="Times New Roman"/>
          <w:color w:val="000000" w:themeColor="text1"/>
          <w:szCs w:val="20"/>
        </w:rPr>
      </w:pPr>
    </w:p>
    <w:p w14:paraId="089A22F0" w14:textId="77777777" w:rsidR="001C58D0" w:rsidRDefault="001C58D0" w:rsidP="001C58D0">
      <w:pPr>
        <w:rPr>
          <w:rFonts w:cs="Times New Roman"/>
          <w:color w:val="000000" w:themeColor="text1"/>
          <w:szCs w:val="20"/>
        </w:rPr>
      </w:pPr>
      <w:r w:rsidRPr="006B5B9D">
        <w:rPr>
          <w:rFonts w:cs="Times New Roman"/>
          <w:color w:val="000000" w:themeColor="text1"/>
          <w:szCs w:val="20"/>
        </w:rPr>
        <w:t xml:space="preserve">Dado que todos los medicamentos que contienen </w:t>
      </w:r>
      <w:proofErr w:type="spellStart"/>
      <w:r w:rsidRPr="00C24284">
        <w:rPr>
          <w:rFonts w:cs="Times New Roman"/>
          <w:i/>
          <w:iCs/>
          <w:color w:val="000000" w:themeColor="text1"/>
          <w:szCs w:val="20"/>
        </w:rPr>
        <w:t>levamisol</w:t>
      </w:r>
      <w:proofErr w:type="spellEnd"/>
      <w:r w:rsidRPr="006B5B9D">
        <w:rPr>
          <w:rFonts w:cs="Times New Roman"/>
          <w:color w:val="000000" w:themeColor="text1"/>
          <w:szCs w:val="20"/>
        </w:rPr>
        <w:t xml:space="preserve"> han sido autorizados mediante procedimientos nacionales, la recomendación del PRAC se envió al Grupo de Coordinación para el Reconocimiento Mutuo y los Procedimientos Descentralizados – Humanos (</w:t>
      </w:r>
      <w:proofErr w:type="spellStart"/>
      <w:r w:rsidRPr="006B5B9D">
        <w:rPr>
          <w:rFonts w:cs="Times New Roman"/>
          <w:color w:val="000000" w:themeColor="text1"/>
          <w:szCs w:val="20"/>
        </w:rPr>
        <w:t>CMDh</w:t>
      </w:r>
      <w:proofErr w:type="spellEnd"/>
      <w:r w:rsidRPr="006B5B9D">
        <w:rPr>
          <w:rFonts w:cs="Times New Roman"/>
          <w:color w:val="000000" w:themeColor="text1"/>
          <w:szCs w:val="20"/>
        </w:rPr>
        <w:t xml:space="preserve">), que adoptó una posición el 26 de marzo de 2026. El </w:t>
      </w:r>
      <w:proofErr w:type="spellStart"/>
      <w:r w:rsidRPr="006B5B9D">
        <w:rPr>
          <w:rFonts w:cs="Times New Roman"/>
          <w:color w:val="000000" w:themeColor="text1"/>
          <w:szCs w:val="20"/>
        </w:rPr>
        <w:t>CMDh</w:t>
      </w:r>
      <w:proofErr w:type="spellEnd"/>
      <w:r w:rsidRPr="006B5B9D">
        <w:rPr>
          <w:rFonts w:cs="Times New Roman"/>
          <w:color w:val="000000" w:themeColor="text1"/>
          <w:szCs w:val="20"/>
        </w:rPr>
        <w:t xml:space="preserve"> es un organismo que representa a los Estados miembros de la UE, así como a Islandia, Liechtenstein y Noruega. </w:t>
      </w:r>
    </w:p>
    <w:p w14:paraId="1C3AFE12" w14:textId="77777777" w:rsidR="001C58D0" w:rsidRDefault="001C58D0" w:rsidP="001C58D0">
      <w:pPr>
        <w:rPr>
          <w:rFonts w:cs="Times New Roman"/>
          <w:color w:val="000000" w:themeColor="text1"/>
          <w:szCs w:val="20"/>
        </w:rPr>
      </w:pPr>
    </w:p>
    <w:p w14:paraId="1E31CAD0" w14:textId="77777777" w:rsidR="001C58D0" w:rsidRDefault="001C58D0" w:rsidP="001C58D0">
      <w:pPr>
        <w:rPr>
          <w:rFonts w:cs="Times New Roman"/>
          <w:color w:val="000000" w:themeColor="text1"/>
          <w:szCs w:val="20"/>
        </w:rPr>
      </w:pPr>
      <w:r w:rsidRPr="006B5B9D">
        <w:rPr>
          <w:rFonts w:cs="Times New Roman"/>
          <w:color w:val="000000" w:themeColor="text1"/>
          <w:szCs w:val="20"/>
        </w:rPr>
        <w:t xml:space="preserve">El </w:t>
      </w:r>
      <w:proofErr w:type="spellStart"/>
      <w:r w:rsidRPr="006B5B9D">
        <w:rPr>
          <w:rFonts w:cs="Times New Roman"/>
          <w:color w:val="000000" w:themeColor="text1"/>
          <w:szCs w:val="20"/>
        </w:rPr>
        <w:t>CMDh</w:t>
      </w:r>
      <w:proofErr w:type="spellEnd"/>
      <w:r w:rsidRPr="006B5B9D">
        <w:rPr>
          <w:rFonts w:cs="Times New Roman"/>
          <w:color w:val="000000" w:themeColor="text1"/>
          <w:szCs w:val="20"/>
        </w:rPr>
        <w:t xml:space="preserve"> es responsable de garantizar normas de seguridad armonizadas para los medicamentos autorizados mediante procedimientos nacionales en toda la UE. Dado que el </w:t>
      </w:r>
      <w:proofErr w:type="spellStart"/>
      <w:r w:rsidRPr="006B5B9D">
        <w:rPr>
          <w:rFonts w:cs="Times New Roman"/>
          <w:color w:val="000000" w:themeColor="text1"/>
          <w:szCs w:val="20"/>
        </w:rPr>
        <w:t>CMDh</w:t>
      </w:r>
      <w:proofErr w:type="spellEnd"/>
      <w:r w:rsidRPr="006B5B9D">
        <w:rPr>
          <w:rFonts w:cs="Times New Roman"/>
          <w:color w:val="000000" w:themeColor="text1"/>
          <w:szCs w:val="20"/>
        </w:rPr>
        <w:t xml:space="preserve"> adoptó su posición por consenso, la recomendación del PRAC será implementada directamente por los Estados miembros donde los medicamentos estén autorizados, de acuerdo con un calendario acordado.</w:t>
      </w:r>
    </w:p>
    <w:p w14:paraId="773E51F8" w14:textId="77777777" w:rsidR="001C58D0" w:rsidRDefault="001C58D0" w:rsidP="001C58D0">
      <w:pPr>
        <w:rPr>
          <w:rFonts w:cs="Times New Roman"/>
          <w:color w:val="000000" w:themeColor="text1"/>
          <w:szCs w:val="20"/>
        </w:rPr>
      </w:pPr>
    </w:p>
    <w:p w14:paraId="2CDB9114" w14:textId="77777777" w:rsidR="001C58D0" w:rsidRPr="00C24284" w:rsidRDefault="001C58D0" w:rsidP="001C58D0">
      <w:pPr>
        <w:rPr>
          <w:rFonts w:cs="Times New Roman"/>
          <w:b/>
          <w:bCs/>
          <w:color w:val="000000" w:themeColor="text1"/>
          <w:sz w:val="18"/>
          <w:szCs w:val="18"/>
          <w:lang w:val="en-US"/>
        </w:rPr>
      </w:pPr>
      <w:proofErr w:type="spellStart"/>
      <w:r w:rsidRPr="00C24284">
        <w:rPr>
          <w:rFonts w:cs="Times New Roman"/>
          <w:b/>
          <w:bCs/>
          <w:color w:val="000000" w:themeColor="text1"/>
          <w:sz w:val="18"/>
          <w:szCs w:val="18"/>
          <w:lang w:val="en-US"/>
        </w:rPr>
        <w:t>Referencias</w:t>
      </w:r>
      <w:proofErr w:type="spellEnd"/>
      <w:r w:rsidRPr="00C24284">
        <w:rPr>
          <w:rFonts w:cs="Times New Roman"/>
          <w:b/>
          <w:bCs/>
          <w:color w:val="000000" w:themeColor="text1"/>
          <w:sz w:val="18"/>
          <w:szCs w:val="18"/>
          <w:lang w:val="en-US"/>
        </w:rPr>
        <w:t xml:space="preserve">: </w:t>
      </w:r>
    </w:p>
    <w:p w14:paraId="49D11E9F" w14:textId="4D000FF8" w:rsidR="001C58D0" w:rsidRPr="009B2DBA" w:rsidRDefault="001C58D0" w:rsidP="009B2DBA">
      <w:pPr>
        <w:ind w:left="180" w:hanging="180"/>
        <w:rPr>
          <w:rFonts w:cs="Times New Roman"/>
          <w:color w:val="000000" w:themeColor="text1"/>
          <w:sz w:val="18"/>
          <w:szCs w:val="18"/>
        </w:rPr>
      </w:pPr>
      <w:r w:rsidRPr="009B2DBA">
        <w:rPr>
          <w:rFonts w:cs="Times New Roman"/>
          <w:color w:val="000000" w:themeColor="text1"/>
          <w:sz w:val="18"/>
          <w:szCs w:val="18"/>
          <w:lang w:val="en-US"/>
        </w:rPr>
        <w:t xml:space="preserve">1.EMA. Direct Health care Professional Communication (DHPC). </w:t>
      </w:r>
      <w:hyperlink r:id="rId70" w:history="1">
        <w:r w:rsidRPr="009B2DBA">
          <w:rPr>
            <w:rStyle w:val="Hipervnculo"/>
            <w:rFonts w:cs="Times New Roman"/>
            <w:sz w:val="18"/>
            <w:szCs w:val="18"/>
          </w:rPr>
          <w:t>https://www.ema.europa.eu/en/human-regulatory-overview/postauthorisation/pharmacovigilance-post-authorisation/direct-healthcareprofessional-communications-dhpc</w:t>
        </w:r>
      </w:hyperlink>
    </w:p>
    <w:p w14:paraId="76908F67" w14:textId="77777777" w:rsidR="001C58D0" w:rsidRPr="009B2DBA" w:rsidRDefault="001C58D0" w:rsidP="009B2DBA">
      <w:pPr>
        <w:ind w:left="180" w:hanging="180"/>
        <w:rPr>
          <w:rFonts w:cs="Times New Roman"/>
          <w:color w:val="000000" w:themeColor="text1"/>
          <w:sz w:val="18"/>
          <w:szCs w:val="18"/>
        </w:rPr>
      </w:pPr>
      <w:r w:rsidRPr="009B2DBA">
        <w:rPr>
          <w:rFonts w:cs="Times New Roman"/>
          <w:color w:val="000000" w:themeColor="text1"/>
          <w:sz w:val="18"/>
          <w:szCs w:val="18"/>
        </w:rPr>
        <w:t xml:space="preserve">2.EMA. </w:t>
      </w:r>
      <w:proofErr w:type="spellStart"/>
      <w:r w:rsidRPr="009B2DBA">
        <w:rPr>
          <w:rFonts w:cs="Times New Roman"/>
          <w:color w:val="000000" w:themeColor="text1"/>
          <w:sz w:val="18"/>
          <w:szCs w:val="18"/>
        </w:rPr>
        <w:t>Referral</w:t>
      </w:r>
      <w:proofErr w:type="spellEnd"/>
      <w:r w:rsidRPr="009B2DBA">
        <w:rPr>
          <w:rFonts w:cs="Times New Roman"/>
          <w:color w:val="000000" w:themeColor="text1"/>
          <w:sz w:val="18"/>
          <w:szCs w:val="18"/>
        </w:rPr>
        <w:t xml:space="preserve"> </w:t>
      </w:r>
      <w:proofErr w:type="spellStart"/>
      <w:r w:rsidRPr="009B2DBA">
        <w:rPr>
          <w:rFonts w:cs="Times New Roman"/>
          <w:color w:val="000000" w:themeColor="text1"/>
          <w:sz w:val="18"/>
          <w:szCs w:val="18"/>
        </w:rPr>
        <w:t>procedures</w:t>
      </w:r>
      <w:proofErr w:type="spellEnd"/>
      <w:r w:rsidRPr="009B2DBA">
        <w:rPr>
          <w:rFonts w:cs="Times New Roman"/>
          <w:color w:val="000000" w:themeColor="text1"/>
          <w:sz w:val="18"/>
          <w:szCs w:val="18"/>
        </w:rPr>
        <w:t xml:space="preserve">: human medicines. </w:t>
      </w:r>
      <w:hyperlink r:id="rId71" w:history="1">
        <w:r w:rsidRPr="009B2DBA">
          <w:rPr>
            <w:rStyle w:val="Hipervnculo"/>
            <w:rFonts w:cs="Times New Roman"/>
            <w:sz w:val="18"/>
            <w:szCs w:val="18"/>
          </w:rPr>
          <w:t>https://www.ema.europa.eu/en/human-regulatory-overview/postauthorisation/referral-procedures-human-medicines</w:t>
        </w:r>
      </w:hyperlink>
    </w:p>
    <w:p w14:paraId="3836F899" w14:textId="77777777" w:rsidR="007D0C90" w:rsidRDefault="007D0C90" w:rsidP="00980893">
      <w:pPr>
        <w:rPr>
          <w:rFonts w:eastAsia="Times New Roman" w:cs="Times New Roman"/>
          <w:szCs w:val="20"/>
        </w:rPr>
        <w:sectPr w:rsidR="007D0C90" w:rsidSect="007D0C90">
          <w:type w:val="continuous"/>
          <w:pgSz w:w="12240" w:h="15840" w:code="1"/>
          <w:pgMar w:top="720" w:right="720" w:bottom="720" w:left="720" w:header="288" w:footer="288" w:gutter="0"/>
          <w:cols w:num="2" w:space="288"/>
          <w:docGrid w:linePitch="360"/>
        </w:sectPr>
      </w:pPr>
    </w:p>
    <w:p w14:paraId="47052BF6" w14:textId="484272B2" w:rsidR="001C58D0" w:rsidRPr="00FA47C9" w:rsidRDefault="001C58D0" w:rsidP="00980893">
      <w:pPr>
        <w:rPr>
          <w:rFonts w:eastAsia="Times New Roman" w:cs="Times New Roman"/>
          <w:szCs w:val="20"/>
        </w:rPr>
      </w:pPr>
    </w:p>
    <w:p w14:paraId="30A64C60" w14:textId="2FEBC892" w:rsidR="00871E58" w:rsidRDefault="00871E58" w:rsidP="00057E97">
      <w:pPr>
        <w:jc w:val="center"/>
        <w:rPr>
          <w:rFonts w:eastAsia="Times New Roman" w:cs="Times New Roman"/>
          <w:szCs w:val="20"/>
        </w:rPr>
      </w:pPr>
    </w:p>
    <w:p w14:paraId="037A4B5B" w14:textId="77777777" w:rsidR="007D0C90" w:rsidRDefault="007D0C90" w:rsidP="00057E97">
      <w:pPr>
        <w:jc w:val="center"/>
        <w:rPr>
          <w:rFonts w:eastAsia="Times New Roman" w:cs="Times New Roman"/>
          <w:szCs w:val="20"/>
        </w:rPr>
      </w:pPr>
    </w:p>
    <w:p w14:paraId="7F020473" w14:textId="77777777" w:rsidR="00871E58" w:rsidRPr="009F6FB8" w:rsidRDefault="00871E58" w:rsidP="00871E58">
      <w:pPr>
        <w:shd w:val="clear" w:color="auto" w:fill="FFFFFF"/>
        <w:tabs>
          <w:tab w:val="left" w:pos="7920"/>
        </w:tabs>
        <w:jc w:val="center"/>
        <w:outlineLvl w:val="0"/>
        <w:rPr>
          <w:rFonts w:eastAsia="Times New Roman" w:cs="Times New Roman"/>
          <w:b/>
          <w:kern w:val="36"/>
          <w:szCs w:val="20"/>
          <w:lang w:val="es-ES"/>
        </w:rPr>
      </w:pPr>
      <w:r w:rsidRPr="009F6FB8">
        <w:rPr>
          <w:rFonts w:eastAsia="Times New Roman" w:cs="Times New Roman"/>
          <w:kern w:val="36"/>
          <w:szCs w:val="20"/>
          <w:lang w:val="es-ES"/>
        </w:rPr>
        <w:lastRenderedPageBreak/>
        <w:t>España.</w:t>
      </w:r>
      <w:r w:rsidRPr="009F6FB8">
        <w:rPr>
          <w:rFonts w:eastAsia="Times New Roman" w:cs="Times New Roman"/>
          <w:b/>
          <w:kern w:val="36"/>
          <w:szCs w:val="20"/>
          <w:lang w:val="es-ES"/>
        </w:rPr>
        <w:t xml:space="preserve"> El Consejo de Ministros aprueba el primer marco estatal para evaluar tecnologías sanitarias </w:t>
      </w:r>
    </w:p>
    <w:p w14:paraId="0B71A006" w14:textId="77777777" w:rsidR="00871E58" w:rsidRPr="009F6FB8" w:rsidRDefault="00871E58" w:rsidP="00871E58">
      <w:pPr>
        <w:shd w:val="clear" w:color="auto" w:fill="FFFFFF"/>
        <w:tabs>
          <w:tab w:val="left" w:pos="7920"/>
        </w:tabs>
        <w:jc w:val="center"/>
        <w:outlineLvl w:val="0"/>
        <w:rPr>
          <w:rFonts w:eastAsia="Times New Roman" w:cs="Times New Roman"/>
          <w:b/>
          <w:kern w:val="36"/>
          <w:szCs w:val="20"/>
          <w:lang w:val="es-ES"/>
        </w:rPr>
      </w:pPr>
      <w:r w:rsidRPr="009F6FB8">
        <w:rPr>
          <w:rFonts w:eastAsia="Times New Roman" w:cs="Times New Roman"/>
          <w:b/>
          <w:kern w:val="36"/>
          <w:szCs w:val="20"/>
          <w:lang w:val="es-ES"/>
        </w:rPr>
        <w:t>en el Sistema Nacional de Salud</w:t>
      </w:r>
    </w:p>
    <w:p w14:paraId="2114BD8E" w14:textId="77777777" w:rsidR="00871E58" w:rsidRPr="009F6FB8" w:rsidRDefault="00871E58" w:rsidP="00871E58">
      <w:pPr>
        <w:shd w:val="clear" w:color="auto" w:fill="FFFFFF"/>
        <w:tabs>
          <w:tab w:val="left" w:pos="7920"/>
        </w:tabs>
        <w:jc w:val="center"/>
        <w:outlineLvl w:val="0"/>
        <w:rPr>
          <w:rFonts w:eastAsia="Times New Roman" w:cs="Times New Roman"/>
          <w:kern w:val="36"/>
          <w:szCs w:val="20"/>
          <w:lang w:val="es-ES"/>
        </w:rPr>
      </w:pPr>
      <w:r w:rsidRPr="009F6FB8">
        <w:rPr>
          <w:rFonts w:eastAsia="Times New Roman" w:cs="Times New Roman"/>
          <w:i/>
          <w:kern w:val="36"/>
          <w:szCs w:val="20"/>
          <w:lang w:val="es-ES"/>
        </w:rPr>
        <w:t>Ministerio de Salud</w:t>
      </w:r>
      <w:r w:rsidRPr="009F6FB8">
        <w:rPr>
          <w:rFonts w:eastAsia="Times New Roman" w:cs="Times New Roman"/>
          <w:kern w:val="36"/>
          <w:szCs w:val="20"/>
          <w:lang w:val="es-ES"/>
        </w:rPr>
        <w:t>, 26 de mayo de 2026</w:t>
      </w:r>
    </w:p>
    <w:p w14:paraId="33B8ACFB" w14:textId="77777777" w:rsidR="00871E58" w:rsidRPr="009F6FB8" w:rsidRDefault="00B00DA4" w:rsidP="00871E58">
      <w:pPr>
        <w:shd w:val="clear" w:color="auto" w:fill="FFFFFF"/>
        <w:tabs>
          <w:tab w:val="left" w:pos="7920"/>
        </w:tabs>
        <w:jc w:val="center"/>
        <w:outlineLvl w:val="0"/>
        <w:rPr>
          <w:rFonts w:eastAsia="Times New Roman" w:cs="Times New Roman"/>
          <w:kern w:val="36"/>
          <w:szCs w:val="20"/>
          <w:lang w:val="es-ES"/>
        </w:rPr>
      </w:pPr>
      <w:hyperlink r:id="rId72" w:history="1">
        <w:r w:rsidR="00871E58" w:rsidRPr="009F6FB8">
          <w:rPr>
            <w:rFonts w:eastAsia="Times New Roman" w:cs="Times New Roman"/>
            <w:color w:val="467886" w:themeColor="hyperlink"/>
            <w:kern w:val="36"/>
            <w:szCs w:val="20"/>
            <w:u w:val="single"/>
            <w:lang w:val="es-ES"/>
          </w:rPr>
          <w:t>https://www.sanidad.gob.es/gabinete/notasPrensa.do?id=6918</w:t>
        </w:r>
      </w:hyperlink>
    </w:p>
    <w:p w14:paraId="27448876" w14:textId="77777777" w:rsidR="00871E58" w:rsidRDefault="00871E58" w:rsidP="00057E97">
      <w:pPr>
        <w:jc w:val="center"/>
        <w:rPr>
          <w:rFonts w:eastAsia="Times New Roman" w:cs="Times New Roman"/>
          <w:szCs w:val="20"/>
          <w:lang w:val="es-ES"/>
        </w:rPr>
      </w:pPr>
    </w:p>
    <w:p w14:paraId="546D6ADD" w14:textId="77777777" w:rsidR="007D0C90" w:rsidRDefault="007D0C90" w:rsidP="002478D5">
      <w:pPr>
        <w:numPr>
          <w:ilvl w:val="0"/>
          <w:numId w:val="26"/>
        </w:numPr>
        <w:shd w:val="clear" w:color="auto" w:fill="FFFFFF"/>
        <w:tabs>
          <w:tab w:val="num" w:pos="540"/>
          <w:tab w:val="left" w:pos="7920"/>
        </w:tabs>
        <w:ind w:left="180" w:hanging="180"/>
        <w:rPr>
          <w:rFonts w:eastAsia="Times New Roman" w:cs="Times New Roman"/>
          <w:bCs/>
          <w:color w:val="2A2A2A"/>
          <w:szCs w:val="20"/>
          <w:lang w:val="es-ES"/>
        </w:rPr>
        <w:sectPr w:rsidR="007D0C90" w:rsidSect="00F25512">
          <w:type w:val="continuous"/>
          <w:pgSz w:w="12240" w:h="15840" w:code="1"/>
          <w:pgMar w:top="720" w:right="720" w:bottom="720" w:left="720" w:header="288" w:footer="288" w:gutter="0"/>
          <w:cols w:space="288"/>
          <w:docGrid w:linePitch="360"/>
        </w:sectPr>
      </w:pPr>
    </w:p>
    <w:p w14:paraId="058ED704" w14:textId="05A98C06" w:rsidR="00AC357F" w:rsidRPr="009F6FB8" w:rsidRDefault="00AC357F" w:rsidP="002478D5">
      <w:pPr>
        <w:numPr>
          <w:ilvl w:val="0"/>
          <w:numId w:val="26"/>
        </w:numPr>
        <w:shd w:val="clear" w:color="auto" w:fill="FFFFFF"/>
        <w:tabs>
          <w:tab w:val="num" w:pos="540"/>
          <w:tab w:val="left" w:pos="7920"/>
        </w:tabs>
        <w:ind w:left="180" w:hanging="180"/>
        <w:rPr>
          <w:rFonts w:eastAsia="Times New Roman" w:cs="Times New Roman"/>
          <w:color w:val="2A2A2A"/>
          <w:szCs w:val="20"/>
          <w:lang w:val="es-ES"/>
        </w:rPr>
      </w:pPr>
      <w:r w:rsidRPr="009F6FB8">
        <w:rPr>
          <w:rFonts w:eastAsia="Times New Roman" w:cs="Times New Roman"/>
          <w:bCs/>
          <w:color w:val="2A2A2A"/>
          <w:szCs w:val="20"/>
          <w:lang w:val="es-ES"/>
        </w:rPr>
        <w:t>El Real Decreto regula por primera vez en España un sistema completo, transparente y coordinado para evaluar medicamentos, productos sanitarios, pruebas diagnósticas, terapias digitales y procedimientos clínicos.</w:t>
      </w:r>
    </w:p>
    <w:p w14:paraId="53DB5618" w14:textId="77777777" w:rsidR="00AC357F" w:rsidRPr="009F6FB8" w:rsidRDefault="00AC357F" w:rsidP="00AC357F">
      <w:pPr>
        <w:shd w:val="clear" w:color="auto" w:fill="FFFFFF"/>
        <w:tabs>
          <w:tab w:val="num" w:pos="540"/>
          <w:tab w:val="left" w:pos="7920"/>
        </w:tabs>
        <w:ind w:left="180" w:hanging="180"/>
        <w:rPr>
          <w:rFonts w:eastAsia="Times New Roman" w:cs="Times New Roman"/>
          <w:color w:val="2A2A2A"/>
          <w:szCs w:val="20"/>
          <w:lang w:val="es-ES"/>
        </w:rPr>
      </w:pPr>
    </w:p>
    <w:p w14:paraId="2082C5EA" w14:textId="77777777" w:rsidR="00AC357F" w:rsidRPr="009F6FB8" w:rsidRDefault="00AC357F" w:rsidP="002478D5">
      <w:pPr>
        <w:numPr>
          <w:ilvl w:val="0"/>
          <w:numId w:val="26"/>
        </w:numPr>
        <w:shd w:val="clear" w:color="auto" w:fill="FFFFFF"/>
        <w:tabs>
          <w:tab w:val="num" w:pos="540"/>
          <w:tab w:val="left" w:pos="7920"/>
        </w:tabs>
        <w:ind w:left="180" w:hanging="180"/>
        <w:rPr>
          <w:rFonts w:eastAsia="Times New Roman" w:cs="Times New Roman"/>
          <w:color w:val="2A2A2A"/>
          <w:szCs w:val="20"/>
          <w:lang w:val="es-ES"/>
        </w:rPr>
      </w:pPr>
      <w:r w:rsidRPr="009F6FB8">
        <w:rPr>
          <w:rFonts w:eastAsia="Times New Roman" w:cs="Times New Roman"/>
          <w:bCs/>
          <w:color w:val="2A2A2A"/>
          <w:szCs w:val="20"/>
          <w:lang w:val="es-ES"/>
        </w:rPr>
        <w:t>La norma adapta el modelo español al reglamento europeo y refuerza la toma de decisiones basadas en la evidencia científica con un sistema que separa la evaluación científica de la decisión política, garantizando equidad, eficiencia y sostenibilidad.</w:t>
      </w:r>
    </w:p>
    <w:p w14:paraId="53EF6AC3" w14:textId="77777777" w:rsidR="00AC357F" w:rsidRPr="009F6FB8" w:rsidRDefault="00AC357F" w:rsidP="00AC357F">
      <w:pPr>
        <w:shd w:val="clear" w:color="auto" w:fill="FFFFFF"/>
        <w:tabs>
          <w:tab w:val="num" w:pos="540"/>
          <w:tab w:val="left" w:pos="7920"/>
        </w:tabs>
        <w:ind w:left="180" w:hanging="180"/>
        <w:rPr>
          <w:rFonts w:eastAsia="Times New Roman" w:cs="Times New Roman"/>
          <w:color w:val="2A2A2A"/>
          <w:szCs w:val="20"/>
          <w:lang w:val="es-ES"/>
        </w:rPr>
      </w:pPr>
    </w:p>
    <w:p w14:paraId="22DFA2FE" w14:textId="77777777" w:rsidR="00AC357F" w:rsidRPr="009F6FB8" w:rsidRDefault="00AC357F" w:rsidP="002478D5">
      <w:pPr>
        <w:numPr>
          <w:ilvl w:val="0"/>
          <w:numId w:val="26"/>
        </w:numPr>
        <w:shd w:val="clear" w:color="auto" w:fill="FFFFFF"/>
        <w:tabs>
          <w:tab w:val="num" w:pos="540"/>
          <w:tab w:val="left" w:pos="7920"/>
        </w:tabs>
        <w:ind w:left="180" w:hanging="180"/>
        <w:rPr>
          <w:rFonts w:eastAsia="Times New Roman" w:cs="Times New Roman"/>
          <w:color w:val="2A2A2A"/>
          <w:szCs w:val="20"/>
          <w:lang w:val="es-ES"/>
        </w:rPr>
      </w:pPr>
      <w:r w:rsidRPr="009F6FB8">
        <w:rPr>
          <w:rFonts w:eastAsia="Times New Roman" w:cs="Times New Roman"/>
          <w:bCs/>
          <w:color w:val="2A2A2A"/>
          <w:szCs w:val="20"/>
          <w:lang w:val="es-ES"/>
        </w:rPr>
        <w:t>Las evaluaciones tendrán carácter preceptivo, aunque no vinculante, y analizarán no solo la eficacia y seguridad de las tecnologías, sino también su impacto económico, social, ético, organizativo y ambiental.</w:t>
      </w:r>
    </w:p>
    <w:p w14:paraId="787CB02E" w14:textId="77777777" w:rsidR="00AC357F" w:rsidRPr="009F6FB8" w:rsidRDefault="00AC357F" w:rsidP="00AC357F">
      <w:pPr>
        <w:shd w:val="clear" w:color="auto" w:fill="FFFFFF"/>
        <w:tabs>
          <w:tab w:val="num" w:pos="540"/>
          <w:tab w:val="left" w:pos="7920"/>
        </w:tabs>
        <w:ind w:left="180" w:hanging="180"/>
        <w:rPr>
          <w:rFonts w:eastAsia="Times New Roman" w:cs="Times New Roman"/>
          <w:color w:val="2A2A2A"/>
          <w:szCs w:val="20"/>
          <w:lang w:val="es-ES"/>
        </w:rPr>
      </w:pPr>
    </w:p>
    <w:p w14:paraId="627FC09B" w14:textId="77777777" w:rsidR="00AC357F" w:rsidRPr="009F6FB8" w:rsidRDefault="00AC357F" w:rsidP="002478D5">
      <w:pPr>
        <w:numPr>
          <w:ilvl w:val="0"/>
          <w:numId w:val="26"/>
        </w:numPr>
        <w:shd w:val="clear" w:color="auto" w:fill="FFFFFF"/>
        <w:tabs>
          <w:tab w:val="num" w:pos="540"/>
          <w:tab w:val="left" w:pos="7920"/>
        </w:tabs>
        <w:ind w:left="180" w:hanging="180"/>
        <w:rPr>
          <w:rFonts w:eastAsia="Times New Roman" w:cs="Times New Roman"/>
          <w:color w:val="2A2A2A"/>
          <w:szCs w:val="20"/>
          <w:lang w:val="es-ES"/>
        </w:rPr>
      </w:pPr>
      <w:r w:rsidRPr="009F6FB8">
        <w:rPr>
          <w:rFonts w:eastAsia="Times New Roman" w:cs="Times New Roman"/>
          <w:bCs/>
          <w:color w:val="2A2A2A"/>
          <w:szCs w:val="20"/>
          <w:lang w:val="es-ES"/>
        </w:rPr>
        <w:t>Se fija un plazo máximo de 180 días naturales para completar la evaluación. En el caso de los medicamentos, cuando exista una evaluación clínica conjunta de la Comisión Europea, el informe de aspectos clínicos deberá emitirse en un plazo máximo de 15 días.</w:t>
      </w:r>
    </w:p>
    <w:p w14:paraId="5A0CE9BA" w14:textId="77777777" w:rsidR="00AC357F" w:rsidRPr="009F6FB8" w:rsidRDefault="00AC357F" w:rsidP="00AC357F">
      <w:pPr>
        <w:shd w:val="clear" w:color="auto" w:fill="FFFFFF"/>
        <w:tabs>
          <w:tab w:val="num" w:pos="540"/>
          <w:tab w:val="left" w:pos="7920"/>
        </w:tabs>
        <w:ind w:left="180" w:hanging="180"/>
        <w:rPr>
          <w:rFonts w:eastAsia="Times New Roman" w:cs="Times New Roman"/>
          <w:color w:val="2A2A2A"/>
          <w:szCs w:val="20"/>
          <w:lang w:val="es-ES"/>
        </w:rPr>
      </w:pPr>
    </w:p>
    <w:p w14:paraId="3C6F623B" w14:textId="77777777" w:rsidR="00AC357F" w:rsidRPr="009F6FB8" w:rsidRDefault="00AC357F" w:rsidP="002478D5">
      <w:pPr>
        <w:numPr>
          <w:ilvl w:val="0"/>
          <w:numId w:val="26"/>
        </w:numPr>
        <w:shd w:val="clear" w:color="auto" w:fill="FFFFFF"/>
        <w:tabs>
          <w:tab w:val="num" w:pos="540"/>
          <w:tab w:val="left" w:pos="7920"/>
        </w:tabs>
        <w:ind w:left="180" w:hanging="180"/>
        <w:rPr>
          <w:rFonts w:eastAsia="Times New Roman" w:cs="Times New Roman"/>
          <w:color w:val="2A2A2A"/>
          <w:szCs w:val="20"/>
          <w:lang w:val="es-ES"/>
        </w:rPr>
      </w:pPr>
      <w:r w:rsidRPr="009F6FB8">
        <w:rPr>
          <w:rFonts w:eastAsia="Times New Roman" w:cs="Times New Roman"/>
          <w:bCs/>
          <w:color w:val="2A2A2A"/>
          <w:szCs w:val="20"/>
          <w:lang w:val="es-ES"/>
        </w:rPr>
        <w:t>El texto incorpora mecanismos de participación de pacientes y sociedad civil, impulsa el uso de datos clínicos en vida real y establece estrictas garantías de transparencia e independencia frente a conflictos de interés.</w:t>
      </w:r>
    </w:p>
    <w:p w14:paraId="18184D39" w14:textId="77777777" w:rsidR="00AC357F" w:rsidRPr="009F6FB8" w:rsidRDefault="00AC357F" w:rsidP="00AC357F">
      <w:pPr>
        <w:shd w:val="clear" w:color="auto" w:fill="FFFFFF"/>
        <w:tabs>
          <w:tab w:val="num" w:pos="540"/>
          <w:tab w:val="left" w:pos="7920"/>
        </w:tabs>
        <w:ind w:left="180" w:hanging="180"/>
        <w:rPr>
          <w:rFonts w:eastAsia="Times New Roman" w:cs="Times New Roman"/>
          <w:bCs/>
          <w:color w:val="2A2A2A"/>
          <w:szCs w:val="20"/>
          <w:lang w:val="es-ES"/>
        </w:rPr>
      </w:pPr>
    </w:p>
    <w:p w14:paraId="77574ABC"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r w:rsidRPr="009F6FB8">
        <w:rPr>
          <w:rFonts w:eastAsia="Times New Roman" w:cs="Times New Roman"/>
          <w:color w:val="2A2A2A"/>
          <w:szCs w:val="20"/>
          <w:lang w:val="es-ES"/>
        </w:rPr>
        <w:t>El Consejo de Ministros ha aprobado el Real Decreto que regula la evaluación de tecnologías sanitarias (ETS), una norma que establecerá por primera vez en España un marco reglamentario completo, transparente y coordinado para analizar medicamentos, productos sanitarios y otras herramientas utilizadas en el Sistema Nacional de Salud (SNS).</w:t>
      </w:r>
    </w:p>
    <w:p w14:paraId="6ADB15FD"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p>
    <w:p w14:paraId="71E78950"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r w:rsidRPr="009F6FB8">
        <w:rPr>
          <w:rFonts w:eastAsia="Times New Roman" w:cs="Times New Roman"/>
          <w:color w:val="2A2A2A"/>
          <w:szCs w:val="20"/>
          <w:lang w:val="es-ES"/>
        </w:rPr>
        <w:t>El objetivo de la norma es regular cómo se van a evaluar las tecnologías sanitarias cuando estos análisis -que tendrán carácter preceptivo, pero no vinculante</w:t>
      </w:r>
      <w:r>
        <w:rPr>
          <w:rFonts w:eastAsia="Times New Roman" w:cs="Times New Roman"/>
          <w:color w:val="2A2A2A"/>
          <w:szCs w:val="20"/>
          <w:lang w:val="es-ES"/>
        </w:rPr>
        <w:t>,</w:t>
      </w:r>
      <w:r w:rsidRPr="009F6FB8">
        <w:rPr>
          <w:rFonts w:eastAsia="Times New Roman" w:cs="Times New Roman"/>
          <w:color w:val="2A2A2A"/>
          <w:szCs w:val="20"/>
          <w:lang w:val="es-ES"/>
        </w:rPr>
        <w:t xml:space="preserve"> sirvan para apoyar decisiones públicas sobre financiación, precio, incorporación a la cartera de servicios, modificación de las condiciones de uso o retirada de tecnologías sanitarias.</w:t>
      </w:r>
    </w:p>
    <w:p w14:paraId="5A8BAC62"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p>
    <w:p w14:paraId="3B612237" w14:textId="129369C0" w:rsidR="00AC357F" w:rsidRPr="009F6FB8" w:rsidRDefault="00AC357F" w:rsidP="00AC357F">
      <w:pPr>
        <w:shd w:val="clear" w:color="auto" w:fill="FFFFFF"/>
        <w:tabs>
          <w:tab w:val="left" w:pos="7920"/>
        </w:tabs>
        <w:rPr>
          <w:rFonts w:eastAsia="Times New Roman" w:cs="Times New Roman"/>
          <w:color w:val="2A2A2A"/>
          <w:szCs w:val="20"/>
          <w:lang w:val="es-ES"/>
        </w:rPr>
      </w:pPr>
      <w:r w:rsidRPr="009F6FB8">
        <w:rPr>
          <w:rFonts w:eastAsia="Times New Roman" w:cs="Times New Roman"/>
          <w:color w:val="2A2A2A"/>
          <w:szCs w:val="20"/>
          <w:lang w:val="es-ES"/>
        </w:rPr>
        <w:t>La futura regulación adapta el sistema español al reglamento de la Unión Europea. Una coordinación que asegura la eficiencia del proceso al</w:t>
      </w:r>
      <w:r w:rsidR="002334B2">
        <w:rPr>
          <w:rFonts w:eastAsia="Times New Roman" w:cs="Times New Roman"/>
          <w:color w:val="2A2A2A"/>
          <w:szCs w:val="20"/>
          <w:lang w:val="es-ES"/>
        </w:rPr>
        <w:t xml:space="preserve"> </w:t>
      </w:r>
      <w:r w:rsidRPr="009F6FB8">
        <w:rPr>
          <w:rFonts w:eastAsia="Times New Roman" w:cs="Times New Roman"/>
          <w:bCs/>
          <w:color w:val="2A2A2A"/>
          <w:szCs w:val="20"/>
          <w:lang w:val="es-ES"/>
        </w:rPr>
        <w:t>prohibir expresamente la duplicidad de evaluaciones clínicas</w:t>
      </w:r>
      <w:r>
        <w:rPr>
          <w:rFonts w:eastAsia="Times New Roman" w:cs="Times New Roman"/>
          <w:bCs/>
          <w:color w:val="2A2A2A"/>
          <w:szCs w:val="20"/>
          <w:lang w:val="es-ES"/>
        </w:rPr>
        <w:t xml:space="preserve">, </w:t>
      </w:r>
      <w:r w:rsidRPr="009F6FB8">
        <w:rPr>
          <w:rFonts w:eastAsia="Times New Roman" w:cs="Times New Roman"/>
          <w:color w:val="2A2A2A"/>
          <w:szCs w:val="20"/>
          <w:lang w:val="es-ES"/>
        </w:rPr>
        <w:t>aquellas centradas en la eficacia y seguridad</w:t>
      </w:r>
      <w:r>
        <w:rPr>
          <w:rFonts w:eastAsia="Times New Roman" w:cs="Times New Roman"/>
          <w:color w:val="2A2A2A"/>
          <w:szCs w:val="20"/>
          <w:lang w:val="es-ES"/>
        </w:rPr>
        <w:t>,</w:t>
      </w:r>
      <w:r w:rsidR="002334B2">
        <w:rPr>
          <w:rFonts w:eastAsia="Times New Roman" w:cs="Times New Roman"/>
          <w:color w:val="2A2A2A"/>
          <w:szCs w:val="20"/>
          <w:lang w:val="es-ES"/>
        </w:rPr>
        <w:t xml:space="preserve"> </w:t>
      </w:r>
      <w:r w:rsidRPr="009F6FB8">
        <w:rPr>
          <w:rFonts w:eastAsia="Times New Roman" w:cs="Times New Roman"/>
          <w:bCs/>
          <w:color w:val="2A2A2A"/>
          <w:szCs w:val="20"/>
          <w:lang w:val="es-ES"/>
        </w:rPr>
        <w:t>que ya se hayan realizado a nivel comunitario</w:t>
      </w:r>
      <w:r w:rsidRPr="009F6FB8">
        <w:rPr>
          <w:rFonts w:eastAsia="Times New Roman" w:cs="Times New Roman"/>
          <w:color w:val="2A2A2A"/>
          <w:szCs w:val="20"/>
          <w:lang w:val="es-ES"/>
        </w:rPr>
        <w:t>, permitiendo centrar los esfuerzos nacionales en determinar el valor añadido y analizar</w:t>
      </w:r>
      <w:r w:rsidR="002334B2">
        <w:rPr>
          <w:rFonts w:eastAsia="Times New Roman" w:cs="Times New Roman"/>
          <w:color w:val="2A2A2A"/>
          <w:szCs w:val="20"/>
          <w:lang w:val="es-ES"/>
        </w:rPr>
        <w:t xml:space="preserve"> </w:t>
      </w:r>
      <w:r w:rsidRPr="009F6FB8">
        <w:rPr>
          <w:rFonts w:eastAsia="Times New Roman" w:cs="Times New Roman"/>
          <w:bCs/>
          <w:color w:val="2A2A2A"/>
          <w:szCs w:val="20"/>
          <w:lang w:val="es-ES"/>
        </w:rPr>
        <w:t>los aspectos no clínicos</w:t>
      </w:r>
      <w:r w:rsidRPr="009F6FB8">
        <w:rPr>
          <w:rFonts w:eastAsia="Times New Roman" w:cs="Times New Roman"/>
          <w:color w:val="2A2A2A"/>
          <w:szCs w:val="20"/>
          <w:lang w:val="es-ES"/>
        </w:rPr>
        <w:t>, como el impacto económico, organizativo, social, ético y ambiental, específicos del contexto español.</w:t>
      </w:r>
    </w:p>
    <w:p w14:paraId="186A6010"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p>
    <w:p w14:paraId="43F4159C" w14:textId="0CF78789" w:rsidR="00AC357F" w:rsidRPr="009F6FB8" w:rsidRDefault="00AC357F" w:rsidP="00AC357F">
      <w:pPr>
        <w:shd w:val="clear" w:color="auto" w:fill="FFFFFF"/>
        <w:tabs>
          <w:tab w:val="left" w:pos="7920"/>
        </w:tabs>
        <w:rPr>
          <w:rFonts w:eastAsia="Times New Roman" w:cs="Times New Roman"/>
          <w:color w:val="2A2A2A"/>
          <w:szCs w:val="20"/>
          <w:lang w:val="es-ES"/>
        </w:rPr>
      </w:pPr>
      <w:r w:rsidRPr="009F6FB8">
        <w:rPr>
          <w:rFonts w:eastAsia="Times New Roman" w:cs="Times New Roman"/>
          <w:color w:val="2A2A2A"/>
          <w:szCs w:val="20"/>
          <w:lang w:val="es-ES"/>
        </w:rPr>
        <w:t>Entre las tecnologías que se evaluarán se incluyen</w:t>
      </w:r>
      <w:r w:rsidR="002334B2">
        <w:rPr>
          <w:rFonts w:eastAsia="Times New Roman" w:cs="Times New Roman"/>
          <w:color w:val="2A2A2A"/>
          <w:szCs w:val="20"/>
          <w:lang w:val="es-ES"/>
        </w:rPr>
        <w:t xml:space="preserve"> </w:t>
      </w:r>
      <w:r w:rsidRPr="009F6FB8">
        <w:rPr>
          <w:rFonts w:eastAsia="Times New Roman" w:cs="Times New Roman"/>
          <w:bCs/>
          <w:color w:val="2A2A2A"/>
          <w:szCs w:val="20"/>
          <w:lang w:val="es-ES"/>
        </w:rPr>
        <w:t>medicamentos y productos sanitarios</w:t>
      </w:r>
      <w:r w:rsidRPr="009F6FB8">
        <w:rPr>
          <w:rFonts w:eastAsia="Times New Roman" w:cs="Times New Roman"/>
          <w:color w:val="2A2A2A"/>
          <w:szCs w:val="20"/>
          <w:lang w:val="es-ES"/>
        </w:rPr>
        <w:t>;</w:t>
      </w:r>
      <w:r w:rsidR="002334B2">
        <w:rPr>
          <w:rFonts w:eastAsia="Times New Roman" w:cs="Times New Roman"/>
          <w:color w:val="2A2A2A"/>
          <w:szCs w:val="20"/>
          <w:lang w:val="es-ES"/>
        </w:rPr>
        <w:t xml:space="preserve"> </w:t>
      </w:r>
      <w:r w:rsidRPr="009F6FB8">
        <w:rPr>
          <w:rFonts w:eastAsia="Times New Roman" w:cs="Times New Roman"/>
          <w:bCs/>
          <w:color w:val="2A2A2A"/>
          <w:szCs w:val="20"/>
          <w:lang w:val="es-ES"/>
        </w:rPr>
        <w:t>pruebas diagnósticas</w:t>
      </w:r>
      <w:r>
        <w:rPr>
          <w:rFonts w:eastAsia="Times New Roman" w:cs="Times New Roman"/>
          <w:bCs/>
          <w:color w:val="2A2A2A"/>
          <w:szCs w:val="20"/>
          <w:lang w:val="es-ES"/>
        </w:rPr>
        <w:t xml:space="preserve">, </w:t>
      </w:r>
      <w:r w:rsidRPr="009F6FB8">
        <w:rPr>
          <w:rFonts w:eastAsia="Times New Roman" w:cs="Times New Roman"/>
          <w:color w:val="2A2A2A"/>
          <w:szCs w:val="20"/>
          <w:lang w:val="es-ES"/>
        </w:rPr>
        <w:t>por ejemplo, PCR, test rápidos, pruebas genéticas o herramientas de inteligencia artificial capaces de detectar tumores en radiografías—;</w:t>
      </w:r>
      <w:r w:rsidR="002334B2">
        <w:rPr>
          <w:rFonts w:eastAsia="Times New Roman" w:cs="Times New Roman"/>
          <w:color w:val="2A2A2A"/>
          <w:szCs w:val="20"/>
          <w:lang w:val="es-ES"/>
        </w:rPr>
        <w:t xml:space="preserve"> </w:t>
      </w:r>
      <w:r w:rsidRPr="009F6FB8">
        <w:rPr>
          <w:rFonts w:eastAsia="Times New Roman" w:cs="Times New Roman"/>
          <w:bCs/>
          <w:color w:val="2A2A2A"/>
          <w:szCs w:val="20"/>
          <w:lang w:val="es-ES"/>
        </w:rPr>
        <w:t>procedimientos clínicos</w:t>
      </w:r>
      <w:r w:rsidR="002334B2">
        <w:rPr>
          <w:rFonts w:eastAsia="Times New Roman" w:cs="Times New Roman"/>
          <w:color w:val="2A2A2A"/>
          <w:szCs w:val="20"/>
          <w:lang w:val="es-ES"/>
        </w:rPr>
        <w:t xml:space="preserve"> </w:t>
      </w:r>
      <w:r w:rsidRPr="009F6FB8">
        <w:rPr>
          <w:rFonts w:eastAsia="Times New Roman" w:cs="Times New Roman"/>
          <w:color w:val="2A2A2A"/>
          <w:szCs w:val="20"/>
          <w:lang w:val="es-ES"/>
        </w:rPr>
        <w:t xml:space="preserve">—como técnicas quirúrgicas, intervenciones mínimamente invasivas o nuevos métodos de </w:t>
      </w:r>
      <w:r w:rsidRPr="009F6FB8">
        <w:rPr>
          <w:rFonts w:eastAsia="Times New Roman" w:cs="Times New Roman"/>
          <w:color w:val="2A2A2A"/>
          <w:szCs w:val="20"/>
          <w:lang w:val="es-ES"/>
        </w:rPr>
        <w:t>rehabilitación—;</w:t>
      </w:r>
      <w:r w:rsidR="002334B2">
        <w:rPr>
          <w:rFonts w:eastAsia="Times New Roman" w:cs="Times New Roman"/>
          <w:color w:val="2A2A2A"/>
          <w:szCs w:val="20"/>
          <w:lang w:val="es-ES"/>
        </w:rPr>
        <w:t xml:space="preserve"> </w:t>
      </w:r>
      <w:r w:rsidRPr="009F6FB8">
        <w:rPr>
          <w:rFonts w:eastAsia="Times New Roman" w:cs="Times New Roman"/>
          <w:bCs/>
          <w:color w:val="2A2A2A"/>
          <w:szCs w:val="20"/>
          <w:lang w:val="es-ES"/>
        </w:rPr>
        <w:t>terapias digitales</w:t>
      </w:r>
      <w:r w:rsidR="002334B2">
        <w:rPr>
          <w:rFonts w:eastAsia="Times New Roman" w:cs="Times New Roman"/>
          <w:color w:val="2A2A2A"/>
          <w:szCs w:val="20"/>
          <w:lang w:val="es-ES"/>
        </w:rPr>
        <w:t xml:space="preserve"> </w:t>
      </w:r>
      <w:r w:rsidRPr="009F6FB8">
        <w:rPr>
          <w:rFonts w:eastAsia="Times New Roman" w:cs="Times New Roman"/>
          <w:color w:val="2A2A2A"/>
          <w:szCs w:val="20"/>
          <w:lang w:val="es-ES"/>
        </w:rPr>
        <w:t>—como aplicaciones móviles para controlar la diabetes—; y</w:t>
      </w:r>
      <w:r w:rsidR="002334B2">
        <w:rPr>
          <w:rFonts w:eastAsia="Times New Roman" w:cs="Times New Roman"/>
          <w:color w:val="2A2A2A"/>
          <w:szCs w:val="20"/>
          <w:lang w:val="es-ES"/>
        </w:rPr>
        <w:t xml:space="preserve"> </w:t>
      </w:r>
      <w:r w:rsidRPr="00AC357F">
        <w:rPr>
          <w:rFonts w:eastAsia="Times New Roman" w:cs="Times New Roman"/>
          <w:color w:val="2A2A2A"/>
          <w:szCs w:val="20"/>
          <w:lang w:val="es-ES"/>
        </w:rPr>
        <w:t>nuevas formas de organizar la atención sanitaria</w:t>
      </w:r>
      <w:r w:rsidRPr="009F6FB8">
        <w:rPr>
          <w:rFonts w:eastAsia="Times New Roman" w:cs="Times New Roman"/>
          <w:color w:val="2A2A2A"/>
          <w:szCs w:val="20"/>
          <w:lang w:val="es-ES"/>
        </w:rPr>
        <w:t>, como programas de seguimiento remoto de pacientes o sistemas de atención domiciliaria.</w:t>
      </w:r>
    </w:p>
    <w:p w14:paraId="05EDECAC"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p>
    <w:p w14:paraId="139D44A6"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r w:rsidRPr="009F6FB8">
        <w:rPr>
          <w:rFonts w:eastAsia="Times New Roman" w:cs="Times New Roman"/>
          <w:color w:val="2A2A2A"/>
          <w:szCs w:val="20"/>
          <w:lang w:val="es-ES"/>
        </w:rPr>
        <w:t>El Sistema para la Evaluación de las Tecnologías Sanitarias está integrado por tres pilares fundamentales diseñados para separar la evaluación científica de la decisión política.</w:t>
      </w:r>
    </w:p>
    <w:p w14:paraId="135F56B2"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p>
    <w:p w14:paraId="4B8D9B98" w14:textId="0B254E1B" w:rsidR="00AC357F" w:rsidRPr="009F6FB8" w:rsidRDefault="00AC357F" w:rsidP="002478D5">
      <w:pPr>
        <w:numPr>
          <w:ilvl w:val="0"/>
          <w:numId w:val="27"/>
        </w:numPr>
        <w:shd w:val="clear" w:color="auto" w:fill="FFFFFF"/>
        <w:tabs>
          <w:tab w:val="num" w:pos="540"/>
          <w:tab w:val="left" w:pos="7920"/>
        </w:tabs>
        <w:ind w:left="180" w:hanging="180"/>
        <w:rPr>
          <w:rFonts w:eastAsia="Times New Roman" w:cs="Times New Roman"/>
          <w:color w:val="2A2A2A"/>
          <w:szCs w:val="20"/>
          <w:lang w:val="es-ES"/>
        </w:rPr>
      </w:pPr>
      <w:r w:rsidRPr="009F6FB8">
        <w:rPr>
          <w:rFonts w:eastAsia="Times New Roman" w:cs="Times New Roman"/>
          <w:b/>
          <w:bCs/>
          <w:color w:val="2A2A2A"/>
          <w:szCs w:val="20"/>
          <w:lang w:val="es-ES"/>
        </w:rPr>
        <w:t>Consejo de Gobernanza (Consejo de ETS):</w:t>
      </w:r>
      <w:r w:rsidR="002334B2">
        <w:rPr>
          <w:rFonts w:eastAsia="Times New Roman" w:cs="Times New Roman"/>
          <w:color w:val="2A2A2A"/>
          <w:szCs w:val="20"/>
          <w:lang w:val="es-ES"/>
        </w:rPr>
        <w:t xml:space="preserve"> </w:t>
      </w:r>
      <w:r w:rsidRPr="009F6FB8">
        <w:rPr>
          <w:rFonts w:eastAsia="Times New Roman" w:cs="Times New Roman"/>
          <w:color w:val="2A2A2A"/>
          <w:szCs w:val="20"/>
          <w:lang w:val="es-ES"/>
        </w:rPr>
        <w:t>Es el máximo órgano de dirección del sistema y está integrado en la Secretaría de Estado de Sanidad. Su función es liderar la estrategia de evaluación, supervisar el correcto funcionamiento de todo el modelo y aprobar las directrices técnicas que aseguran que las evaluaciones sean coherentes con las políticas de salud y farmacia.</w:t>
      </w:r>
    </w:p>
    <w:p w14:paraId="1296E126" w14:textId="77777777" w:rsidR="00AC357F" w:rsidRPr="009F6FB8" w:rsidRDefault="00AC357F" w:rsidP="00AC357F">
      <w:pPr>
        <w:shd w:val="clear" w:color="auto" w:fill="FFFFFF"/>
        <w:tabs>
          <w:tab w:val="num" w:pos="540"/>
          <w:tab w:val="left" w:pos="7920"/>
        </w:tabs>
        <w:ind w:left="180" w:hanging="180"/>
        <w:rPr>
          <w:rFonts w:eastAsia="Times New Roman" w:cs="Times New Roman"/>
          <w:color w:val="2A2A2A"/>
          <w:szCs w:val="20"/>
          <w:lang w:val="es-ES"/>
        </w:rPr>
      </w:pPr>
    </w:p>
    <w:p w14:paraId="41483ADB" w14:textId="6919C6AE" w:rsidR="00AC357F" w:rsidRPr="009F6FB8" w:rsidRDefault="00AC357F" w:rsidP="002478D5">
      <w:pPr>
        <w:numPr>
          <w:ilvl w:val="0"/>
          <w:numId w:val="27"/>
        </w:numPr>
        <w:shd w:val="clear" w:color="auto" w:fill="FFFFFF"/>
        <w:tabs>
          <w:tab w:val="num" w:pos="540"/>
          <w:tab w:val="left" w:pos="7920"/>
        </w:tabs>
        <w:ind w:left="180" w:hanging="180"/>
        <w:rPr>
          <w:rFonts w:eastAsia="Times New Roman" w:cs="Times New Roman"/>
          <w:color w:val="2A2A2A"/>
          <w:szCs w:val="20"/>
          <w:lang w:val="es-ES"/>
        </w:rPr>
      </w:pPr>
      <w:r w:rsidRPr="009F6FB8">
        <w:rPr>
          <w:rFonts w:eastAsia="Times New Roman" w:cs="Times New Roman"/>
          <w:b/>
          <w:bCs/>
          <w:color w:val="2A2A2A"/>
          <w:szCs w:val="20"/>
          <w:lang w:val="es-ES"/>
        </w:rPr>
        <w:t>Oficinas para la Evaluación de las Tecnologías Sanitarias:</w:t>
      </w:r>
      <w:r w:rsidR="002334B2">
        <w:rPr>
          <w:rFonts w:eastAsia="Times New Roman" w:cs="Times New Roman"/>
          <w:color w:val="2A2A2A"/>
          <w:szCs w:val="20"/>
          <w:lang w:val="es-ES"/>
        </w:rPr>
        <w:t xml:space="preserve"> </w:t>
      </w:r>
      <w:r w:rsidRPr="009F6FB8">
        <w:rPr>
          <w:rFonts w:eastAsia="Times New Roman" w:cs="Times New Roman"/>
          <w:color w:val="2A2A2A"/>
          <w:szCs w:val="20"/>
          <w:lang w:val="es-ES"/>
        </w:rPr>
        <w:t>Se establecen dos oficinas independientes con autonomía funcional para realizar las evaluaciones:</w:t>
      </w:r>
    </w:p>
    <w:p w14:paraId="0B06CB6A"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p>
    <w:p w14:paraId="29F6AE44" w14:textId="1EB64B8C" w:rsidR="00871E58" w:rsidRDefault="00AC357F" w:rsidP="00AC357F">
      <w:pPr>
        <w:rPr>
          <w:rFonts w:eastAsia="Times New Roman" w:cs="Times New Roman"/>
          <w:color w:val="2A2A2A"/>
          <w:szCs w:val="20"/>
          <w:lang w:val="es-ES"/>
        </w:rPr>
      </w:pPr>
      <w:r w:rsidRPr="009F6FB8">
        <w:rPr>
          <w:rFonts w:eastAsia="Times New Roman" w:cs="Times New Roman"/>
          <w:color w:val="2A2A2A"/>
          <w:szCs w:val="20"/>
          <w:lang w:val="es-ES"/>
        </w:rPr>
        <w:t>La Oficina para la Evaluación de Medicamentos, configurada como una unidad funcional dentro de la Agencia Española de Medicamentos y Productos Sanitarios (AEMPS).</w:t>
      </w:r>
    </w:p>
    <w:p w14:paraId="4F5D8C21" w14:textId="77777777" w:rsidR="00AC357F" w:rsidRDefault="00AC357F" w:rsidP="00AC357F">
      <w:pPr>
        <w:rPr>
          <w:rFonts w:eastAsia="Times New Roman" w:cs="Times New Roman"/>
          <w:color w:val="2A2A2A"/>
          <w:szCs w:val="20"/>
          <w:lang w:val="es-ES"/>
        </w:rPr>
      </w:pPr>
    </w:p>
    <w:p w14:paraId="174E3A6C" w14:textId="77777777" w:rsidR="00AC357F" w:rsidRPr="009F6FB8" w:rsidRDefault="00AC357F" w:rsidP="002478D5">
      <w:pPr>
        <w:numPr>
          <w:ilvl w:val="0"/>
          <w:numId w:val="28"/>
        </w:numPr>
        <w:shd w:val="clear" w:color="auto" w:fill="FFFFFF"/>
        <w:tabs>
          <w:tab w:val="num" w:pos="540"/>
          <w:tab w:val="left" w:pos="7920"/>
        </w:tabs>
        <w:ind w:left="360" w:hanging="180"/>
        <w:rPr>
          <w:rFonts w:eastAsia="Times New Roman" w:cs="Times New Roman"/>
          <w:color w:val="2A2A2A"/>
          <w:szCs w:val="20"/>
          <w:lang w:val="es-ES"/>
        </w:rPr>
      </w:pPr>
      <w:r w:rsidRPr="009F6FB8">
        <w:rPr>
          <w:rFonts w:eastAsia="Times New Roman" w:cs="Times New Roman"/>
          <w:color w:val="2A2A2A"/>
          <w:szCs w:val="20"/>
          <w:lang w:val="es-ES"/>
        </w:rPr>
        <w:t>La Oficina para la Evaluación de Tecnologías Sanitarias no Farmacológicas, que asume la configuración de la Red Española de Agencias de Evaluación de Tecnologías Sanitarias (</w:t>
      </w:r>
      <w:proofErr w:type="spellStart"/>
      <w:r w:rsidRPr="009F6FB8">
        <w:rPr>
          <w:rFonts w:eastAsia="Times New Roman" w:cs="Times New Roman"/>
          <w:color w:val="2A2A2A"/>
          <w:szCs w:val="20"/>
          <w:lang w:val="es-ES"/>
        </w:rPr>
        <w:t>RedETS</w:t>
      </w:r>
      <w:proofErr w:type="spellEnd"/>
      <w:r w:rsidRPr="009F6FB8">
        <w:rPr>
          <w:rFonts w:eastAsia="Times New Roman" w:cs="Times New Roman"/>
          <w:color w:val="2A2A2A"/>
          <w:szCs w:val="20"/>
          <w:lang w:val="es-ES"/>
        </w:rPr>
        <w:t>).</w:t>
      </w:r>
    </w:p>
    <w:p w14:paraId="2F23F3BD"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p>
    <w:p w14:paraId="114A5D79" w14:textId="0AE7388E" w:rsidR="00AC357F" w:rsidRPr="009F6FB8" w:rsidRDefault="00AC357F" w:rsidP="002478D5">
      <w:pPr>
        <w:numPr>
          <w:ilvl w:val="0"/>
          <w:numId w:val="29"/>
        </w:numPr>
        <w:shd w:val="clear" w:color="auto" w:fill="FFFFFF"/>
        <w:tabs>
          <w:tab w:val="num" w:pos="540"/>
          <w:tab w:val="left" w:pos="7920"/>
        </w:tabs>
        <w:ind w:left="180" w:hanging="180"/>
        <w:rPr>
          <w:rFonts w:eastAsia="Times New Roman" w:cs="Times New Roman"/>
          <w:color w:val="2A2A2A"/>
          <w:szCs w:val="20"/>
          <w:lang w:val="es-ES"/>
        </w:rPr>
      </w:pPr>
      <w:r w:rsidRPr="009F6FB8">
        <w:rPr>
          <w:rFonts w:eastAsia="Times New Roman" w:cs="Times New Roman"/>
          <w:b/>
          <w:bCs/>
          <w:color w:val="2A2A2A"/>
          <w:szCs w:val="20"/>
          <w:lang w:val="es-ES"/>
        </w:rPr>
        <w:t>Grupo para la Adopción de las Tecnologías Sanitarias (Grupo de Adopción):</w:t>
      </w:r>
      <w:r w:rsidR="002334B2">
        <w:rPr>
          <w:rFonts w:eastAsia="Times New Roman" w:cs="Times New Roman"/>
          <w:color w:val="2A2A2A"/>
          <w:szCs w:val="20"/>
          <w:lang w:val="es-ES"/>
        </w:rPr>
        <w:t xml:space="preserve"> </w:t>
      </w:r>
      <w:r w:rsidRPr="009F6FB8">
        <w:rPr>
          <w:rFonts w:eastAsia="Times New Roman" w:cs="Times New Roman"/>
          <w:color w:val="2A2A2A"/>
          <w:szCs w:val="20"/>
          <w:lang w:val="es-ES"/>
        </w:rPr>
        <w:t>Actuará como puente entre la evaluación científica y los órganos decisores (como la Comisión Interministerial de Precios de los Medicamentos), realizando la valoración final sobre la posición relativa de la tecnología en el esquema terapéutico.</w:t>
      </w:r>
    </w:p>
    <w:p w14:paraId="6CF0AD31" w14:textId="77777777" w:rsidR="00AC357F" w:rsidRPr="009F6FB8" w:rsidRDefault="00AC357F" w:rsidP="00AC357F">
      <w:pPr>
        <w:shd w:val="clear" w:color="auto" w:fill="FFFFFF"/>
        <w:tabs>
          <w:tab w:val="left" w:pos="7920"/>
        </w:tabs>
        <w:ind w:left="180"/>
        <w:rPr>
          <w:rFonts w:eastAsia="Times New Roman" w:cs="Times New Roman"/>
          <w:color w:val="2A2A2A"/>
          <w:szCs w:val="20"/>
          <w:lang w:val="es-ES"/>
        </w:rPr>
      </w:pPr>
    </w:p>
    <w:p w14:paraId="68312084"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r w:rsidRPr="009F6FB8">
        <w:rPr>
          <w:rFonts w:eastAsia="Times New Roman" w:cs="Times New Roman"/>
          <w:color w:val="2A2A2A"/>
          <w:szCs w:val="20"/>
          <w:lang w:val="es-ES"/>
        </w:rPr>
        <w:t>La norma busca también convertir el sistema de evaluación en una herramienta para impulsar la innovación biomédica y reforzar la capacidad estratégica de España en el ámbito sanitario. Con este objetivo, establece un marco más estable, transparente y con plazos definidos, de manera que empresas, centros de investigación y desarrolladores puedan conocer con mayor claridad los requisitos que deberán cumplir y la duración de los procesos de evaluación.</w:t>
      </w:r>
    </w:p>
    <w:p w14:paraId="3FB96190"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p>
    <w:p w14:paraId="45E0A395" w14:textId="77777777" w:rsidR="00AC357F" w:rsidRPr="009F6FB8" w:rsidRDefault="00AC357F" w:rsidP="00AC357F">
      <w:pPr>
        <w:shd w:val="clear" w:color="auto" w:fill="FFFFFF"/>
        <w:tabs>
          <w:tab w:val="left" w:pos="7920"/>
        </w:tabs>
        <w:rPr>
          <w:rFonts w:eastAsia="Times New Roman" w:cs="Times New Roman"/>
          <w:szCs w:val="20"/>
          <w:lang w:val="es-ES"/>
        </w:rPr>
      </w:pPr>
      <w:r w:rsidRPr="009F6FB8">
        <w:rPr>
          <w:rFonts w:eastAsia="Times New Roman" w:cs="Times New Roman"/>
          <w:szCs w:val="20"/>
          <w:lang w:val="es-ES"/>
        </w:rPr>
        <w:t>En este contexto, el sistema establece un plazo máximo de 90 días naturales para la elaboración de los informes sobre aspectos clínicos y de otros 90 días naturales para los aspectos no clínicos en el caso de los medicamentos, mientras que las tecnologías sanitarias no farmacológicas contarán con un plazo máximo de evaluación de 180 días. Estos plazos podrán ampliarse cuando sea necesario realizar reevaluaciones.</w:t>
      </w:r>
    </w:p>
    <w:p w14:paraId="55F075E7" w14:textId="77777777" w:rsidR="00AC357F" w:rsidRPr="009F6FB8" w:rsidRDefault="00AC357F" w:rsidP="00AC357F">
      <w:pPr>
        <w:shd w:val="clear" w:color="auto" w:fill="FFFFFF"/>
        <w:tabs>
          <w:tab w:val="left" w:pos="7920"/>
        </w:tabs>
        <w:rPr>
          <w:rFonts w:eastAsia="Times New Roman" w:cs="Times New Roman"/>
          <w:szCs w:val="20"/>
          <w:lang w:val="es-ES"/>
        </w:rPr>
      </w:pPr>
    </w:p>
    <w:p w14:paraId="04E7F28B"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r w:rsidRPr="009F6FB8">
        <w:rPr>
          <w:rFonts w:eastAsia="Times New Roman" w:cs="Times New Roman"/>
          <w:color w:val="2A2A2A"/>
          <w:szCs w:val="20"/>
          <w:lang w:val="es-ES"/>
        </w:rPr>
        <w:t xml:space="preserve">En el caso de los medicamentos, cuando exista una evaluación clínica conjunta realizada por la Comisión Europea, el informe </w:t>
      </w:r>
      <w:r w:rsidRPr="009F6FB8">
        <w:rPr>
          <w:rFonts w:eastAsia="Times New Roman" w:cs="Times New Roman"/>
          <w:color w:val="2A2A2A"/>
          <w:szCs w:val="20"/>
          <w:lang w:val="es-ES"/>
        </w:rPr>
        <w:lastRenderedPageBreak/>
        <w:t>nacional sobre los aspectos clínicos deberá emitirse en un plazo máximo de 15 días desde su publicación.</w:t>
      </w:r>
    </w:p>
    <w:p w14:paraId="515066E2"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p>
    <w:p w14:paraId="1487C246" w14:textId="42763678" w:rsidR="00AC357F" w:rsidRPr="009F6FB8" w:rsidRDefault="00AC357F" w:rsidP="00AC357F">
      <w:pPr>
        <w:shd w:val="clear" w:color="auto" w:fill="FFFFFF"/>
        <w:tabs>
          <w:tab w:val="left" w:pos="7920"/>
        </w:tabs>
        <w:rPr>
          <w:rFonts w:eastAsia="Times New Roman" w:cs="Times New Roman"/>
          <w:color w:val="2A2A2A"/>
          <w:szCs w:val="20"/>
          <w:lang w:val="es-ES"/>
        </w:rPr>
      </w:pPr>
      <w:r w:rsidRPr="009F6FB8">
        <w:rPr>
          <w:rFonts w:eastAsia="Times New Roman" w:cs="Times New Roman"/>
          <w:color w:val="2A2A2A"/>
          <w:szCs w:val="20"/>
          <w:lang w:val="es-ES"/>
        </w:rPr>
        <w:t>Además, el real decreto incorpora la posibilidad de realizar</w:t>
      </w:r>
      <w:r w:rsidR="002334B2">
        <w:rPr>
          <w:rFonts w:eastAsia="Times New Roman" w:cs="Times New Roman"/>
          <w:color w:val="2A2A2A"/>
          <w:szCs w:val="20"/>
          <w:lang w:val="es-ES"/>
        </w:rPr>
        <w:t xml:space="preserve"> </w:t>
      </w:r>
      <w:r w:rsidRPr="009F6FB8">
        <w:rPr>
          <w:rFonts w:eastAsia="Times New Roman" w:cs="Times New Roman"/>
          <w:b/>
          <w:bCs/>
          <w:color w:val="2A2A2A"/>
          <w:szCs w:val="20"/>
          <w:lang w:val="es-ES"/>
        </w:rPr>
        <w:t>consultas científicas voluntarias</w:t>
      </w:r>
      <w:r w:rsidR="002334B2">
        <w:rPr>
          <w:rFonts w:eastAsia="Times New Roman" w:cs="Times New Roman"/>
          <w:color w:val="2A2A2A"/>
          <w:szCs w:val="20"/>
          <w:lang w:val="es-ES"/>
        </w:rPr>
        <w:t xml:space="preserve"> </w:t>
      </w:r>
      <w:r w:rsidRPr="009F6FB8">
        <w:rPr>
          <w:rFonts w:eastAsia="Times New Roman" w:cs="Times New Roman"/>
          <w:color w:val="2A2A2A"/>
          <w:szCs w:val="20"/>
          <w:lang w:val="es-ES"/>
        </w:rPr>
        <w:t>entre la Administración y las compañías desarrolladoras antes de que una tecnología llegue al mercado. Estos encuentros permitirán orientar desde fases tempranas la investigación hacia las necesidades reales del Sistema Nacional de Salud y facilitar que los nuevos productos lleguen con la evidencia necesaria para ser evaluados más rápidamente.</w:t>
      </w:r>
    </w:p>
    <w:p w14:paraId="3734A68F"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p>
    <w:p w14:paraId="79E69F73"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r w:rsidRPr="009F6FB8">
        <w:rPr>
          <w:rFonts w:eastAsia="Times New Roman" w:cs="Times New Roman"/>
          <w:color w:val="2A2A2A"/>
          <w:szCs w:val="20"/>
          <w:lang w:val="es-ES"/>
        </w:rPr>
        <w:t>La norma también prevé reforzar el uso de datos clínicos obtenidos en la práctica asistencial real</w:t>
      </w:r>
      <w:r>
        <w:rPr>
          <w:rFonts w:eastAsia="Times New Roman" w:cs="Times New Roman"/>
          <w:color w:val="2A2A2A"/>
          <w:szCs w:val="20"/>
          <w:lang w:val="es-ES"/>
        </w:rPr>
        <w:t xml:space="preserve">, </w:t>
      </w:r>
      <w:r w:rsidRPr="009F6FB8">
        <w:rPr>
          <w:rFonts w:eastAsia="Times New Roman" w:cs="Times New Roman"/>
          <w:color w:val="2A2A2A"/>
          <w:szCs w:val="20"/>
          <w:lang w:val="es-ES"/>
        </w:rPr>
        <w:t>por ejemplo, información sobre cómo funciona un medicamento o una tecnología una vez utilizada en hospitales y centros de salud</w:t>
      </w:r>
      <w:r>
        <w:rPr>
          <w:rFonts w:eastAsia="Times New Roman" w:cs="Times New Roman"/>
          <w:color w:val="2A2A2A"/>
          <w:szCs w:val="20"/>
          <w:lang w:val="es-ES"/>
        </w:rPr>
        <w:t>,</w:t>
      </w:r>
      <w:r w:rsidRPr="009F6FB8">
        <w:rPr>
          <w:rFonts w:eastAsia="Times New Roman" w:cs="Times New Roman"/>
          <w:color w:val="2A2A2A"/>
          <w:szCs w:val="20"/>
          <w:lang w:val="es-ES"/>
        </w:rPr>
        <w:t xml:space="preserve"> para comprobar sus resultados a largo plazo. Esto permitirá revisar periódicamente el valor de las tecnologías ya incorporadas al sistema y, si dejan de aportar beneficios frente a alternativas más eficaces o modernas, recomendar su retirada o sustitución.</w:t>
      </w:r>
    </w:p>
    <w:p w14:paraId="1F800760"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p>
    <w:p w14:paraId="0DA7A673" w14:textId="6F65EA96" w:rsidR="00AC357F" w:rsidRPr="00AC357F" w:rsidRDefault="00AC357F" w:rsidP="00AC357F">
      <w:pPr>
        <w:shd w:val="clear" w:color="auto" w:fill="FFFFFF"/>
        <w:tabs>
          <w:tab w:val="left" w:pos="7920"/>
        </w:tabs>
        <w:rPr>
          <w:rFonts w:eastAsia="Times New Roman" w:cs="Times New Roman"/>
          <w:color w:val="2A2A2A"/>
          <w:szCs w:val="20"/>
          <w:lang w:val="es-ES"/>
        </w:rPr>
      </w:pPr>
      <w:r w:rsidRPr="009F6FB8">
        <w:rPr>
          <w:rFonts w:eastAsia="Times New Roman" w:cs="Times New Roman"/>
          <w:color w:val="2A2A2A"/>
          <w:szCs w:val="20"/>
          <w:lang w:val="es-ES"/>
        </w:rPr>
        <w:t>En el plano social, la normativa marca un hito al garantizar la</w:t>
      </w:r>
      <w:r w:rsidR="002334B2">
        <w:rPr>
          <w:rFonts w:eastAsia="Times New Roman" w:cs="Times New Roman"/>
          <w:color w:val="2A2A2A"/>
          <w:szCs w:val="20"/>
          <w:lang w:val="es-ES"/>
        </w:rPr>
        <w:t xml:space="preserve"> </w:t>
      </w:r>
      <w:r w:rsidRPr="00AC357F">
        <w:rPr>
          <w:rFonts w:eastAsia="Times New Roman" w:cs="Times New Roman"/>
          <w:color w:val="2A2A2A"/>
          <w:szCs w:val="20"/>
          <w:lang w:val="es-ES"/>
        </w:rPr>
        <w:t>participación sistemática de la sociedad civil</w:t>
      </w:r>
      <w:r w:rsidR="002334B2">
        <w:rPr>
          <w:rFonts w:eastAsia="Times New Roman" w:cs="Times New Roman"/>
          <w:color w:val="2A2A2A"/>
          <w:szCs w:val="20"/>
          <w:lang w:val="es-ES"/>
        </w:rPr>
        <w:t xml:space="preserve"> </w:t>
      </w:r>
      <w:r w:rsidRPr="00AC357F">
        <w:rPr>
          <w:rFonts w:eastAsia="Times New Roman" w:cs="Times New Roman"/>
          <w:color w:val="2A2A2A"/>
          <w:szCs w:val="20"/>
          <w:lang w:val="es-ES"/>
        </w:rPr>
        <w:t>en todas las etapas de la evaluación.</w:t>
      </w:r>
      <w:r w:rsidR="002334B2">
        <w:rPr>
          <w:rFonts w:eastAsia="Times New Roman" w:cs="Times New Roman"/>
          <w:color w:val="2A2A2A"/>
          <w:szCs w:val="20"/>
          <w:lang w:val="es-ES"/>
        </w:rPr>
        <w:t xml:space="preserve"> </w:t>
      </w:r>
      <w:r w:rsidRPr="00AC357F">
        <w:rPr>
          <w:rFonts w:eastAsia="Times New Roman" w:cs="Times New Roman"/>
          <w:color w:val="2A2A2A"/>
          <w:szCs w:val="20"/>
          <w:lang w:val="es-ES"/>
        </w:rPr>
        <w:t xml:space="preserve">El sistema ya no se limita a un análisis de expertos a puerta cerrada, sino que otorga un papel protagonista a las organizaciones de pacientes y de personas con discapacidad. Esta apertura asegura que la evaluación no solo mida datos clínicos, sino que considere de forma explícita el impacto real en la calidad de vida de los afectados, valorando aspectos clave </w:t>
      </w:r>
      <w:r w:rsidRPr="00AC357F">
        <w:rPr>
          <w:rFonts w:eastAsia="Times New Roman" w:cs="Times New Roman"/>
          <w:color w:val="2A2A2A"/>
          <w:szCs w:val="20"/>
          <w:lang w:val="es-ES"/>
        </w:rPr>
        <w:t>como la usabilidad de las tecnologías, la facilidad de uso y la eliminación de barreras de accesibilidad que puedan condicionar el éxito de un tratamiento.</w:t>
      </w:r>
    </w:p>
    <w:p w14:paraId="73A94292" w14:textId="77777777" w:rsidR="00AC357F" w:rsidRPr="00AC357F" w:rsidRDefault="00AC357F" w:rsidP="00AC357F">
      <w:pPr>
        <w:shd w:val="clear" w:color="auto" w:fill="FFFFFF"/>
        <w:tabs>
          <w:tab w:val="left" w:pos="7920"/>
        </w:tabs>
        <w:rPr>
          <w:rFonts w:eastAsia="Times New Roman" w:cs="Times New Roman"/>
          <w:color w:val="2A2A2A"/>
          <w:szCs w:val="20"/>
          <w:lang w:val="es-ES"/>
        </w:rPr>
      </w:pPr>
    </w:p>
    <w:p w14:paraId="3F6BCF1A" w14:textId="014A5FE7" w:rsidR="00AC357F" w:rsidRPr="009F6FB8" w:rsidRDefault="00AC357F" w:rsidP="00AC357F">
      <w:pPr>
        <w:shd w:val="clear" w:color="auto" w:fill="FFFFFF"/>
        <w:tabs>
          <w:tab w:val="left" w:pos="7920"/>
        </w:tabs>
        <w:rPr>
          <w:rFonts w:eastAsia="Times New Roman" w:cs="Times New Roman"/>
          <w:color w:val="2A2A2A"/>
          <w:szCs w:val="20"/>
          <w:lang w:val="es-ES"/>
        </w:rPr>
      </w:pPr>
      <w:r w:rsidRPr="00AC357F">
        <w:rPr>
          <w:rFonts w:eastAsia="Times New Roman" w:cs="Times New Roman"/>
          <w:color w:val="2A2A2A"/>
          <w:szCs w:val="20"/>
          <w:lang w:val="es-ES"/>
        </w:rPr>
        <w:t>Finalmente, el Real Decreto impone las más estrictas</w:t>
      </w:r>
      <w:r w:rsidR="002334B2">
        <w:rPr>
          <w:rFonts w:eastAsia="Times New Roman" w:cs="Times New Roman"/>
          <w:color w:val="2A2A2A"/>
          <w:szCs w:val="20"/>
          <w:lang w:val="es-ES"/>
        </w:rPr>
        <w:t xml:space="preserve"> </w:t>
      </w:r>
      <w:r w:rsidRPr="00AC357F">
        <w:rPr>
          <w:rFonts w:eastAsia="Times New Roman" w:cs="Times New Roman"/>
          <w:color w:val="2A2A2A"/>
          <w:szCs w:val="20"/>
          <w:lang w:val="es-ES"/>
        </w:rPr>
        <w:t>garantías de transparencia y ética.</w:t>
      </w:r>
      <w:r w:rsidRPr="009F6FB8">
        <w:rPr>
          <w:rFonts w:eastAsia="Times New Roman" w:cs="Times New Roman"/>
          <w:color w:val="2A2A2A"/>
          <w:szCs w:val="20"/>
          <w:lang w:val="es-ES"/>
        </w:rPr>
        <w:t xml:space="preserve"> Todos los intervinientes, desde los técnicos del sistema hasta los expertos clínicos externos que colaboren puntualmente, están obligados por ley a actuar de manera independiente e imparcial.</w:t>
      </w:r>
    </w:p>
    <w:p w14:paraId="25F50039"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p>
    <w:p w14:paraId="43165423"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r w:rsidRPr="009F6FB8">
        <w:rPr>
          <w:rFonts w:eastAsia="Times New Roman" w:cs="Times New Roman"/>
          <w:color w:val="2A2A2A"/>
          <w:szCs w:val="20"/>
          <w:lang w:val="es-ES"/>
        </w:rPr>
        <w:t>Para ello, se establece la obligatoriedad de realizar declaraciones de intereses públicas y anuales, que deberán actualizarse ante cualquier cambio y reiterarse antes de cada reunión de trabajo. La norma es tajante al prohibir que los evaluadores tengan intereses económicos o profesionales en las empresas desarrolladoras (como farmacéuticas o fabricantes de tecnología) que puedan comprometer su objetividad.</w:t>
      </w:r>
    </w:p>
    <w:p w14:paraId="4AA69CDA"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p>
    <w:p w14:paraId="74DC44BD"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r w:rsidRPr="009F6FB8">
        <w:rPr>
          <w:rFonts w:eastAsia="Times New Roman" w:cs="Times New Roman"/>
          <w:color w:val="2A2A2A"/>
          <w:szCs w:val="20"/>
          <w:lang w:val="es-ES"/>
        </w:rPr>
        <w:t>En caso de detectarse cualquier conflicto, se aplicarán restricciones de participación rigurosas, asegurando así que el proceso científico sea totalmente autónomo y esté libre de presiones comerciales. Como garantía adicional de control social, tanto el listado de participantes como las actas de las reuniones y los informes finales serán accesibles para toda la ciudadanía.</w:t>
      </w:r>
    </w:p>
    <w:p w14:paraId="4145F5EE"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p>
    <w:p w14:paraId="33F87B43"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r w:rsidRPr="009F6FB8">
        <w:rPr>
          <w:rFonts w:eastAsia="Times New Roman" w:cs="Times New Roman"/>
          <w:color w:val="2A2A2A"/>
          <w:szCs w:val="20"/>
          <w:lang w:val="es-ES"/>
        </w:rPr>
        <w:t>Con este Real Decreto, el Ministerio de Sanidad sitúa a España entre los países europeos con un modelo más avanzado de evaluación de tecnologías sanitarias, reforzando la capacidad del SNS para incorporar innovación útil, segura y basada en la evidencia.</w:t>
      </w:r>
    </w:p>
    <w:p w14:paraId="785F6585" w14:textId="77777777" w:rsidR="007D0C90" w:rsidRDefault="007D0C90" w:rsidP="00AC357F">
      <w:pPr>
        <w:rPr>
          <w:rFonts w:eastAsia="Times New Roman" w:cs="Times New Roman"/>
          <w:color w:val="2A2A2A"/>
          <w:szCs w:val="20"/>
          <w:lang w:val="es-ES"/>
        </w:rPr>
        <w:sectPr w:rsidR="007D0C90" w:rsidSect="007D0C90">
          <w:type w:val="continuous"/>
          <w:pgSz w:w="12240" w:h="15840" w:code="1"/>
          <w:pgMar w:top="720" w:right="720" w:bottom="720" w:left="720" w:header="288" w:footer="288" w:gutter="0"/>
          <w:cols w:num="2" w:space="288"/>
          <w:docGrid w:linePitch="360"/>
        </w:sectPr>
      </w:pPr>
    </w:p>
    <w:p w14:paraId="68BF8B41" w14:textId="04A99254" w:rsidR="00AC357F" w:rsidRDefault="00AC357F" w:rsidP="00AC357F">
      <w:pPr>
        <w:rPr>
          <w:rFonts w:eastAsia="Times New Roman" w:cs="Times New Roman"/>
          <w:color w:val="2A2A2A"/>
          <w:szCs w:val="20"/>
          <w:lang w:val="es-ES"/>
        </w:rPr>
      </w:pPr>
    </w:p>
    <w:p w14:paraId="01ADC4B2" w14:textId="77777777" w:rsidR="00AC357F" w:rsidRPr="00871E58" w:rsidRDefault="00AC357F" w:rsidP="00AC357F">
      <w:pPr>
        <w:rPr>
          <w:rFonts w:eastAsia="Times New Roman" w:cs="Times New Roman"/>
          <w:szCs w:val="20"/>
          <w:lang w:val="es-ES"/>
        </w:rPr>
      </w:pPr>
    </w:p>
    <w:p w14:paraId="04B4C14D" w14:textId="6352ACAA" w:rsidR="00AC357F" w:rsidRPr="006F221F" w:rsidRDefault="00AC357F" w:rsidP="00AC357F">
      <w:pPr>
        <w:shd w:val="clear" w:color="auto" w:fill="FFFFFF"/>
        <w:tabs>
          <w:tab w:val="left" w:pos="7920"/>
        </w:tabs>
        <w:jc w:val="center"/>
        <w:outlineLvl w:val="0"/>
        <w:rPr>
          <w:rFonts w:eastAsia="Times New Roman" w:cs="Times New Roman"/>
          <w:b/>
          <w:color w:val="FF0000"/>
          <w:kern w:val="36"/>
          <w:szCs w:val="20"/>
          <w:lang w:val="es-ES"/>
        </w:rPr>
      </w:pPr>
      <w:r w:rsidRPr="009F6FB8">
        <w:rPr>
          <w:rFonts w:eastAsia="Times New Roman" w:cs="Times New Roman"/>
          <w:kern w:val="36"/>
          <w:szCs w:val="20"/>
          <w:lang w:val="es-ES"/>
        </w:rPr>
        <w:t>España.</w:t>
      </w:r>
      <w:r w:rsidRPr="009F6FB8">
        <w:rPr>
          <w:rFonts w:eastAsia="Times New Roman" w:cs="Times New Roman"/>
          <w:b/>
          <w:kern w:val="36"/>
          <w:szCs w:val="20"/>
          <w:lang w:val="es-ES"/>
        </w:rPr>
        <w:t xml:space="preserve"> Aprobado el proyecto de ley que integra por primera vez a las organizaciones de pacientes en la gobernanza del</w:t>
      </w:r>
      <w:r w:rsidRPr="009F6FB8">
        <w:rPr>
          <w:rFonts w:eastAsia="Times New Roman" w:cs="Times New Roman"/>
          <w:kern w:val="36"/>
          <w:szCs w:val="20"/>
          <w:lang w:val="es-ES"/>
        </w:rPr>
        <w:t xml:space="preserve"> </w:t>
      </w:r>
      <w:r w:rsidRPr="009F6FB8">
        <w:rPr>
          <w:rFonts w:eastAsia="Times New Roman" w:cs="Times New Roman"/>
          <w:b/>
          <w:kern w:val="36"/>
          <w:szCs w:val="20"/>
          <w:lang w:val="es-ES"/>
        </w:rPr>
        <w:t>Sistema Nacional de Salud</w:t>
      </w:r>
      <w:r w:rsidR="006F221F">
        <w:rPr>
          <w:rFonts w:eastAsia="Times New Roman" w:cs="Times New Roman"/>
          <w:b/>
          <w:kern w:val="36"/>
          <w:szCs w:val="20"/>
          <w:lang w:val="es-ES"/>
        </w:rPr>
        <w:t xml:space="preserve"> </w:t>
      </w:r>
    </w:p>
    <w:p w14:paraId="25685B6D" w14:textId="77777777" w:rsidR="00AC357F" w:rsidRPr="009F6FB8" w:rsidRDefault="00AC357F" w:rsidP="00AC357F">
      <w:pPr>
        <w:shd w:val="clear" w:color="auto" w:fill="FFFFFF"/>
        <w:tabs>
          <w:tab w:val="left" w:pos="7920"/>
        </w:tabs>
        <w:jc w:val="center"/>
        <w:outlineLvl w:val="0"/>
        <w:rPr>
          <w:rFonts w:eastAsia="Times New Roman" w:cs="Times New Roman"/>
          <w:kern w:val="36"/>
          <w:szCs w:val="20"/>
          <w:lang w:val="es-ES"/>
        </w:rPr>
      </w:pPr>
      <w:r w:rsidRPr="009F6FB8">
        <w:rPr>
          <w:rFonts w:eastAsia="Times New Roman" w:cs="Times New Roman"/>
          <w:i/>
          <w:kern w:val="36"/>
          <w:szCs w:val="20"/>
          <w:lang w:val="es-ES"/>
        </w:rPr>
        <w:t>Ministerio de Salud</w:t>
      </w:r>
      <w:r w:rsidRPr="009F6FB8">
        <w:rPr>
          <w:rFonts w:eastAsia="Times New Roman" w:cs="Times New Roman"/>
          <w:kern w:val="36"/>
          <w:szCs w:val="20"/>
          <w:lang w:val="es-ES"/>
        </w:rPr>
        <w:t>, 9 de junio de 2026</w:t>
      </w:r>
    </w:p>
    <w:p w14:paraId="2F881DC5" w14:textId="77777777" w:rsidR="00AC357F" w:rsidRPr="009F6FB8" w:rsidRDefault="00B00DA4" w:rsidP="00AC357F">
      <w:pPr>
        <w:shd w:val="clear" w:color="auto" w:fill="FFFFFF"/>
        <w:tabs>
          <w:tab w:val="left" w:pos="7920"/>
        </w:tabs>
        <w:jc w:val="center"/>
        <w:outlineLvl w:val="0"/>
        <w:rPr>
          <w:rFonts w:eastAsia="Times New Roman" w:cs="Times New Roman"/>
          <w:color w:val="0F4483"/>
          <w:kern w:val="36"/>
          <w:szCs w:val="20"/>
          <w:lang w:val="es-ES"/>
        </w:rPr>
      </w:pPr>
      <w:hyperlink r:id="rId73" w:history="1">
        <w:r w:rsidR="00AC357F" w:rsidRPr="009F6FB8">
          <w:rPr>
            <w:rFonts w:eastAsia="Times New Roman" w:cs="Times New Roman"/>
            <w:color w:val="467886" w:themeColor="hyperlink"/>
            <w:kern w:val="36"/>
            <w:szCs w:val="20"/>
            <w:u w:val="single"/>
            <w:lang w:val="es-ES"/>
          </w:rPr>
          <w:t>https://www.sanidad.gob.es/gabinete/notasPrensa.do?id=6933</w:t>
        </w:r>
      </w:hyperlink>
    </w:p>
    <w:p w14:paraId="615E702B" w14:textId="77777777" w:rsidR="00871E58" w:rsidRDefault="00871E58" w:rsidP="00057E97">
      <w:pPr>
        <w:jc w:val="center"/>
        <w:rPr>
          <w:rFonts w:eastAsia="Times New Roman" w:cs="Times New Roman"/>
          <w:szCs w:val="20"/>
          <w:lang w:val="es-ES"/>
        </w:rPr>
      </w:pPr>
    </w:p>
    <w:p w14:paraId="268ECFB8" w14:textId="77777777" w:rsidR="007D0C90" w:rsidRDefault="007D0C90" w:rsidP="002478D5">
      <w:pPr>
        <w:numPr>
          <w:ilvl w:val="0"/>
          <w:numId w:val="30"/>
        </w:numPr>
        <w:shd w:val="clear" w:color="auto" w:fill="FFFFFF"/>
        <w:tabs>
          <w:tab w:val="num" w:pos="540"/>
          <w:tab w:val="left" w:pos="7920"/>
        </w:tabs>
        <w:ind w:left="180" w:hanging="180"/>
        <w:rPr>
          <w:rFonts w:eastAsia="Times New Roman" w:cs="Times New Roman"/>
          <w:bCs/>
          <w:color w:val="2A2A2A"/>
          <w:szCs w:val="20"/>
          <w:lang w:val="es-ES"/>
        </w:rPr>
        <w:sectPr w:rsidR="007D0C90" w:rsidSect="00F25512">
          <w:type w:val="continuous"/>
          <w:pgSz w:w="12240" w:h="15840" w:code="1"/>
          <w:pgMar w:top="720" w:right="720" w:bottom="720" w:left="720" w:header="288" w:footer="288" w:gutter="0"/>
          <w:cols w:space="288"/>
          <w:docGrid w:linePitch="360"/>
        </w:sectPr>
      </w:pPr>
    </w:p>
    <w:p w14:paraId="4C80ED06" w14:textId="7EC6AAAE" w:rsidR="00AC357F" w:rsidRPr="009F6FB8" w:rsidRDefault="00AC357F" w:rsidP="002478D5">
      <w:pPr>
        <w:numPr>
          <w:ilvl w:val="0"/>
          <w:numId w:val="30"/>
        </w:numPr>
        <w:shd w:val="clear" w:color="auto" w:fill="FFFFFF"/>
        <w:tabs>
          <w:tab w:val="num" w:pos="540"/>
          <w:tab w:val="left" w:pos="7920"/>
        </w:tabs>
        <w:ind w:left="180" w:hanging="180"/>
        <w:rPr>
          <w:rFonts w:eastAsia="Times New Roman" w:cs="Times New Roman"/>
          <w:color w:val="2A2A2A"/>
          <w:szCs w:val="20"/>
          <w:lang w:val="es-ES"/>
        </w:rPr>
      </w:pPr>
      <w:r w:rsidRPr="009F6FB8">
        <w:rPr>
          <w:rFonts w:eastAsia="Times New Roman" w:cs="Times New Roman"/>
          <w:bCs/>
          <w:color w:val="2A2A2A"/>
          <w:szCs w:val="20"/>
          <w:lang w:val="es-ES"/>
        </w:rPr>
        <w:t>Se reconocen derechos específicos de participación, información y representación institucional ante la Administración General del Estado.</w:t>
      </w:r>
    </w:p>
    <w:p w14:paraId="0911CC36" w14:textId="77777777" w:rsidR="00AC357F" w:rsidRPr="009F6FB8" w:rsidRDefault="00AC357F" w:rsidP="00AC357F">
      <w:pPr>
        <w:shd w:val="clear" w:color="auto" w:fill="FFFFFF"/>
        <w:tabs>
          <w:tab w:val="num" w:pos="540"/>
          <w:tab w:val="left" w:pos="7920"/>
        </w:tabs>
        <w:ind w:left="180" w:hanging="180"/>
        <w:rPr>
          <w:rFonts w:eastAsia="Times New Roman" w:cs="Times New Roman"/>
          <w:color w:val="2A2A2A"/>
          <w:szCs w:val="20"/>
          <w:lang w:val="es-ES"/>
        </w:rPr>
      </w:pPr>
    </w:p>
    <w:p w14:paraId="0AD3DC9B" w14:textId="77777777" w:rsidR="00AC357F" w:rsidRPr="009F6FB8" w:rsidRDefault="00AC357F" w:rsidP="002478D5">
      <w:pPr>
        <w:numPr>
          <w:ilvl w:val="0"/>
          <w:numId w:val="30"/>
        </w:numPr>
        <w:shd w:val="clear" w:color="auto" w:fill="FFFFFF"/>
        <w:tabs>
          <w:tab w:val="num" w:pos="540"/>
          <w:tab w:val="left" w:pos="7920"/>
        </w:tabs>
        <w:ind w:left="180" w:hanging="180"/>
        <w:rPr>
          <w:rFonts w:eastAsia="Times New Roman" w:cs="Times New Roman"/>
          <w:color w:val="2A2A2A"/>
          <w:szCs w:val="20"/>
          <w:lang w:val="es-ES"/>
        </w:rPr>
      </w:pPr>
      <w:r w:rsidRPr="009F6FB8">
        <w:rPr>
          <w:rFonts w:eastAsia="Times New Roman" w:cs="Times New Roman"/>
          <w:bCs/>
          <w:color w:val="2A2A2A"/>
          <w:szCs w:val="20"/>
          <w:lang w:val="es-ES"/>
        </w:rPr>
        <w:t>Ocho representantes de las organizaciones de pacientes pasarán a formar parte del Comité Consultivo del Sistema Nacional de Salud.</w:t>
      </w:r>
    </w:p>
    <w:p w14:paraId="7CC2E77E" w14:textId="77777777" w:rsidR="00AC357F" w:rsidRPr="009F6FB8" w:rsidRDefault="00AC357F" w:rsidP="00AC357F">
      <w:pPr>
        <w:shd w:val="clear" w:color="auto" w:fill="FFFFFF"/>
        <w:tabs>
          <w:tab w:val="num" w:pos="540"/>
          <w:tab w:val="left" w:pos="7920"/>
        </w:tabs>
        <w:ind w:left="180" w:hanging="180"/>
        <w:rPr>
          <w:rFonts w:eastAsia="Times New Roman" w:cs="Times New Roman"/>
          <w:color w:val="2A2A2A"/>
          <w:szCs w:val="20"/>
          <w:lang w:val="es-ES"/>
        </w:rPr>
      </w:pPr>
    </w:p>
    <w:p w14:paraId="5C37CE06" w14:textId="77777777" w:rsidR="00AC357F" w:rsidRPr="009F6FB8" w:rsidRDefault="00AC357F" w:rsidP="002478D5">
      <w:pPr>
        <w:numPr>
          <w:ilvl w:val="0"/>
          <w:numId w:val="30"/>
        </w:numPr>
        <w:shd w:val="clear" w:color="auto" w:fill="FFFFFF"/>
        <w:tabs>
          <w:tab w:val="num" w:pos="540"/>
          <w:tab w:val="left" w:pos="7920"/>
        </w:tabs>
        <w:ind w:left="180" w:hanging="180"/>
        <w:rPr>
          <w:rFonts w:eastAsia="Times New Roman" w:cs="Times New Roman"/>
          <w:color w:val="2A2A2A"/>
          <w:szCs w:val="20"/>
          <w:lang w:val="es-ES"/>
        </w:rPr>
      </w:pPr>
      <w:r w:rsidRPr="009F6FB8">
        <w:rPr>
          <w:rFonts w:eastAsia="Times New Roman" w:cs="Times New Roman"/>
          <w:bCs/>
          <w:color w:val="2A2A2A"/>
          <w:szCs w:val="20"/>
          <w:lang w:val="es-ES"/>
        </w:rPr>
        <w:t>Se impulsa un marco estable de colaboración con la Administración que refuerza la transparencia, la independencia y la capacidad de actuación de las organizaciones de pacientes.</w:t>
      </w:r>
    </w:p>
    <w:p w14:paraId="63E7A2C1"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p>
    <w:p w14:paraId="485BB981"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r w:rsidRPr="009F6FB8">
        <w:rPr>
          <w:rFonts w:eastAsia="Times New Roman" w:cs="Times New Roman"/>
          <w:color w:val="2A2A2A"/>
          <w:szCs w:val="20"/>
          <w:lang w:val="es-ES"/>
        </w:rPr>
        <w:t>El Consejo de Ministros ha aprobado el Proyecto de Ley de las Organizaciones de Pacientes, una norma que reconoce jurídicamente la singularidad de estas entidades y refuerza su participación en el desarrollo de las políticas sanitarias. La iniciativa consolida su papel como interlocutoras ante la Administración General del Estado y las reconoce como agentes fundamentales de la gobernanza del Sistema Nacional de Salud.</w:t>
      </w:r>
    </w:p>
    <w:p w14:paraId="01E85937"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p>
    <w:p w14:paraId="49B3542B"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r w:rsidRPr="009F6FB8">
        <w:rPr>
          <w:rFonts w:eastAsia="Times New Roman" w:cs="Times New Roman"/>
          <w:color w:val="2A2A2A"/>
          <w:szCs w:val="20"/>
          <w:lang w:val="es-ES"/>
        </w:rPr>
        <w:t xml:space="preserve">El proyecto define a las organizaciones de pacientes de ámbito estatal como entidades privadas sin ánimo de lucro, cuyos órganos de gobierno deben estar integrados mayoritariamente por pacientes, familiares o cuidadores no profesionales, con actividad en más de una comunidad o ciudad autónoma e inscritas en el </w:t>
      </w:r>
      <w:r w:rsidRPr="009F6FB8">
        <w:rPr>
          <w:rFonts w:eastAsia="Times New Roman" w:cs="Times New Roman"/>
          <w:color w:val="2A2A2A"/>
          <w:szCs w:val="20"/>
          <w:lang w:val="es-ES"/>
        </w:rPr>
        <w:t>Registro Nacional de Asociaciones. Entre sus principios rectores destacan la transparencia en la financiación, la independencia respecto al sector privado y la garantía de igualdad de oportunidades y accesibilidad universal.</w:t>
      </w:r>
    </w:p>
    <w:p w14:paraId="7FB0D082"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p>
    <w:p w14:paraId="3D3C08BB"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r w:rsidRPr="009F6FB8">
        <w:rPr>
          <w:rFonts w:eastAsia="Times New Roman" w:cs="Times New Roman"/>
          <w:color w:val="2A2A2A"/>
          <w:szCs w:val="20"/>
          <w:lang w:val="es-ES"/>
        </w:rPr>
        <w:t>La ley reconoce a estas entidades una serie de derechos en su relación con la Administración General del Estado:</w:t>
      </w:r>
    </w:p>
    <w:p w14:paraId="4327D15D"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p>
    <w:p w14:paraId="6997B80C" w14:textId="77777777" w:rsidR="00AC357F" w:rsidRPr="009F6FB8" w:rsidRDefault="00AC357F" w:rsidP="002478D5">
      <w:pPr>
        <w:numPr>
          <w:ilvl w:val="0"/>
          <w:numId w:val="31"/>
        </w:numPr>
        <w:shd w:val="clear" w:color="auto" w:fill="FFFFFF"/>
        <w:tabs>
          <w:tab w:val="num" w:pos="540"/>
          <w:tab w:val="left" w:pos="7920"/>
        </w:tabs>
        <w:ind w:left="180" w:hanging="180"/>
        <w:rPr>
          <w:rFonts w:eastAsia="Times New Roman" w:cs="Times New Roman"/>
          <w:color w:val="2A2A2A"/>
          <w:szCs w:val="20"/>
          <w:lang w:val="es-ES"/>
        </w:rPr>
      </w:pPr>
      <w:r w:rsidRPr="009F6FB8">
        <w:rPr>
          <w:rFonts w:eastAsia="Times New Roman" w:cs="Times New Roman"/>
          <w:b/>
          <w:bCs/>
          <w:color w:val="2A2A2A"/>
          <w:szCs w:val="20"/>
          <w:lang w:val="es-ES"/>
        </w:rPr>
        <w:t>Acceso a la información:</w:t>
      </w:r>
      <w:r w:rsidRPr="009F6FB8">
        <w:rPr>
          <w:rFonts w:eastAsia="Times New Roman" w:cs="Times New Roman"/>
          <w:color w:val="2A2A2A"/>
          <w:szCs w:val="20"/>
          <w:lang w:val="es-ES"/>
        </w:rPr>
        <w:t xml:space="preserve"> Derecho a recibir, en formatos accesibles, la información necesaria para la defensa de sus intereses, así como asesoramiento para el ejercicio de sus derechos. Incluye el acceso a información sobre normas, disposiciones y actuaciones que puedan afectarles.</w:t>
      </w:r>
    </w:p>
    <w:p w14:paraId="7C7C8756" w14:textId="77777777" w:rsidR="00AC357F" w:rsidRPr="009F6FB8" w:rsidRDefault="00AC357F" w:rsidP="00AC357F">
      <w:pPr>
        <w:shd w:val="clear" w:color="auto" w:fill="FFFFFF"/>
        <w:tabs>
          <w:tab w:val="num" w:pos="540"/>
          <w:tab w:val="left" w:pos="7920"/>
        </w:tabs>
        <w:ind w:left="180" w:hanging="180"/>
        <w:rPr>
          <w:rFonts w:eastAsia="Times New Roman" w:cs="Times New Roman"/>
          <w:color w:val="2A2A2A"/>
          <w:szCs w:val="20"/>
          <w:lang w:val="es-ES"/>
        </w:rPr>
      </w:pPr>
    </w:p>
    <w:p w14:paraId="5060EC6C" w14:textId="77777777" w:rsidR="00AC357F" w:rsidRPr="009F6FB8" w:rsidRDefault="00AC357F" w:rsidP="002478D5">
      <w:pPr>
        <w:numPr>
          <w:ilvl w:val="0"/>
          <w:numId w:val="31"/>
        </w:numPr>
        <w:shd w:val="clear" w:color="auto" w:fill="FFFFFF"/>
        <w:tabs>
          <w:tab w:val="num" w:pos="540"/>
          <w:tab w:val="left" w:pos="7920"/>
        </w:tabs>
        <w:ind w:left="180" w:hanging="180"/>
        <w:rPr>
          <w:rFonts w:eastAsia="Times New Roman" w:cs="Times New Roman"/>
          <w:color w:val="2A2A2A"/>
          <w:szCs w:val="20"/>
          <w:lang w:val="es-ES"/>
        </w:rPr>
      </w:pPr>
      <w:r w:rsidRPr="009F6FB8">
        <w:rPr>
          <w:rFonts w:eastAsia="Times New Roman" w:cs="Times New Roman"/>
          <w:b/>
          <w:bCs/>
          <w:color w:val="2A2A2A"/>
          <w:szCs w:val="20"/>
          <w:lang w:val="es-ES"/>
        </w:rPr>
        <w:t>Participación pública:</w:t>
      </w:r>
      <w:r w:rsidRPr="009F6FB8">
        <w:rPr>
          <w:rFonts w:eastAsia="Times New Roman" w:cs="Times New Roman"/>
          <w:color w:val="2A2A2A"/>
          <w:szCs w:val="20"/>
          <w:lang w:val="es-ES"/>
        </w:rPr>
        <w:t xml:space="preserve"> Derecho a participar en la elaboración y evaluación de planes y estrategias cuando todas las opciones estén abiertas, pudiendo formular alegaciones antes de la adopción de decisiones definitivas.</w:t>
      </w:r>
    </w:p>
    <w:p w14:paraId="315AC094" w14:textId="77777777" w:rsidR="00AC357F" w:rsidRPr="009F6FB8" w:rsidRDefault="00AC357F" w:rsidP="00AC357F">
      <w:pPr>
        <w:shd w:val="clear" w:color="auto" w:fill="FFFFFF"/>
        <w:tabs>
          <w:tab w:val="num" w:pos="540"/>
          <w:tab w:val="left" w:pos="7920"/>
        </w:tabs>
        <w:ind w:left="180" w:hanging="180"/>
        <w:rPr>
          <w:rFonts w:eastAsia="Times New Roman" w:cs="Times New Roman"/>
          <w:color w:val="2A2A2A"/>
          <w:szCs w:val="20"/>
          <w:lang w:val="es-ES"/>
        </w:rPr>
      </w:pPr>
    </w:p>
    <w:p w14:paraId="019AC356" w14:textId="77777777" w:rsidR="00AC357F" w:rsidRPr="009F6FB8" w:rsidRDefault="00AC357F" w:rsidP="002478D5">
      <w:pPr>
        <w:numPr>
          <w:ilvl w:val="0"/>
          <w:numId w:val="31"/>
        </w:numPr>
        <w:shd w:val="clear" w:color="auto" w:fill="FFFFFF"/>
        <w:tabs>
          <w:tab w:val="num" w:pos="540"/>
          <w:tab w:val="left" w:pos="7920"/>
        </w:tabs>
        <w:ind w:left="180" w:hanging="180"/>
        <w:rPr>
          <w:rFonts w:eastAsia="Times New Roman" w:cs="Times New Roman"/>
          <w:color w:val="2A2A2A"/>
          <w:szCs w:val="20"/>
          <w:lang w:val="es-ES"/>
        </w:rPr>
      </w:pPr>
      <w:r w:rsidRPr="009F6FB8">
        <w:rPr>
          <w:rFonts w:eastAsia="Times New Roman" w:cs="Times New Roman"/>
          <w:b/>
          <w:bCs/>
          <w:color w:val="2A2A2A"/>
          <w:szCs w:val="20"/>
          <w:lang w:val="es-ES"/>
        </w:rPr>
        <w:t>Reconocimiento institucional:</w:t>
      </w:r>
      <w:r w:rsidRPr="009F6FB8">
        <w:rPr>
          <w:rFonts w:eastAsia="Times New Roman" w:cs="Times New Roman"/>
          <w:color w:val="2A2A2A"/>
          <w:szCs w:val="20"/>
          <w:lang w:val="es-ES"/>
        </w:rPr>
        <w:t xml:space="preserve"> Derecho a formar parte de un censo estatal para facilitar su interlocución y acceso a programas de formación continua en áreas jurídico-administrativas y científico-técnicas.</w:t>
      </w:r>
    </w:p>
    <w:p w14:paraId="29447E5B"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p>
    <w:p w14:paraId="43B020CE"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r w:rsidRPr="00896A9F">
        <w:rPr>
          <w:rFonts w:eastAsia="Times New Roman" w:cs="Times New Roman"/>
          <w:color w:val="2A2A2A"/>
          <w:szCs w:val="20"/>
          <w:lang w:val="es-ES"/>
        </w:rPr>
        <w:lastRenderedPageBreak/>
        <w:t>La Administración del Estado asume obligaciones específicas, como</w:t>
      </w:r>
      <w:r w:rsidRPr="009F6FB8">
        <w:rPr>
          <w:rFonts w:eastAsia="Times New Roman" w:cs="Times New Roman"/>
          <w:color w:val="2A2A2A"/>
          <w:szCs w:val="20"/>
          <w:lang w:val="es-ES"/>
        </w:rPr>
        <w:t xml:space="preserve"> asegurar la agilidad en la tramitación de solicitudes de información, impulsar el uso de tecnologías de la comunicación y difundir activamente normas en tramitación o planes de salud que afecten a los intereses de los pacientes.</w:t>
      </w:r>
    </w:p>
    <w:p w14:paraId="56E76992" w14:textId="77777777" w:rsidR="00AC357F" w:rsidRPr="009F6FB8" w:rsidRDefault="00AC357F" w:rsidP="00AC357F">
      <w:pPr>
        <w:shd w:val="clear" w:color="auto" w:fill="FFFFFF"/>
        <w:tabs>
          <w:tab w:val="left" w:pos="7920"/>
        </w:tabs>
        <w:rPr>
          <w:rFonts w:eastAsia="Times New Roman" w:cs="Times New Roman"/>
          <w:color w:val="2A2A2A"/>
          <w:szCs w:val="20"/>
          <w:lang w:val="es-ES"/>
        </w:rPr>
      </w:pPr>
    </w:p>
    <w:p w14:paraId="0836918F" w14:textId="06C9E966" w:rsidR="00AC357F" w:rsidRDefault="00AC357F" w:rsidP="00AC357F">
      <w:pPr>
        <w:rPr>
          <w:rFonts w:eastAsia="Times New Roman" w:cs="Times New Roman"/>
          <w:color w:val="2A2A2A"/>
          <w:szCs w:val="20"/>
          <w:lang w:val="es-ES"/>
        </w:rPr>
      </w:pPr>
      <w:r w:rsidRPr="009F6FB8">
        <w:rPr>
          <w:rFonts w:eastAsia="Times New Roman" w:cs="Times New Roman"/>
          <w:color w:val="2A2A2A"/>
          <w:szCs w:val="20"/>
          <w:lang w:val="es-ES"/>
        </w:rPr>
        <w:t>Además, se compromete a incorporar progresivamente la perspectiva y experiencia de los pacientes en los sistemas de información pública y a desarrollar mecanismos de evaluación que permitan medir la participación efectiva de las organizaciones de pacientes.</w:t>
      </w:r>
    </w:p>
    <w:p w14:paraId="4239A3C7" w14:textId="77777777" w:rsidR="00AC357F" w:rsidRDefault="00AC357F" w:rsidP="00AC357F">
      <w:pPr>
        <w:rPr>
          <w:rFonts w:eastAsia="Times New Roman" w:cs="Times New Roman"/>
          <w:color w:val="2A2A2A"/>
          <w:szCs w:val="20"/>
          <w:lang w:val="es-ES"/>
        </w:rPr>
      </w:pPr>
    </w:p>
    <w:p w14:paraId="74F31E98" w14:textId="77777777" w:rsidR="00896A9F" w:rsidRPr="009F6FB8" w:rsidRDefault="00896A9F" w:rsidP="00896A9F">
      <w:pPr>
        <w:shd w:val="clear" w:color="auto" w:fill="FFFFFF"/>
        <w:tabs>
          <w:tab w:val="left" w:pos="7920"/>
        </w:tabs>
        <w:rPr>
          <w:rFonts w:eastAsia="Times New Roman" w:cs="Times New Roman"/>
          <w:color w:val="2A2A2A"/>
          <w:szCs w:val="20"/>
          <w:lang w:val="es-ES"/>
        </w:rPr>
      </w:pPr>
      <w:r w:rsidRPr="009F6FB8">
        <w:rPr>
          <w:rFonts w:eastAsia="Times New Roman" w:cs="Times New Roman"/>
          <w:color w:val="2A2A2A"/>
          <w:szCs w:val="20"/>
          <w:lang w:val="es-ES"/>
        </w:rPr>
        <w:t>Como medidas de apoyo, el proyecto impulsa el asociacionismo como herramienta terapéutica y promueve la alfabetización en salud, incluido el ámbito digital. También se promoverá el papel de las organizaciones en iniciativas de acompañamiento entre iguales y apoyo psicosocial.</w:t>
      </w:r>
    </w:p>
    <w:p w14:paraId="2DE999A4" w14:textId="77777777" w:rsidR="00896A9F" w:rsidRPr="009F6FB8" w:rsidRDefault="00896A9F" w:rsidP="00896A9F">
      <w:pPr>
        <w:shd w:val="clear" w:color="auto" w:fill="FFFFFF"/>
        <w:tabs>
          <w:tab w:val="left" w:pos="7920"/>
        </w:tabs>
        <w:rPr>
          <w:rFonts w:eastAsia="Times New Roman" w:cs="Times New Roman"/>
          <w:color w:val="2A2A2A"/>
          <w:szCs w:val="20"/>
          <w:lang w:val="es-ES"/>
        </w:rPr>
      </w:pPr>
    </w:p>
    <w:p w14:paraId="75B7FC1F" w14:textId="77777777" w:rsidR="00896A9F" w:rsidRPr="009F6FB8" w:rsidRDefault="00896A9F" w:rsidP="00896A9F">
      <w:pPr>
        <w:shd w:val="clear" w:color="auto" w:fill="FFFFFF"/>
        <w:tabs>
          <w:tab w:val="left" w:pos="7920"/>
        </w:tabs>
        <w:rPr>
          <w:rFonts w:eastAsia="Times New Roman" w:cs="Times New Roman"/>
          <w:color w:val="2A2A2A"/>
          <w:szCs w:val="20"/>
          <w:lang w:val="es-ES"/>
        </w:rPr>
      </w:pPr>
      <w:r w:rsidRPr="009F6FB8">
        <w:rPr>
          <w:rFonts w:eastAsia="Times New Roman" w:cs="Times New Roman"/>
          <w:b/>
          <w:bCs/>
          <w:color w:val="2A2A2A"/>
          <w:szCs w:val="20"/>
          <w:lang w:val="es-ES"/>
        </w:rPr>
        <w:t>El proyecto de ley garantiza la presencia de los pacientes en los principales órganos de participación y gobernanza sanitaria de la Administración General del Estado</w:t>
      </w:r>
      <w:r w:rsidRPr="009F6FB8">
        <w:rPr>
          <w:rFonts w:eastAsia="Times New Roman" w:cs="Times New Roman"/>
          <w:color w:val="2A2A2A"/>
          <w:szCs w:val="20"/>
          <w:lang w:val="es-ES"/>
        </w:rPr>
        <w:t>. Entre ellos, destaca el Comité Consultivo del Sistema Nacional de Salud, donde se asegura la participación permanente de ocho representantes de las organizaciones de pacientes mediante la modificación de la Ley de cohesión y calidad del Sistema Nacional de Salud.</w:t>
      </w:r>
    </w:p>
    <w:p w14:paraId="2E501F68" w14:textId="77777777" w:rsidR="00896A9F" w:rsidRPr="009F6FB8" w:rsidRDefault="00896A9F" w:rsidP="00896A9F">
      <w:pPr>
        <w:shd w:val="clear" w:color="auto" w:fill="FFFFFF"/>
        <w:tabs>
          <w:tab w:val="left" w:pos="7920"/>
        </w:tabs>
        <w:rPr>
          <w:rFonts w:eastAsia="Times New Roman" w:cs="Times New Roman"/>
          <w:color w:val="2A2A2A"/>
          <w:szCs w:val="20"/>
          <w:lang w:val="es-ES"/>
        </w:rPr>
      </w:pPr>
    </w:p>
    <w:p w14:paraId="52D1B338" w14:textId="77777777" w:rsidR="00896A9F" w:rsidRPr="009F6FB8" w:rsidRDefault="00896A9F" w:rsidP="00896A9F">
      <w:pPr>
        <w:shd w:val="clear" w:color="auto" w:fill="FFFFFF"/>
        <w:tabs>
          <w:tab w:val="left" w:pos="7920"/>
        </w:tabs>
        <w:rPr>
          <w:rFonts w:eastAsia="Times New Roman" w:cs="Times New Roman"/>
          <w:color w:val="2A2A2A"/>
          <w:szCs w:val="20"/>
          <w:lang w:val="es-ES"/>
        </w:rPr>
      </w:pPr>
      <w:r w:rsidRPr="009F6FB8">
        <w:rPr>
          <w:rFonts w:eastAsia="Times New Roman" w:cs="Times New Roman"/>
          <w:color w:val="2A2A2A"/>
          <w:szCs w:val="20"/>
          <w:lang w:val="es-ES"/>
        </w:rPr>
        <w:t>Asimismo, las organizaciones de pacientes podrán participar en otros espacios estratégicos vinculados a las políticas de salud y a la evaluación e incorporación de innovaciones sanitarias, como el Foro Abierto de Salud, el Consejo de Gobernanza del sistema para la evaluación de la eficiencia de las tecnologías sanitarias y el Grupo de adopción de tecnologías sanitarias.</w:t>
      </w:r>
    </w:p>
    <w:p w14:paraId="51D54E66" w14:textId="77777777" w:rsidR="00896A9F" w:rsidRPr="009F6FB8" w:rsidRDefault="00896A9F" w:rsidP="00896A9F">
      <w:pPr>
        <w:shd w:val="clear" w:color="auto" w:fill="FFFFFF"/>
        <w:tabs>
          <w:tab w:val="left" w:pos="7920"/>
        </w:tabs>
        <w:rPr>
          <w:rFonts w:eastAsia="Times New Roman" w:cs="Times New Roman"/>
          <w:color w:val="2A2A2A"/>
          <w:szCs w:val="20"/>
          <w:lang w:val="es-ES"/>
        </w:rPr>
      </w:pPr>
    </w:p>
    <w:p w14:paraId="7F2D7DD6" w14:textId="77777777" w:rsidR="00896A9F" w:rsidRPr="009F6FB8" w:rsidRDefault="00896A9F" w:rsidP="00896A9F">
      <w:pPr>
        <w:shd w:val="clear" w:color="auto" w:fill="FFFFFF"/>
        <w:tabs>
          <w:tab w:val="left" w:pos="7920"/>
        </w:tabs>
        <w:rPr>
          <w:rFonts w:eastAsia="Times New Roman" w:cs="Times New Roman"/>
          <w:color w:val="2A2A2A"/>
          <w:szCs w:val="20"/>
          <w:lang w:val="es-ES"/>
        </w:rPr>
      </w:pPr>
      <w:r w:rsidRPr="009F6FB8">
        <w:rPr>
          <w:rFonts w:eastAsia="Times New Roman" w:cs="Times New Roman"/>
          <w:color w:val="2A2A2A"/>
          <w:szCs w:val="20"/>
          <w:lang w:val="es-ES"/>
        </w:rPr>
        <w:t>La norma también regula la Mesa para la Participación de Pacientes, como espacio estable de diálogo con el Ministerio de Sanidad, y crea el Censo Estatal de Organizaciones de Pacientes de Ámbito Estatal para reforzar su reconocimiento institucional y facilitar su relación con la Administración.</w:t>
      </w:r>
    </w:p>
    <w:p w14:paraId="0F417255" w14:textId="77777777" w:rsidR="00896A9F" w:rsidRPr="009F6FB8" w:rsidRDefault="00896A9F" w:rsidP="00896A9F">
      <w:pPr>
        <w:shd w:val="clear" w:color="auto" w:fill="FFFFFF"/>
        <w:tabs>
          <w:tab w:val="left" w:pos="7920"/>
        </w:tabs>
        <w:rPr>
          <w:rFonts w:eastAsia="Times New Roman" w:cs="Times New Roman"/>
          <w:color w:val="2A2A2A"/>
          <w:szCs w:val="20"/>
          <w:lang w:val="es-ES"/>
        </w:rPr>
      </w:pPr>
    </w:p>
    <w:p w14:paraId="5CCBD675" w14:textId="77777777" w:rsidR="00896A9F" w:rsidRPr="009F6FB8" w:rsidRDefault="00896A9F" w:rsidP="00896A9F">
      <w:pPr>
        <w:shd w:val="clear" w:color="auto" w:fill="FFFFFF"/>
        <w:tabs>
          <w:tab w:val="left" w:pos="7920"/>
        </w:tabs>
        <w:rPr>
          <w:rFonts w:eastAsia="Times New Roman" w:cs="Times New Roman"/>
          <w:color w:val="2A2A2A"/>
          <w:szCs w:val="20"/>
          <w:lang w:val="es-ES"/>
        </w:rPr>
      </w:pPr>
      <w:r w:rsidRPr="009F6FB8">
        <w:rPr>
          <w:rFonts w:eastAsia="Times New Roman" w:cs="Times New Roman"/>
          <w:color w:val="2A2A2A"/>
          <w:szCs w:val="20"/>
          <w:lang w:val="es-ES"/>
        </w:rPr>
        <w:t>La participación en estos órganos se regirá por criterios objetivos de representatividad, implantación territorial, trayectoria y especialización, garantizando en todo caso la presencia de las enfermedades raras.</w:t>
      </w:r>
    </w:p>
    <w:p w14:paraId="12EF2D75" w14:textId="77777777" w:rsidR="00896A9F" w:rsidRPr="009F6FB8" w:rsidRDefault="00896A9F" w:rsidP="00896A9F">
      <w:pPr>
        <w:shd w:val="clear" w:color="auto" w:fill="FFFFFF"/>
        <w:tabs>
          <w:tab w:val="left" w:pos="7920"/>
        </w:tabs>
        <w:rPr>
          <w:rFonts w:eastAsia="Times New Roman" w:cs="Times New Roman"/>
          <w:color w:val="2A2A2A"/>
          <w:szCs w:val="20"/>
          <w:lang w:val="es-ES"/>
        </w:rPr>
      </w:pPr>
    </w:p>
    <w:p w14:paraId="7CAFAB01" w14:textId="77777777" w:rsidR="00896A9F" w:rsidRPr="009F6FB8" w:rsidRDefault="00896A9F" w:rsidP="00896A9F">
      <w:pPr>
        <w:shd w:val="clear" w:color="auto" w:fill="FFFFFF"/>
        <w:tabs>
          <w:tab w:val="left" w:pos="7920"/>
        </w:tabs>
        <w:rPr>
          <w:rFonts w:eastAsia="Times New Roman" w:cs="Times New Roman"/>
          <w:color w:val="2A2A2A"/>
          <w:szCs w:val="20"/>
          <w:lang w:val="es-ES"/>
        </w:rPr>
      </w:pPr>
      <w:r w:rsidRPr="009F6FB8">
        <w:rPr>
          <w:rFonts w:eastAsia="Times New Roman" w:cs="Times New Roman"/>
          <w:color w:val="2A2A2A"/>
          <w:szCs w:val="20"/>
          <w:lang w:val="es-ES"/>
        </w:rPr>
        <w:t>Con esta iniciativa, el Ministerio de Sanidad da un paso decisivo para integrar de forma estable la experiencia y la voz de los pacientes en la gobernanza del Sistema Nacional de Salud, avanzando hacia un modelo más participativo, transparente y centrado en las personas.</w:t>
      </w:r>
    </w:p>
    <w:p w14:paraId="1EBACF48" w14:textId="77777777" w:rsidR="007D0C90" w:rsidRDefault="007D0C90" w:rsidP="00AC357F">
      <w:pPr>
        <w:rPr>
          <w:rFonts w:eastAsia="Times New Roman" w:cs="Times New Roman"/>
          <w:szCs w:val="20"/>
          <w:lang w:val="es-ES"/>
        </w:rPr>
        <w:sectPr w:rsidR="007D0C90" w:rsidSect="007D0C90">
          <w:type w:val="continuous"/>
          <w:pgSz w:w="12240" w:h="15840" w:code="1"/>
          <w:pgMar w:top="720" w:right="720" w:bottom="720" w:left="720" w:header="288" w:footer="288" w:gutter="0"/>
          <w:cols w:num="2" w:space="288"/>
          <w:docGrid w:linePitch="360"/>
        </w:sectPr>
      </w:pPr>
    </w:p>
    <w:p w14:paraId="7919DC5D" w14:textId="4FC39F15" w:rsidR="00AC357F" w:rsidRPr="00AC357F" w:rsidRDefault="00AC357F" w:rsidP="00AC357F">
      <w:pPr>
        <w:rPr>
          <w:rFonts w:eastAsia="Times New Roman" w:cs="Times New Roman"/>
          <w:szCs w:val="20"/>
          <w:lang w:val="es-ES"/>
        </w:rPr>
      </w:pPr>
    </w:p>
    <w:p w14:paraId="2F5255DD" w14:textId="77777777" w:rsidR="00AC357F" w:rsidRDefault="00AC357F" w:rsidP="00057E97">
      <w:pPr>
        <w:jc w:val="center"/>
        <w:rPr>
          <w:rFonts w:eastAsia="Times New Roman" w:cs="Times New Roman"/>
          <w:szCs w:val="20"/>
        </w:rPr>
      </w:pPr>
    </w:p>
    <w:p w14:paraId="13F3B49D" w14:textId="0B33E82B" w:rsidR="00057E97" w:rsidRDefault="00057E97" w:rsidP="00057E97">
      <w:pPr>
        <w:jc w:val="center"/>
        <w:rPr>
          <w:b/>
          <w:bCs/>
        </w:rPr>
      </w:pPr>
      <w:r>
        <w:rPr>
          <w:rFonts w:eastAsia="Times New Roman" w:cs="Times New Roman"/>
          <w:szCs w:val="20"/>
        </w:rPr>
        <w:t xml:space="preserve">Francia. </w:t>
      </w:r>
      <w:r>
        <w:rPr>
          <w:b/>
          <w:bCs/>
        </w:rPr>
        <w:t xml:space="preserve">Exposición ambiental al </w:t>
      </w:r>
      <w:r w:rsidRPr="00261205">
        <w:rPr>
          <w:b/>
          <w:bCs/>
          <w:i/>
          <w:iCs/>
        </w:rPr>
        <w:t>ácido valproico</w:t>
      </w:r>
      <w:r>
        <w:rPr>
          <w:b/>
          <w:bCs/>
        </w:rPr>
        <w:t xml:space="preserve">: Sanofi bajo investigación formal </w:t>
      </w:r>
    </w:p>
    <w:p w14:paraId="0764A2A3" w14:textId="77777777" w:rsidR="00057E97" w:rsidRPr="00B203A6" w:rsidRDefault="00057E97" w:rsidP="00057E97">
      <w:pPr>
        <w:jc w:val="center"/>
        <w:rPr>
          <w:b/>
          <w:bCs/>
          <w:lang w:val="en-US"/>
        </w:rPr>
      </w:pPr>
      <w:r w:rsidRPr="00B203A6">
        <w:rPr>
          <w:lang w:val="en-US"/>
        </w:rPr>
        <w:t>(</w:t>
      </w:r>
      <w:r w:rsidRPr="00B203A6">
        <w:rPr>
          <w:i/>
          <w:iCs/>
          <w:lang w:val="en-US"/>
        </w:rPr>
        <w:t>Environmental exposure to valproic acid: Sanofi under formal investigation</w:t>
      </w:r>
      <w:r w:rsidRPr="00B203A6">
        <w:rPr>
          <w:lang w:val="en-US"/>
        </w:rPr>
        <w:t>)</w:t>
      </w:r>
    </w:p>
    <w:p w14:paraId="3ABFF226" w14:textId="77777777" w:rsidR="00057E97" w:rsidRDefault="00057E97" w:rsidP="00057E97">
      <w:pPr>
        <w:jc w:val="center"/>
      </w:pPr>
      <w:proofErr w:type="spellStart"/>
      <w:r>
        <w:rPr>
          <w:i/>
          <w:iCs/>
        </w:rPr>
        <w:t>Prescrire</w:t>
      </w:r>
      <w:proofErr w:type="spellEnd"/>
      <w:r>
        <w:rPr>
          <w:i/>
          <w:iCs/>
        </w:rPr>
        <w:t xml:space="preserve"> International</w:t>
      </w:r>
      <w:r>
        <w:t xml:space="preserve"> 2026; 35 (281): 139</w:t>
      </w:r>
    </w:p>
    <w:p w14:paraId="70B978B7" w14:textId="3087135D" w:rsidR="00057E97" w:rsidRDefault="00057E97" w:rsidP="00057E97">
      <w:pPr>
        <w:jc w:val="center"/>
        <w:rPr>
          <w:rFonts w:eastAsia="Times New Roman" w:cs="Times New Roman"/>
          <w:bCs/>
          <w:i/>
          <w:iCs/>
          <w:color w:val="000000" w:themeColor="text1"/>
          <w:szCs w:val="16"/>
          <w:lang w:val="es-ES"/>
        </w:rPr>
      </w:pPr>
      <w:r w:rsidRPr="00E97E55">
        <w:rPr>
          <w:rFonts w:cs="Times New Roman"/>
          <w:szCs w:val="20"/>
        </w:rPr>
        <w:t>Traducido por Salud y Fármacos, publicado en</w:t>
      </w:r>
      <w:r>
        <w:rPr>
          <w:rFonts w:cs="Times New Roman"/>
          <w:i/>
          <w:iCs/>
          <w:szCs w:val="20"/>
        </w:rPr>
        <w:t xml:space="preserve"> </w:t>
      </w:r>
      <w:r w:rsidRPr="00CA5ACC">
        <w:rPr>
          <w:rFonts w:cs="Times New Roman"/>
          <w:i/>
          <w:iCs/>
          <w:szCs w:val="20"/>
        </w:rPr>
        <w:t xml:space="preserve">Boletín Fármacos: </w:t>
      </w:r>
      <w:proofErr w:type="spellStart"/>
      <w:r w:rsidR="009D084B">
        <w:rPr>
          <w:rFonts w:cs="Times New Roman"/>
          <w:i/>
          <w:iCs/>
          <w:szCs w:val="20"/>
        </w:rPr>
        <w:t>Age</w:t>
      </w:r>
      <w:r>
        <w:rPr>
          <w:rFonts w:cs="Times New Roman"/>
          <w:i/>
          <w:iCs/>
          <w:szCs w:val="20"/>
        </w:rPr>
        <w:t>n</w:t>
      </w:r>
      <w:r>
        <w:rPr>
          <w:rFonts w:eastAsia="Times New Roman" w:cs="Times New Roman"/>
          <w:bCs/>
          <w:i/>
          <w:iCs/>
          <w:color w:val="000000" w:themeColor="text1"/>
          <w:szCs w:val="16"/>
          <w:lang w:val="es-ES"/>
        </w:rPr>
        <w:t>cia</w:t>
      </w:r>
      <w:r w:rsidR="009D084B">
        <w:rPr>
          <w:rFonts w:eastAsia="Times New Roman" w:cs="Times New Roman"/>
          <w:bCs/>
          <w:i/>
          <w:iCs/>
          <w:color w:val="000000" w:themeColor="text1"/>
          <w:szCs w:val="16"/>
          <w:lang w:val="es-ES"/>
        </w:rPr>
        <w:t>s</w:t>
      </w:r>
      <w:proofErr w:type="spellEnd"/>
      <w:r w:rsidR="009D084B">
        <w:rPr>
          <w:rFonts w:eastAsia="Times New Roman" w:cs="Times New Roman"/>
          <w:bCs/>
          <w:i/>
          <w:iCs/>
          <w:color w:val="000000" w:themeColor="text1"/>
          <w:szCs w:val="16"/>
          <w:lang w:val="es-ES"/>
        </w:rPr>
        <w:t xml:space="preserve"> Reguladoras</w:t>
      </w:r>
      <w:r w:rsidRPr="00A82C9C">
        <w:rPr>
          <w:rFonts w:eastAsia="Times New Roman" w:cs="Times New Roman"/>
          <w:bCs/>
          <w:i/>
          <w:iCs/>
          <w:color w:val="000000" w:themeColor="text1"/>
          <w:szCs w:val="16"/>
          <w:lang w:val="es-ES"/>
        </w:rPr>
        <w:t xml:space="preserve"> 202</w:t>
      </w:r>
      <w:r>
        <w:rPr>
          <w:rFonts w:eastAsia="Times New Roman" w:cs="Times New Roman"/>
          <w:bCs/>
          <w:i/>
          <w:iCs/>
          <w:color w:val="000000" w:themeColor="text1"/>
          <w:szCs w:val="16"/>
          <w:lang w:val="es-ES"/>
        </w:rPr>
        <w:t>6</w:t>
      </w:r>
      <w:r w:rsidRPr="00A82C9C">
        <w:rPr>
          <w:rFonts w:eastAsia="Times New Roman" w:cs="Times New Roman"/>
          <w:bCs/>
          <w:i/>
          <w:iCs/>
          <w:color w:val="000000" w:themeColor="text1"/>
          <w:szCs w:val="16"/>
          <w:lang w:val="es-ES"/>
        </w:rPr>
        <w:t>; 2</w:t>
      </w:r>
      <w:r>
        <w:rPr>
          <w:rFonts w:eastAsia="Times New Roman" w:cs="Times New Roman"/>
          <w:bCs/>
          <w:i/>
          <w:iCs/>
          <w:color w:val="000000" w:themeColor="text1"/>
          <w:szCs w:val="16"/>
          <w:lang w:val="es-ES"/>
        </w:rPr>
        <w:t>9(3)</w:t>
      </w:r>
    </w:p>
    <w:p w14:paraId="1658E750" w14:textId="77777777" w:rsidR="00057E97" w:rsidRDefault="00057E97" w:rsidP="00057E97">
      <w:pPr>
        <w:jc w:val="center"/>
      </w:pPr>
    </w:p>
    <w:p w14:paraId="709A9065" w14:textId="77777777" w:rsidR="007D0C90" w:rsidRDefault="007D0C90" w:rsidP="00057E97">
      <w:pPr>
        <w:rPr>
          <w:b/>
          <w:bCs/>
          <w:sz w:val="18"/>
          <w:szCs w:val="18"/>
        </w:rPr>
        <w:sectPr w:rsidR="007D0C90" w:rsidSect="00F25512">
          <w:type w:val="continuous"/>
          <w:pgSz w:w="12240" w:h="15840" w:code="1"/>
          <w:pgMar w:top="720" w:right="720" w:bottom="720" w:left="720" w:header="288" w:footer="288" w:gutter="0"/>
          <w:cols w:space="288"/>
          <w:docGrid w:linePitch="360"/>
        </w:sectPr>
      </w:pPr>
    </w:p>
    <w:p w14:paraId="6BAEB204" w14:textId="7FAED126" w:rsidR="00057E97" w:rsidRPr="00CC7892" w:rsidRDefault="00057E97" w:rsidP="00057E97">
      <w:pPr>
        <w:rPr>
          <w:b/>
          <w:bCs/>
          <w:sz w:val="18"/>
          <w:szCs w:val="18"/>
        </w:rPr>
      </w:pPr>
      <w:r w:rsidRPr="00CC7892">
        <w:rPr>
          <w:b/>
          <w:bCs/>
          <w:sz w:val="18"/>
          <w:szCs w:val="18"/>
        </w:rPr>
        <w:t xml:space="preserve">Tags: </w:t>
      </w:r>
      <w:proofErr w:type="spellStart"/>
      <w:r w:rsidRPr="00CC7892">
        <w:rPr>
          <w:b/>
          <w:bCs/>
          <w:color w:val="000000"/>
          <w:sz w:val="18"/>
          <w:szCs w:val="18"/>
        </w:rPr>
        <w:t>Dépakine</w:t>
      </w:r>
      <w:proofErr w:type="spellEnd"/>
      <w:r w:rsidRPr="00CC7892">
        <w:rPr>
          <w:b/>
          <w:bCs/>
          <w:sz w:val="18"/>
          <w:szCs w:val="18"/>
        </w:rPr>
        <w:t xml:space="preserve">, </w:t>
      </w:r>
      <w:proofErr w:type="spellStart"/>
      <w:r w:rsidRPr="00CC7892">
        <w:rPr>
          <w:b/>
          <w:bCs/>
          <w:sz w:val="18"/>
          <w:szCs w:val="18"/>
        </w:rPr>
        <w:t>Depakene</w:t>
      </w:r>
      <w:proofErr w:type="spellEnd"/>
      <w:r w:rsidRPr="00CC7892">
        <w:rPr>
          <w:b/>
          <w:bCs/>
          <w:sz w:val="18"/>
          <w:szCs w:val="18"/>
        </w:rPr>
        <w:t xml:space="preserve">, </w:t>
      </w:r>
      <w:proofErr w:type="spellStart"/>
      <w:r w:rsidRPr="00CC7892">
        <w:rPr>
          <w:b/>
          <w:bCs/>
          <w:sz w:val="18"/>
          <w:szCs w:val="18"/>
        </w:rPr>
        <w:t>Depaquene</w:t>
      </w:r>
      <w:proofErr w:type="spellEnd"/>
      <w:r w:rsidRPr="00CC7892">
        <w:rPr>
          <w:b/>
          <w:bCs/>
          <w:sz w:val="18"/>
          <w:szCs w:val="18"/>
        </w:rPr>
        <w:t xml:space="preserve">, </w:t>
      </w:r>
      <w:r>
        <w:rPr>
          <w:b/>
          <w:bCs/>
          <w:sz w:val="18"/>
          <w:szCs w:val="18"/>
        </w:rPr>
        <w:t>e</w:t>
      </w:r>
      <w:r w:rsidRPr="00CC7892">
        <w:rPr>
          <w:b/>
          <w:bCs/>
          <w:sz w:val="18"/>
          <w:szCs w:val="18"/>
        </w:rPr>
        <w:t xml:space="preserve">xposición ambiental al </w:t>
      </w:r>
      <w:r w:rsidRPr="00CC7892">
        <w:rPr>
          <w:b/>
          <w:bCs/>
          <w:i/>
          <w:iCs/>
          <w:sz w:val="18"/>
          <w:szCs w:val="18"/>
        </w:rPr>
        <w:t>ácido valproico</w:t>
      </w:r>
      <w:r w:rsidRPr="00CC7892">
        <w:rPr>
          <w:b/>
          <w:bCs/>
          <w:sz w:val="18"/>
          <w:szCs w:val="18"/>
        </w:rPr>
        <w:t xml:space="preserve">, Sanofi y contaminación ambiental, </w:t>
      </w:r>
      <w:proofErr w:type="spellStart"/>
      <w:r w:rsidRPr="00CC7892">
        <w:rPr>
          <w:b/>
          <w:bCs/>
          <w:sz w:val="18"/>
          <w:szCs w:val="18"/>
        </w:rPr>
        <w:t>bromopropano</w:t>
      </w:r>
      <w:proofErr w:type="spellEnd"/>
      <w:r w:rsidRPr="00CC7892">
        <w:rPr>
          <w:b/>
          <w:bCs/>
          <w:sz w:val="18"/>
          <w:szCs w:val="18"/>
        </w:rPr>
        <w:t xml:space="preserve">, químicos </w:t>
      </w:r>
      <w:proofErr w:type="spellStart"/>
      <w:r w:rsidRPr="00CC7892">
        <w:rPr>
          <w:b/>
          <w:bCs/>
          <w:sz w:val="18"/>
          <w:szCs w:val="18"/>
        </w:rPr>
        <w:t>reprotóxicos</w:t>
      </w:r>
      <w:proofErr w:type="spellEnd"/>
      <w:r w:rsidRPr="00CC7892">
        <w:rPr>
          <w:b/>
          <w:bCs/>
          <w:sz w:val="18"/>
          <w:szCs w:val="18"/>
        </w:rPr>
        <w:t xml:space="preserve">, tóxico para la reproducción, carcinógenos, </w:t>
      </w:r>
      <w:r w:rsidRPr="00CC7892">
        <w:rPr>
          <w:b/>
          <w:bCs/>
          <w:i/>
          <w:iCs/>
          <w:sz w:val="18"/>
          <w:szCs w:val="18"/>
        </w:rPr>
        <w:t>ácido valproico,</w:t>
      </w:r>
      <w:r w:rsidRPr="00CC7892">
        <w:rPr>
          <w:b/>
          <w:bCs/>
          <w:sz w:val="18"/>
          <w:szCs w:val="18"/>
        </w:rPr>
        <w:t xml:space="preserve"> emisiones atmosféricas de </w:t>
      </w:r>
      <w:r w:rsidRPr="00CC7892">
        <w:rPr>
          <w:b/>
          <w:bCs/>
          <w:i/>
          <w:iCs/>
          <w:sz w:val="18"/>
          <w:szCs w:val="18"/>
        </w:rPr>
        <w:t xml:space="preserve">valproato de sodio, </w:t>
      </w:r>
      <w:proofErr w:type="spellStart"/>
      <w:r w:rsidRPr="00CC7892">
        <w:rPr>
          <w:b/>
          <w:bCs/>
          <w:sz w:val="18"/>
          <w:szCs w:val="18"/>
        </w:rPr>
        <w:t>Ineris</w:t>
      </w:r>
      <w:proofErr w:type="spellEnd"/>
    </w:p>
    <w:p w14:paraId="27F02802" w14:textId="77777777" w:rsidR="00057E97" w:rsidRDefault="00057E97" w:rsidP="00057E97">
      <w:pPr>
        <w:rPr>
          <w:b/>
          <w:bCs/>
        </w:rPr>
      </w:pPr>
    </w:p>
    <w:p w14:paraId="433BA593" w14:textId="77777777" w:rsidR="00057E97" w:rsidRDefault="00057E97" w:rsidP="00057E97">
      <w:pPr>
        <w:ind w:left="180" w:hanging="180"/>
      </w:pPr>
      <w:r>
        <w:t xml:space="preserve">● La fábrica de </w:t>
      </w:r>
      <w:proofErr w:type="spellStart"/>
      <w:r>
        <w:t>Depakine</w:t>
      </w:r>
      <w:proofErr w:type="spellEnd"/>
      <w:r>
        <w:t xml:space="preserve"> en Francia está bajo sospecha de negligencia grave en su manejo de emisiones peligrosas y en su responsabilidad de garantizar la salud y la seguridad de sus empleados.</w:t>
      </w:r>
    </w:p>
    <w:p w14:paraId="624BD1DD" w14:textId="77777777" w:rsidR="00057E97" w:rsidRDefault="00057E97" w:rsidP="00057E97"/>
    <w:p w14:paraId="11BF06D8" w14:textId="77777777" w:rsidR="00057E97" w:rsidRDefault="00057E97" w:rsidP="00057E97">
      <w:r>
        <w:t xml:space="preserve">La mayoría del </w:t>
      </w:r>
      <w:r>
        <w:rPr>
          <w:i/>
          <w:iCs/>
        </w:rPr>
        <w:t xml:space="preserve">ácido valproico </w:t>
      </w:r>
      <w:r>
        <w:t xml:space="preserve">producido por Sanofi a nivel mundial proviene de una fábrica ubicada en Francia [1]. En 2018, Sanofi tardó en notificar a las autoridades que la fábrica había excedido considerablemente los umbrales permitidos para ciertas emisiones atmosféricas. Las sustancias en cuestión —incluyendo el </w:t>
      </w:r>
      <w:proofErr w:type="spellStart"/>
      <w:r>
        <w:t>bromopropano</w:t>
      </w:r>
      <w:proofErr w:type="spellEnd"/>
      <w:r>
        <w:t xml:space="preserve">, que se clasifica como un producto químico </w:t>
      </w:r>
      <w:proofErr w:type="spellStart"/>
      <w:r>
        <w:t>reprotóxico</w:t>
      </w:r>
      <w:proofErr w:type="spellEnd"/>
      <w:r>
        <w:t xml:space="preserve"> (tóxico para la reproducción) y carcinógeno— se utilizan para fabricar </w:t>
      </w:r>
      <w:r>
        <w:rPr>
          <w:i/>
          <w:iCs/>
        </w:rPr>
        <w:t xml:space="preserve">ácido valproico </w:t>
      </w:r>
      <w:r>
        <w:t xml:space="preserve">y se deben monitorear [1-4]. </w:t>
      </w:r>
    </w:p>
    <w:p w14:paraId="68765419" w14:textId="77777777" w:rsidR="00057E97" w:rsidRDefault="00057E97" w:rsidP="00057E97"/>
    <w:p w14:paraId="1E8535CD" w14:textId="77777777" w:rsidR="00057E97" w:rsidRDefault="00057E97" w:rsidP="00057E97">
      <w:r>
        <w:t xml:space="preserve">Por consiguiente, las autoridades de salud y medio ambientales de Francia solicitaron a Sanofi que midiera las emisiones atmosféricas de </w:t>
      </w:r>
      <w:r>
        <w:rPr>
          <w:i/>
          <w:iCs/>
        </w:rPr>
        <w:t>valproato de sodio</w:t>
      </w:r>
      <w:r>
        <w:t xml:space="preserve">, que no se habían monitoreado previamente [3]. Sanofi encargó un informe a una organización de investigación privada. </w:t>
      </w:r>
    </w:p>
    <w:p w14:paraId="776DB078" w14:textId="77777777" w:rsidR="00057E97" w:rsidRDefault="00057E97" w:rsidP="00057E97"/>
    <w:p w14:paraId="4617D1DF" w14:textId="77777777" w:rsidR="00057E97" w:rsidRDefault="00057E97" w:rsidP="00057E97">
      <w:r>
        <w:t xml:space="preserve">Los hallazgos relacionados con la exposición de la población local a las emisiones de </w:t>
      </w:r>
      <w:r>
        <w:rPr>
          <w:i/>
          <w:iCs/>
        </w:rPr>
        <w:t>ácido valproico</w:t>
      </w:r>
      <w:r>
        <w:t xml:space="preserve"> fueron tranquilizadores. Pero el instituto francés de seguridad industrial y protección del </w:t>
      </w:r>
      <w:r>
        <w:t>medio ambiente (</w:t>
      </w:r>
      <w:proofErr w:type="spellStart"/>
      <w:r>
        <w:t>Ineris</w:t>
      </w:r>
      <w:proofErr w:type="spellEnd"/>
      <w:r>
        <w:t xml:space="preserve">) cuestionó el informe debido a fallas en la forma en que se midieron las emisiones. </w:t>
      </w:r>
    </w:p>
    <w:p w14:paraId="1ADB2F9B" w14:textId="77777777" w:rsidR="00057E97" w:rsidRDefault="00057E97" w:rsidP="00057E97"/>
    <w:p w14:paraId="65BE0DBF" w14:textId="77777777" w:rsidR="00057E97" w:rsidRDefault="00057E97" w:rsidP="00057E97">
      <w:r>
        <w:t xml:space="preserve">Para el período comprendido entre diciembre de 2015 y marzo de 2017, </w:t>
      </w:r>
      <w:proofErr w:type="spellStart"/>
      <w:r>
        <w:t>Ineris</w:t>
      </w:r>
      <w:proofErr w:type="spellEnd"/>
      <w:r>
        <w:t xml:space="preserve"> estimó que las emisiones atmosféricas de </w:t>
      </w:r>
      <w:r>
        <w:rPr>
          <w:i/>
          <w:iCs/>
        </w:rPr>
        <w:t xml:space="preserve">ácido valproico </w:t>
      </w:r>
      <w:r>
        <w:t xml:space="preserve">se habían situado entre 13 y 20 toneladas al año. No pudo estimar las emisiones antes de 2015. Los niveles de emisión disminuyeron después de marzo de 2017, después de que se corrigieran los problemas en la infraestructura de la fábrica, pero en 2023 se volvieron a registrar emisiones excesivas de </w:t>
      </w:r>
      <w:proofErr w:type="spellStart"/>
      <w:r>
        <w:t>bromopropano</w:t>
      </w:r>
      <w:proofErr w:type="spellEnd"/>
      <w:r>
        <w:t xml:space="preserve"> [1, 5].</w:t>
      </w:r>
    </w:p>
    <w:p w14:paraId="47223A51" w14:textId="77777777" w:rsidR="00057E97" w:rsidRDefault="00057E97" w:rsidP="00057E97"/>
    <w:p w14:paraId="07241EC7" w14:textId="77777777" w:rsidR="00057E97" w:rsidRDefault="00057E97" w:rsidP="00057E97">
      <w:r>
        <w:t xml:space="preserve">En 2018, los análisis de sangre de los empleados de la fábrica revelaron la presencia de </w:t>
      </w:r>
      <w:r>
        <w:rPr>
          <w:i/>
          <w:iCs/>
        </w:rPr>
        <w:t>ácido valproico</w:t>
      </w:r>
      <w:r>
        <w:t>. Sanofi informó que estaba cumpliendo con un valor biológico límite (VBL) que no era aplicable a las embarazadas, con el argumento de que estaban “</w:t>
      </w:r>
      <w:r>
        <w:rPr>
          <w:i/>
          <w:iCs/>
        </w:rPr>
        <w:t>excluidas de las tareas relacionadas con el valproato</w:t>
      </w:r>
      <w:r>
        <w:t>”. Sin embargo, los VBL deben aplicarse a todos los empleados, incluyendo a las mujeres en edad fértil, los empleados que trabajan fuera de las áreas de fabricación y los que desempeñan funciones administrativas [6].</w:t>
      </w:r>
    </w:p>
    <w:p w14:paraId="0FBD7A9C" w14:textId="77777777" w:rsidR="00057E97" w:rsidRDefault="00057E97" w:rsidP="00057E97"/>
    <w:p w14:paraId="73155CA1" w14:textId="77777777" w:rsidR="00057E97" w:rsidRDefault="00057E97" w:rsidP="00057E97">
      <w:r>
        <w:t xml:space="preserve">Además, se ha detectado </w:t>
      </w:r>
      <w:r>
        <w:rPr>
          <w:i/>
          <w:iCs/>
        </w:rPr>
        <w:t>ácido valproico</w:t>
      </w:r>
      <w:r>
        <w:t xml:space="preserve"> en la sangre de una madre que vive cerca de la fábrica, cuyos dos hijos tienen un trastorno del espectro autista que concuerda con la exposición intrauterina a </w:t>
      </w:r>
      <w:proofErr w:type="spellStart"/>
      <w:r>
        <w:t>Depakine</w:t>
      </w:r>
      <w:proofErr w:type="spellEnd"/>
      <w:r>
        <w:t>. Esta madre ha presentado una demanda por “</w:t>
      </w:r>
      <w:r>
        <w:rPr>
          <w:i/>
          <w:iCs/>
        </w:rPr>
        <w:t>poner en peligro la vida de otra persona</w:t>
      </w:r>
      <w:r>
        <w:t>” [6].</w:t>
      </w:r>
    </w:p>
    <w:p w14:paraId="158F81E7" w14:textId="77777777" w:rsidR="00057E97" w:rsidRDefault="00057E97" w:rsidP="00057E97"/>
    <w:p w14:paraId="3D7746AC" w14:textId="77777777" w:rsidR="00057E97" w:rsidRDefault="00057E97" w:rsidP="00057E97">
      <w:bookmarkStart w:id="4" w:name="_heading=h.vt44yip2ghih" w:colFirst="0" w:colLast="0"/>
      <w:bookmarkEnd w:id="4"/>
      <w:r>
        <w:lastRenderedPageBreak/>
        <w:t>Después de una investigación legal de seis años, se ha puesto a Sanofi bajo investigación formal por “</w:t>
      </w:r>
      <w:r>
        <w:rPr>
          <w:i/>
          <w:iCs/>
        </w:rPr>
        <w:t xml:space="preserve">manejo inadecuado de una instalación clasificada </w:t>
      </w:r>
      <w:r>
        <w:t>[una instalación sujeta a regulaciones específicas para la protección ambiental]” y por “</w:t>
      </w:r>
      <w:r>
        <w:rPr>
          <w:i/>
          <w:iCs/>
        </w:rPr>
        <w:t>no notificar un accidente o incidente</w:t>
      </w:r>
      <w:r>
        <w:t>”</w:t>
      </w:r>
      <w:r>
        <w:rPr>
          <w:i/>
          <w:iCs/>
        </w:rPr>
        <w:t xml:space="preserve">. </w:t>
      </w:r>
      <w:r>
        <w:t>La empresa farmacéutica también ha sido interrogada como testigo material (</w:t>
      </w:r>
      <w:proofErr w:type="spellStart"/>
      <w:r>
        <w:rPr>
          <w:i/>
          <w:iCs/>
        </w:rPr>
        <w:t>témoin</w:t>
      </w:r>
      <w:proofErr w:type="spellEnd"/>
      <w:r>
        <w:rPr>
          <w:i/>
          <w:iCs/>
        </w:rPr>
        <w:t xml:space="preserve"> </w:t>
      </w:r>
      <w:proofErr w:type="spellStart"/>
      <w:r>
        <w:rPr>
          <w:i/>
          <w:iCs/>
        </w:rPr>
        <w:t>assisté</w:t>
      </w:r>
      <w:proofErr w:type="spellEnd"/>
      <w:r>
        <w:t>, una posición intermedia, en el derecho francés, entre un testigo normal y un sospechoso), en relación con la acusación de “</w:t>
      </w:r>
      <w:r>
        <w:rPr>
          <w:i/>
          <w:iCs/>
        </w:rPr>
        <w:t>poner en peligro la vida de otra persona</w:t>
      </w:r>
      <w:r>
        <w:t>” [7].</w:t>
      </w:r>
    </w:p>
    <w:p w14:paraId="23DF0077" w14:textId="77777777" w:rsidR="00057E97" w:rsidRDefault="00057E97" w:rsidP="00057E97"/>
    <w:p w14:paraId="3D218FC0" w14:textId="77777777" w:rsidR="00057E97" w:rsidRPr="00CC7892" w:rsidRDefault="00057E97" w:rsidP="00057E97">
      <w:pPr>
        <w:rPr>
          <w:b/>
          <w:bCs/>
          <w:sz w:val="18"/>
          <w:szCs w:val="18"/>
        </w:rPr>
      </w:pPr>
      <w:r w:rsidRPr="00CC7892">
        <w:rPr>
          <w:b/>
          <w:bCs/>
          <w:sz w:val="18"/>
          <w:szCs w:val="18"/>
        </w:rPr>
        <w:t>Referencias </w:t>
      </w:r>
    </w:p>
    <w:p w14:paraId="4B948D45" w14:textId="494CB8A2" w:rsidR="00057E97" w:rsidRPr="00B203A6" w:rsidRDefault="00057E97" w:rsidP="002478D5">
      <w:pPr>
        <w:numPr>
          <w:ilvl w:val="0"/>
          <w:numId w:val="16"/>
        </w:numPr>
        <w:pBdr>
          <w:top w:val="nil"/>
          <w:left w:val="nil"/>
          <w:bottom w:val="nil"/>
          <w:right w:val="nil"/>
          <w:between w:val="nil"/>
        </w:pBdr>
        <w:ind w:left="142" w:firstLine="0"/>
        <w:rPr>
          <w:color w:val="000000"/>
          <w:sz w:val="18"/>
          <w:szCs w:val="18"/>
          <w:lang w:val="en-US"/>
        </w:rPr>
      </w:pPr>
      <w:r w:rsidRPr="00B203A6">
        <w:rPr>
          <w:color w:val="000000"/>
          <w:sz w:val="18"/>
          <w:szCs w:val="18"/>
          <w:lang w:val="en-US"/>
        </w:rPr>
        <w:t>Moreau Z “</w:t>
      </w:r>
      <w:proofErr w:type="spellStart"/>
      <w:r w:rsidRPr="00B203A6">
        <w:rPr>
          <w:color w:val="000000"/>
          <w:sz w:val="18"/>
          <w:szCs w:val="18"/>
          <w:lang w:val="en-US"/>
        </w:rPr>
        <w:t>Dépakine</w:t>
      </w:r>
      <w:proofErr w:type="spellEnd"/>
      <w:r w:rsidRPr="00B203A6">
        <w:rPr>
          <w:color w:val="000000"/>
          <w:sz w:val="18"/>
          <w:szCs w:val="18"/>
          <w:lang w:val="en-US"/>
        </w:rPr>
        <w:t xml:space="preserve">. Comment Sanofi a </w:t>
      </w:r>
      <w:proofErr w:type="spellStart"/>
      <w:r w:rsidRPr="00B203A6">
        <w:rPr>
          <w:color w:val="000000"/>
          <w:sz w:val="18"/>
          <w:szCs w:val="18"/>
          <w:lang w:val="en-US"/>
        </w:rPr>
        <w:t>dissimulé</w:t>
      </w:r>
      <w:proofErr w:type="spellEnd"/>
      <w:r w:rsidRPr="00B203A6">
        <w:rPr>
          <w:color w:val="000000"/>
          <w:sz w:val="18"/>
          <w:szCs w:val="18"/>
          <w:lang w:val="en-US"/>
        </w:rPr>
        <w:t xml:space="preserve"> les </w:t>
      </w:r>
      <w:proofErr w:type="spellStart"/>
      <w:r w:rsidRPr="00B203A6">
        <w:rPr>
          <w:color w:val="000000"/>
          <w:sz w:val="18"/>
          <w:szCs w:val="18"/>
          <w:lang w:val="en-US"/>
        </w:rPr>
        <w:t>rejets</w:t>
      </w:r>
      <w:proofErr w:type="spellEnd"/>
      <w:r w:rsidRPr="00B203A6">
        <w:rPr>
          <w:color w:val="000000"/>
          <w:sz w:val="18"/>
          <w:szCs w:val="18"/>
          <w:lang w:val="en-US"/>
        </w:rPr>
        <w:t xml:space="preserve"> </w:t>
      </w:r>
      <w:proofErr w:type="spellStart"/>
      <w:r w:rsidRPr="00B203A6">
        <w:rPr>
          <w:color w:val="000000"/>
          <w:sz w:val="18"/>
          <w:szCs w:val="18"/>
          <w:lang w:val="en-US"/>
        </w:rPr>
        <w:t>toxiques</w:t>
      </w:r>
      <w:proofErr w:type="spellEnd"/>
      <w:r w:rsidR="007D0C90">
        <w:rPr>
          <w:color w:val="000000"/>
          <w:sz w:val="18"/>
          <w:szCs w:val="18"/>
        </w:rPr>
        <w:t>”</w:t>
      </w:r>
      <w:r w:rsidRPr="00B203A6">
        <w:rPr>
          <w:color w:val="000000"/>
          <w:sz w:val="18"/>
          <w:szCs w:val="18"/>
          <w:lang w:val="en-US"/>
        </w:rPr>
        <w:t xml:space="preserve"> </w:t>
      </w:r>
      <w:proofErr w:type="spellStart"/>
      <w:r w:rsidRPr="00B203A6">
        <w:rPr>
          <w:i/>
          <w:iCs/>
          <w:color w:val="000000"/>
          <w:sz w:val="18"/>
          <w:szCs w:val="18"/>
          <w:lang w:val="en-US"/>
        </w:rPr>
        <w:t>Libération</w:t>
      </w:r>
      <w:proofErr w:type="spellEnd"/>
      <w:r w:rsidRPr="00B203A6">
        <w:rPr>
          <w:i/>
          <w:iCs/>
          <w:color w:val="000000"/>
          <w:sz w:val="18"/>
          <w:szCs w:val="18"/>
          <w:lang w:val="en-US"/>
        </w:rPr>
        <w:t xml:space="preserve"> </w:t>
      </w:r>
      <w:r w:rsidRPr="00B203A6">
        <w:rPr>
          <w:color w:val="000000"/>
          <w:sz w:val="18"/>
          <w:szCs w:val="18"/>
          <w:lang w:val="en-US"/>
        </w:rPr>
        <w:t>16</w:t>
      </w:r>
      <w:r w:rsidR="002334B2">
        <w:rPr>
          <w:color w:val="000000"/>
          <w:sz w:val="18"/>
          <w:szCs w:val="18"/>
          <w:lang w:val="en-US"/>
        </w:rPr>
        <w:t xml:space="preserve"> </w:t>
      </w:r>
      <w:r w:rsidRPr="00B203A6">
        <w:rPr>
          <w:color w:val="000000"/>
          <w:sz w:val="18"/>
          <w:szCs w:val="18"/>
          <w:lang w:val="en-US"/>
        </w:rPr>
        <w:t>September 2024: 4 pages.</w:t>
      </w:r>
      <w:r>
        <w:rPr>
          <w:b/>
          <w:bCs/>
          <w:color w:val="000000"/>
          <w:sz w:val="18"/>
          <w:szCs w:val="18"/>
        </w:rPr>
        <w:t> </w:t>
      </w:r>
    </w:p>
    <w:p w14:paraId="1CFC65B6" w14:textId="25601849" w:rsidR="00057E97" w:rsidRDefault="00057E97" w:rsidP="002478D5">
      <w:pPr>
        <w:numPr>
          <w:ilvl w:val="0"/>
          <w:numId w:val="16"/>
        </w:numPr>
        <w:pBdr>
          <w:top w:val="nil"/>
          <w:left w:val="nil"/>
          <w:bottom w:val="nil"/>
          <w:right w:val="nil"/>
          <w:between w:val="nil"/>
        </w:pBdr>
        <w:ind w:left="142" w:firstLine="0"/>
        <w:rPr>
          <w:color w:val="000000"/>
          <w:sz w:val="18"/>
          <w:szCs w:val="18"/>
        </w:rPr>
      </w:pPr>
      <w:r>
        <w:rPr>
          <w:color w:val="000000"/>
          <w:sz w:val="18"/>
          <w:szCs w:val="18"/>
        </w:rPr>
        <w:t xml:space="preserve">France </w:t>
      </w:r>
      <w:proofErr w:type="spellStart"/>
      <w:r>
        <w:rPr>
          <w:color w:val="000000"/>
          <w:sz w:val="18"/>
          <w:szCs w:val="18"/>
        </w:rPr>
        <w:t>Nature</w:t>
      </w:r>
      <w:proofErr w:type="spellEnd"/>
      <w:r>
        <w:rPr>
          <w:color w:val="000000"/>
          <w:sz w:val="18"/>
          <w:szCs w:val="18"/>
        </w:rPr>
        <w:t xml:space="preserve"> </w:t>
      </w:r>
      <w:proofErr w:type="spellStart"/>
      <w:r>
        <w:rPr>
          <w:color w:val="000000"/>
          <w:sz w:val="18"/>
          <w:szCs w:val="18"/>
        </w:rPr>
        <w:t>Environnement</w:t>
      </w:r>
      <w:proofErr w:type="spellEnd"/>
      <w:r>
        <w:rPr>
          <w:color w:val="000000"/>
          <w:sz w:val="18"/>
          <w:szCs w:val="18"/>
        </w:rPr>
        <w:t xml:space="preserve"> “</w:t>
      </w:r>
      <w:proofErr w:type="spellStart"/>
      <w:r>
        <w:rPr>
          <w:color w:val="000000"/>
          <w:sz w:val="18"/>
          <w:szCs w:val="18"/>
        </w:rPr>
        <w:t>Révélations</w:t>
      </w:r>
      <w:proofErr w:type="spellEnd"/>
      <w:r>
        <w:rPr>
          <w:color w:val="000000"/>
          <w:sz w:val="18"/>
          <w:szCs w:val="18"/>
        </w:rPr>
        <w:t xml:space="preserve"> </w:t>
      </w:r>
      <w:proofErr w:type="spellStart"/>
      <w:r>
        <w:rPr>
          <w:color w:val="000000"/>
          <w:sz w:val="18"/>
          <w:szCs w:val="18"/>
        </w:rPr>
        <w:t>inquiétantes</w:t>
      </w:r>
      <w:proofErr w:type="spellEnd"/>
      <w:r>
        <w:rPr>
          <w:color w:val="000000"/>
          <w:sz w:val="18"/>
          <w:szCs w:val="18"/>
        </w:rPr>
        <w:t xml:space="preserve"> sur la </w:t>
      </w:r>
      <w:proofErr w:type="spellStart"/>
      <w:r>
        <w:rPr>
          <w:color w:val="000000"/>
          <w:sz w:val="18"/>
          <w:szCs w:val="18"/>
        </w:rPr>
        <w:t>pollution</w:t>
      </w:r>
      <w:proofErr w:type="spellEnd"/>
      <w:r>
        <w:rPr>
          <w:color w:val="000000"/>
          <w:sz w:val="18"/>
          <w:szCs w:val="18"/>
        </w:rPr>
        <w:t xml:space="preserve"> de Sanofi à </w:t>
      </w:r>
      <w:proofErr w:type="spellStart"/>
      <w:r>
        <w:rPr>
          <w:color w:val="000000"/>
          <w:sz w:val="18"/>
          <w:szCs w:val="18"/>
        </w:rPr>
        <w:t>Lacq</w:t>
      </w:r>
      <w:proofErr w:type="spellEnd"/>
      <w:r>
        <w:rPr>
          <w:color w:val="000000"/>
          <w:sz w:val="18"/>
          <w:szCs w:val="18"/>
        </w:rPr>
        <w:t>” 8</w:t>
      </w:r>
      <w:r w:rsidR="002334B2">
        <w:rPr>
          <w:color w:val="000000"/>
          <w:sz w:val="18"/>
          <w:szCs w:val="18"/>
        </w:rPr>
        <w:t xml:space="preserve"> </w:t>
      </w:r>
      <w:proofErr w:type="spellStart"/>
      <w:r>
        <w:rPr>
          <w:color w:val="000000"/>
          <w:sz w:val="18"/>
          <w:szCs w:val="18"/>
        </w:rPr>
        <w:t>July</w:t>
      </w:r>
      <w:proofErr w:type="spellEnd"/>
      <w:r>
        <w:rPr>
          <w:color w:val="000000"/>
          <w:sz w:val="18"/>
          <w:szCs w:val="18"/>
        </w:rPr>
        <w:t xml:space="preserve"> 2018: 2 </w:t>
      </w:r>
      <w:proofErr w:type="spellStart"/>
      <w:r>
        <w:rPr>
          <w:color w:val="000000"/>
          <w:sz w:val="18"/>
          <w:szCs w:val="18"/>
        </w:rPr>
        <w:t>pages</w:t>
      </w:r>
      <w:proofErr w:type="spellEnd"/>
      <w:r>
        <w:rPr>
          <w:color w:val="000000"/>
          <w:sz w:val="18"/>
          <w:szCs w:val="18"/>
        </w:rPr>
        <w:t xml:space="preserve">. </w:t>
      </w:r>
    </w:p>
    <w:p w14:paraId="19D6C233" w14:textId="293CBF41" w:rsidR="00057E97" w:rsidRPr="00B203A6" w:rsidRDefault="00057E97" w:rsidP="002478D5">
      <w:pPr>
        <w:numPr>
          <w:ilvl w:val="0"/>
          <w:numId w:val="16"/>
        </w:numPr>
        <w:pBdr>
          <w:top w:val="nil"/>
          <w:left w:val="nil"/>
          <w:bottom w:val="nil"/>
          <w:right w:val="nil"/>
          <w:between w:val="nil"/>
        </w:pBdr>
        <w:ind w:left="142" w:firstLine="0"/>
        <w:rPr>
          <w:color w:val="000000"/>
          <w:sz w:val="18"/>
          <w:szCs w:val="18"/>
          <w:lang w:val="en-US"/>
        </w:rPr>
      </w:pPr>
      <w:r w:rsidRPr="00B203A6">
        <w:rPr>
          <w:color w:val="000000"/>
          <w:sz w:val="18"/>
          <w:szCs w:val="18"/>
          <w:lang w:val="en-US"/>
        </w:rPr>
        <w:t>French Senate “</w:t>
      </w:r>
      <w:proofErr w:type="spellStart"/>
      <w:r w:rsidRPr="00B203A6">
        <w:rPr>
          <w:color w:val="000000"/>
          <w:sz w:val="18"/>
          <w:szCs w:val="18"/>
          <w:lang w:val="en-US"/>
        </w:rPr>
        <w:t>Rejets</w:t>
      </w:r>
      <w:proofErr w:type="spellEnd"/>
      <w:r w:rsidRPr="00B203A6">
        <w:rPr>
          <w:color w:val="000000"/>
          <w:sz w:val="18"/>
          <w:szCs w:val="18"/>
          <w:lang w:val="en-US"/>
        </w:rPr>
        <w:t xml:space="preserve"> </w:t>
      </w:r>
      <w:proofErr w:type="spellStart"/>
      <w:r w:rsidRPr="00B203A6">
        <w:rPr>
          <w:color w:val="000000"/>
          <w:sz w:val="18"/>
          <w:szCs w:val="18"/>
          <w:lang w:val="en-US"/>
        </w:rPr>
        <w:t>toxiques</w:t>
      </w:r>
      <w:proofErr w:type="spellEnd"/>
      <w:r w:rsidRPr="00B203A6">
        <w:rPr>
          <w:color w:val="000000"/>
          <w:sz w:val="18"/>
          <w:szCs w:val="18"/>
          <w:lang w:val="en-US"/>
        </w:rPr>
        <w:t xml:space="preserve"> de </w:t>
      </w:r>
      <w:proofErr w:type="spellStart"/>
      <w:r w:rsidRPr="00B203A6">
        <w:rPr>
          <w:color w:val="000000"/>
          <w:sz w:val="18"/>
          <w:szCs w:val="18"/>
          <w:lang w:val="en-US"/>
        </w:rPr>
        <w:t>l’usine</w:t>
      </w:r>
      <w:proofErr w:type="spellEnd"/>
      <w:r w:rsidRPr="00B203A6">
        <w:rPr>
          <w:color w:val="000000"/>
          <w:sz w:val="18"/>
          <w:szCs w:val="18"/>
          <w:lang w:val="en-US"/>
        </w:rPr>
        <w:t xml:space="preserve"> Sanofi de </w:t>
      </w:r>
      <w:proofErr w:type="spellStart"/>
      <w:r w:rsidRPr="00B203A6">
        <w:rPr>
          <w:color w:val="000000"/>
          <w:sz w:val="18"/>
          <w:szCs w:val="18"/>
          <w:lang w:val="en-US"/>
        </w:rPr>
        <w:t>Mourenx</w:t>
      </w:r>
      <w:proofErr w:type="spellEnd"/>
      <w:r w:rsidRPr="00B203A6">
        <w:rPr>
          <w:color w:val="000000"/>
          <w:sz w:val="18"/>
          <w:szCs w:val="18"/>
          <w:lang w:val="en-US"/>
        </w:rPr>
        <w:t>” 26</w:t>
      </w:r>
      <w:r w:rsidR="002334B2">
        <w:rPr>
          <w:color w:val="000000"/>
          <w:sz w:val="18"/>
          <w:szCs w:val="18"/>
          <w:lang w:val="en-US"/>
        </w:rPr>
        <w:t xml:space="preserve"> </w:t>
      </w:r>
      <w:r w:rsidRPr="00B203A6">
        <w:rPr>
          <w:color w:val="000000"/>
          <w:sz w:val="18"/>
          <w:szCs w:val="18"/>
          <w:lang w:val="en-US"/>
        </w:rPr>
        <w:t>July 2018: 1 page.</w:t>
      </w:r>
      <w:r>
        <w:rPr>
          <w:b/>
          <w:bCs/>
          <w:color w:val="000000"/>
          <w:sz w:val="18"/>
          <w:szCs w:val="18"/>
        </w:rPr>
        <w:t> </w:t>
      </w:r>
    </w:p>
    <w:p w14:paraId="5EE4D227" w14:textId="512F00AD" w:rsidR="00057E97" w:rsidRPr="00C07879" w:rsidRDefault="00057E97" w:rsidP="002478D5">
      <w:pPr>
        <w:numPr>
          <w:ilvl w:val="0"/>
          <w:numId w:val="16"/>
        </w:numPr>
        <w:pBdr>
          <w:top w:val="nil"/>
          <w:left w:val="nil"/>
          <w:bottom w:val="nil"/>
          <w:right w:val="nil"/>
          <w:between w:val="nil"/>
        </w:pBdr>
        <w:ind w:left="142" w:firstLine="0"/>
        <w:rPr>
          <w:color w:val="000000"/>
          <w:sz w:val="18"/>
          <w:szCs w:val="18"/>
          <w:lang w:val="pt-BR"/>
        </w:rPr>
      </w:pPr>
      <w:proofErr w:type="spellStart"/>
      <w:r w:rsidRPr="00C07879">
        <w:rPr>
          <w:color w:val="000000"/>
          <w:sz w:val="18"/>
          <w:szCs w:val="18"/>
          <w:lang w:val="pt-BR"/>
        </w:rPr>
        <w:t>Mandard</w:t>
      </w:r>
      <w:proofErr w:type="spellEnd"/>
      <w:r w:rsidRPr="00C07879">
        <w:rPr>
          <w:color w:val="000000"/>
          <w:sz w:val="18"/>
          <w:szCs w:val="18"/>
          <w:lang w:val="pt-BR"/>
        </w:rPr>
        <w:t xml:space="preserve"> S “À </w:t>
      </w:r>
      <w:proofErr w:type="spellStart"/>
      <w:r w:rsidRPr="00C07879">
        <w:rPr>
          <w:color w:val="000000"/>
          <w:sz w:val="18"/>
          <w:szCs w:val="18"/>
          <w:lang w:val="pt-BR"/>
        </w:rPr>
        <w:t>Mourenx</w:t>
      </w:r>
      <w:proofErr w:type="spellEnd"/>
      <w:r w:rsidRPr="00C07879">
        <w:rPr>
          <w:color w:val="000000"/>
          <w:sz w:val="18"/>
          <w:szCs w:val="18"/>
          <w:lang w:val="pt-BR"/>
        </w:rPr>
        <w:t xml:space="preserve">, </w:t>
      </w:r>
      <w:proofErr w:type="spellStart"/>
      <w:r w:rsidRPr="00C07879">
        <w:rPr>
          <w:color w:val="000000"/>
          <w:sz w:val="18"/>
          <w:szCs w:val="18"/>
          <w:lang w:val="pt-BR"/>
        </w:rPr>
        <w:t>la</w:t>
      </w:r>
      <w:proofErr w:type="spellEnd"/>
      <w:r w:rsidRPr="00C07879">
        <w:rPr>
          <w:color w:val="000000"/>
          <w:sz w:val="18"/>
          <w:szCs w:val="18"/>
          <w:lang w:val="pt-BR"/>
        </w:rPr>
        <w:t xml:space="preserve"> </w:t>
      </w:r>
      <w:proofErr w:type="spellStart"/>
      <w:r w:rsidRPr="00C07879">
        <w:rPr>
          <w:color w:val="000000"/>
          <w:sz w:val="18"/>
          <w:szCs w:val="18"/>
          <w:lang w:val="pt-BR"/>
        </w:rPr>
        <w:t>crainte</w:t>
      </w:r>
      <w:proofErr w:type="spellEnd"/>
      <w:r w:rsidRPr="00C07879">
        <w:rPr>
          <w:color w:val="000000"/>
          <w:sz w:val="18"/>
          <w:szCs w:val="18"/>
          <w:lang w:val="pt-BR"/>
        </w:rPr>
        <w:t xml:space="preserve"> </w:t>
      </w:r>
      <w:proofErr w:type="spellStart"/>
      <w:r w:rsidRPr="00C07879">
        <w:rPr>
          <w:color w:val="000000"/>
          <w:sz w:val="18"/>
          <w:szCs w:val="18"/>
          <w:lang w:val="pt-BR"/>
        </w:rPr>
        <w:t>des</w:t>
      </w:r>
      <w:proofErr w:type="spellEnd"/>
      <w:r w:rsidRPr="00C07879">
        <w:rPr>
          <w:color w:val="000000"/>
          <w:sz w:val="18"/>
          <w:szCs w:val="18"/>
          <w:lang w:val="pt-BR"/>
        </w:rPr>
        <w:t xml:space="preserve"> </w:t>
      </w:r>
      <w:proofErr w:type="spellStart"/>
      <w:r w:rsidRPr="00C07879">
        <w:rPr>
          <w:color w:val="000000"/>
          <w:sz w:val="18"/>
          <w:szCs w:val="18"/>
          <w:lang w:val="pt-BR"/>
        </w:rPr>
        <w:t>maux</w:t>
      </w:r>
      <w:proofErr w:type="spellEnd"/>
      <w:r w:rsidRPr="00C07879">
        <w:rPr>
          <w:color w:val="000000"/>
          <w:sz w:val="18"/>
          <w:szCs w:val="18"/>
          <w:lang w:val="pt-BR"/>
        </w:rPr>
        <w:t xml:space="preserve"> de </w:t>
      </w:r>
      <w:proofErr w:type="spellStart"/>
      <w:r w:rsidRPr="00C07879">
        <w:rPr>
          <w:color w:val="000000"/>
          <w:sz w:val="18"/>
          <w:szCs w:val="18"/>
          <w:lang w:val="pt-BR"/>
        </w:rPr>
        <w:t>la</w:t>
      </w:r>
      <w:proofErr w:type="spellEnd"/>
      <w:r w:rsidRPr="00C07879">
        <w:rPr>
          <w:color w:val="000000"/>
          <w:sz w:val="18"/>
          <w:szCs w:val="18"/>
          <w:lang w:val="pt-BR"/>
        </w:rPr>
        <w:t xml:space="preserve"> </w:t>
      </w:r>
      <w:proofErr w:type="spellStart"/>
      <w:r w:rsidRPr="00C07879">
        <w:rPr>
          <w:color w:val="000000"/>
          <w:sz w:val="18"/>
          <w:szCs w:val="18"/>
          <w:lang w:val="pt-BR"/>
        </w:rPr>
        <w:t>Dépakine</w:t>
      </w:r>
      <w:proofErr w:type="spellEnd"/>
      <w:r w:rsidRPr="00C07879">
        <w:rPr>
          <w:color w:val="000000"/>
          <w:sz w:val="18"/>
          <w:szCs w:val="18"/>
          <w:lang w:val="pt-BR"/>
        </w:rPr>
        <w:t>” 21</w:t>
      </w:r>
      <w:r w:rsidR="002334B2">
        <w:rPr>
          <w:color w:val="000000"/>
          <w:sz w:val="18"/>
          <w:szCs w:val="18"/>
          <w:lang w:val="pt-BR"/>
        </w:rPr>
        <w:t xml:space="preserve"> </w:t>
      </w:r>
      <w:proofErr w:type="spellStart"/>
      <w:r w:rsidRPr="00C07879">
        <w:rPr>
          <w:color w:val="000000"/>
          <w:sz w:val="18"/>
          <w:szCs w:val="18"/>
          <w:lang w:val="pt-BR"/>
        </w:rPr>
        <w:t>November</w:t>
      </w:r>
      <w:proofErr w:type="spellEnd"/>
      <w:r w:rsidRPr="00C07879">
        <w:rPr>
          <w:color w:val="000000"/>
          <w:sz w:val="18"/>
          <w:szCs w:val="18"/>
          <w:lang w:val="pt-BR"/>
        </w:rPr>
        <w:t xml:space="preserve"> 2023: 1</w:t>
      </w:r>
      <w:r w:rsidR="002334B2">
        <w:rPr>
          <w:color w:val="000000"/>
          <w:sz w:val="18"/>
          <w:szCs w:val="18"/>
          <w:lang w:val="pt-BR"/>
        </w:rPr>
        <w:t xml:space="preserve"> </w:t>
      </w:r>
      <w:proofErr w:type="spellStart"/>
      <w:r w:rsidRPr="00C07879">
        <w:rPr>
          <w:color w:val="000000"/>
          <w:sz w:val="18"/>
          <w:szCs w:val="18"/>
          <w:lang w:val="pt-BR"/>
        </w:rPr>
        <w:t>page</w:t>
      </w:r>
      <w:proofErr w:type="spellEnd"/>
      <w:r w:rsidRPr="00C07879">
        <w:rPr>
          <w:color w:val="000000"/>
          <w:sz w:val="18"/>
          <w:szCs w:val="18"/>
          <w:lang w:val="pt-BR"/>
        </w:rPr>
        <w:t>.</w:t>
      </w:r>
      <w:r>
        <w:rPr>
          <w:b/>
          <w:bCs/>
          <w:color w:val="000000"/>
          <w:sz w:val="18"/>
          <w:szCs w:val="18"/>
        </w:rPr>
        <w:t> </w:t>
      </w:r>
    </w:p>
    <w:p w14:paraId="0B5F01C8" w14:textId="2C0F0E06" w:rsidR="00057E97" w:rsidRDefault="00057E97" w:rsidP="002478D5">
      <w:pPr>
        <w:numPr>
          <w:ilvl w:val="0"/>
          <w:numId w:val="16"/>
        </w:numPr>
        <w:pBdr>
          <w:top w:val="nil"/>
          <w:left w:val="nil"/>
          <w:bottom w:val="nil"/>
          <w:right w:val="nil"/>
          <w:between w:val="nil"/>
        </w:pBdr>
        <w:ind w:left="142" w:firstLine="0"/>
        <w:rPr>
          <w:color w:val="000000"/>
          <w:sz w:val="18"/>
          <w:szCs w:val="18"/>
        </w:rPr>
      </w:pPr>
      <w:proofErr w:type="spellStart"/>
      <w:r>
        <w:rPr>
          <w:color w:val="000000"/>
          <w:sz w:val="18"/>
          <w:szCs w:val="18"/>
        </w:rPr>
        <w:t>Ineris</w:t>
      </w:r>
      <w:proofErr w:type="spellEnd"/>
      <w:r>
        <w:rPr>
          <w:color w:val="000000"/>
          <w:sz w:val="18"/>
          <w:szCs w:val="18"/>
        </w:rPr>
        <w:t xml:space="preserve"> “</w:t>
      </w:r>
      <w:proofErr w:type="spellStart"/>
      <w:r>
        <w:rPr>
          <w:color w:val="000000"/>
          <w:sz w:val="18"/>
          <w:szCs w:val="18"/>
        </w:rPr>
        <w:t>Évaluation</w:t>
      </w:r>
      <w:proofErr w:type="spellEnd"/>
      <w:r>
        <w:rPr>
          <w:color w:val="000000"/>
          <w:sz w:val="18"/>
          <w:szCs w:val="18"/>
        </w:rPr>
        <w:t xml:space="preserve"> des risques </w:t>
      </w:r>
      <w:proofErr w:type="spellStart"/>
      <w:r>
        <w:rPr>
          <w:color w:val="000000"/>
          <w:sz w:val="18"/>
          <w:szCs w:val="18"/>
        </w:rPr>
        <w:t>sanitaires</w:t>
      </w:r>
      <w:proofErr w:type="spellEnd"/>
      <w:r>
        <w:rPr>
          <w:color w:val="000000"/>
          <w:sz w:val="18"/>
          <w:szCs w:val="18"/>
        </w:rPr>
        <w:t xml:space="preserve"> </w:t>
      </w:r>
      <w:proofErr w:type="spellStart"/>
      <w:r>
        <w:rPr>
          <w:color w:val="000000"/>
          <w:sz w:val="18"/>
          <w:szCs w:val="18"/>
        </w:rPr>
        <w:t>liés</w:t>
      </w:r>
      <w:proofErr w:type="spellEnd"/>
      <w:r>
        <w:rPr>
          <w:color w:val="000000"/>
          <w:sz w:val="18"/>
          <w:szCs w:val="18"/>
        </w:rPr>
        <w:t xml:space="preserve"> </w:t>
      </w:r>
      <w:proofErr w:type="spellStart"/>
      <w:r>
        <w:rPr>
          <w:color w:val="000000"/>
          <w:sz w:val="18"/>
          <w:szCs w:val="18"/>
        </w:rPr>
        <w:t>aux</w:t>
      </w:r>
      <w:proofErr w:type="spellEnd"/>
      <w:r>
        <w:rPr>
          <w:color w:val="000000"/>
          <w:sz w:val="18"/>
          <w:szCs w:val="18"/>
        </w:rPr>
        <w:t xml:space="preserve"> </w:t>
      </w:r>
      <w:proofErr w:type="spellStart"/>
      <w:r>
        <w:rPr>
          <w:color w:val="000000"/>
          <w:sz w:val="18"/>
          <w:szCs w:val="18"/>
        </w:rPr>
        <w:t>émissions</w:t>
      </w:r>
      <w:proofErr w:type="spellEnd"/>
      <w:r>
        <w:rPr>
          <w:color w:val="000000"/>
          <w:sz w:val="18"/>
          <w:szCs w:val="18"/>
        </w:rPr>
        <w:t xml:space="preserve"> de </w:t>
      </w:r>
      <w:proofErr w:type="spellStart"/>
      <w:r>
        <w:rPr>
          <w:color w:val="000000"/>
          <w:sz w:val="18"/>
          <w:szCs w:val="18"/>
        </w:rPr>
        <w:t>valproate</w:t>
      </w:r>
      <w:proofErr w:type="spellEnd"/>
      <w:r>
        <w:rPr>
          <w:color w:val="000000"/>
          <w:sz w:val="18"/>
          <w:szCs w:val="18"/>
        </w:rPr>
        <w:t xml:space="preserve"> de </w:t>
      </w:r>
      <w:proofErr w:type="spellStart"/>
      <w:r>
        <w:rPr>
          <w:color w:val="000000"/>
          <w:sz w:val="18"/>
          <w:szCs w:val="18"/>
        </w:rPr>
        <w:t>sodium</w:t>
      </w:r>
      <w:proofErr w:type="spellEnd"/>
      <w:r>
        <w:rPr>
          <w:color w:val="000000"/>
          <w:sz w:val="18"/>
          <w:szCs w:val="18"/>
        </w:rPr>
        <w:t xml:space="preserve"> de </w:t>
      </w:r>
      <w:proofErr w:type="spellStart"/>
      <w:r>
        <w:rPr>
          <w:color w:val="000000"/>
          <w:sz w:val="18"/>
          <w:szCs w:val="18"/>
        </w:rPr>
        <w:t>l’usine</w:t>
      </w:r>
      <w:proofErr w:type="spellEnd"/>
      <w:r>
        <w:rPr>
          <w:color w:val="000000"/>
          <w:sz w:val="18"/>
          <w:szCs w:val="18"/>
        </w:rPr>
        <w:t xml:space="preserve"> Sanofi de </w:t>
      </w:r>
      <w:proofErr w:type="spellStart"/>
      <w:r>
        <w:rPr>
          <w:color w:val="000000"/>
          <w:sz w:val="18"/>
          <w:szCs w:val="18"/>
        </w:rPr>
        <w:t>Mourenx</w:t>
      </w:r>
      <w:proofErr w:type="spellEnd"/>
      <w:r>
        <w:rPr>
          <w:color w:val="000000"/>
          <w:sz w:val="18"/>
          <w:szCs w:val="18"/>
        </w:rPr>
        <w:t>” 12</w:t>
      </w:r>
      <w:r w:rsidR="002334B2">
        <w:rPr>
          <w:color w:val="000000"/>
          <w:sz w:val="18"/>
          <w:szCs w:val="18"/>
        </w:rPr>
        <w:t xml:space="preserve"> </w:t>
      </w:r>
      <w:proofErr w:type="spellStart"/>
      <w:r>
        <w:rPr>
          <w:color w:val="000000"/>
          <w:sz w:val="18"/>
          <w:szCs w:val="18"/>
        </w:rPr>
        <w:t>July</w:t>
      </w:r>
      <w:proofErr w:type="spellEnd"/>
      <w:r>
        <w:rPr>
          <w:color w:val="000000"/>
          <w:sz w:val="18"/>
          <w:szCs w:val="18"/>
        </w:rPr>
        <w:t xml:space="preserve"> 2018: 18 </w:t>
      </w:r>
      <w:proofErr w:type="spellStart"/>
      <w:r>
        <w:rPr>
          <w:color w:val="000000"/>
          <w:sz w:val="18"/>
          <w:szCs w:val="18"/>
        </w:rPr>
        <w:t>pages</w:t>
      </w:r>
      <w:proofErr w:type="spellEnd"/>
      <w:r>
        <w:rPr>
          <w:color w:val="000000"/>
          <w:sz w:val="18"/>
          <w:szCs w:val="18"/>
        </w:rPr>
        <w:t>.</w:t>
      </w:r>
      <w:r>
        <w:rPr>
          <w:b/>
          <w:bCs/>
          <w:color w:val="000000"/>
          <w:sz w:val="18"/>
          <w:szCs w:val="18"/>
        </w:rPr>
        <w:t> </w:t>
      </w:r>
    </w:p>
    <w:p w14:paraId="56D40070" w14:textId="1D22389E" w:rsidR="00057E97" w:rsidRPr="00C07879" w:rsidRDefault="00057E97" w:rsidP="002478D5">
      <w:pPr>
        <w:numPr>
          <w:ilvl w:val="0"/>
          <w:numId w:val="16"/>
        </w:numPr>
        <w:pBdr>
          <w:top w:val="nil"/>
          <w:left w:val="nil"/>
          <w:bottom w:val="nil"/>
          <w:right w:val="nil"/>
          <w:between w:val="nil"/>
        </w:pBdr>
        <w:ind w:left="142" w:firstLine="0"/>
        <w:rPr>
          <w:color w:val="000000"/>
          <w:sz w:val="18"/>
          <w:szCs w:val="18"/>
          <w:lang w:val="pt-BR"/>
        </w:rPr>
      </w:pPr>
      <w:proofErr w:type="spellStart"/>
      <w:r w:rsidRPr="00C07879">
        <w:rPr>
          <w:color w:val="000000"/>
          <w:sz w:val="18"/>
          <w:szCs w:val="18"/>
          <w:lang w:val="pt-BR"/>
        </w:rPr>
        <w:t>Anses</w:t>
      </w:r>
      <w:proofErr w:type="spellEnd"/>
      <w:r w:rsidRPr="00C07879">
        <w:rPr>
          <w:color w:val="000000"/>
          <w:sz w:val="18"/>
          <w:szCs w:val="18"/>
          <w:lang w:val="pt-BR"/>
        </w:rPr>
        <w:t xml:space="preserve"> “Avis (...) </w:t>
      </w:r>
      <w:proofErr w:type="spellStart"/>
      <w:r w:rsidRPr="00C07879">
        <w:rPr>
          <w:color w:val="000000"/>
          <w:sz w:val="18"/>
          <w:szCs w:val="18"/>
          <w:lang w:val="pt-BR"/>
        </w:rPr>
        <w:t>relatif</w:t>
      </w:r>
      <w:proofErr w:type="spellEnd"/>
      <w:r w:rsidRPr="00C07879">
        <w:rPr>
          <w:color w:val="000000"/>
          <w:sz w:val="18"/>
          <w:szCs w:val="18"/>
          <w:lang w:val="pt-BR"/>
        </w:rPr>
        <w:t xml:space="preserve"> à </w:t>
      </w:r>
      <w:proofErr w:type="spellStart"/>
      <w:r w:rsidRPr="00C07879">
        <w:rPr>
          <w:color w:val="000000"/>
          <w:sz w:val="18"/>
          <w:szCs w:val="18"/>
          <w:lang w:val="pt-BR"/>
        </w:rPr>
        <w:t>l’analyse</w:t>
      </w:r>
      <w:proofErr w:type="spellEnd"/>
      <w:r w:rsidRPr="00C07879">
        <w:rPr>
          <w:color w:val="000000"/>
          <w:sz w:val="18"/>
          <w:szCs w:val="18"/>
          <w:lang w:val="pt-BR"/>
        </w:rPr>
        <w:t xml:space="preserve"> critique d’une </w:t>
      </w:r>
      <w:proofErr w:type="spellStart"/>
      <w:r w:rsidRPr="00C07879">
        <w:rPr>
          <w:color w:val="000000"/>
          <w:sz w:val="18"/>
          <w:szCs w:val="18"/>
          <w:lang w:val="pt-BR"/>
        </w:rPr>
        <w:t>valeur</w:t>
      </w:r>
      <w:proofErr w:type="spellEnd"/>
      <w:r w:rsidRPr="00C07879">
        <w:rPr>
          <w:color w:val="000000"/>
          <w:sz w:val="18"/>
          <w:szCs w:val="18"/>
          <w:lang w:val="pt-BR"/>
        </w:rPr>
        <w:t xml:space="preserve"> de </w:t>
      </w:r>
      <w:proofErr w:type="spellStart"/>
      <w:r w:rsidRPr="00C07879">
        <w:rPr>
          <w:color w:val="000000"/>
          <w:sz w:val="18"/>
          <w:szCs w:val="18"/>
          <w:lang w:val="pt-BR"/>
        </w:rPr>
        <w:t>référence</w:t>
      </w:r>
      <w:proofErr w:type="spellEnd"/>
      <w:r w:rsidRPr="00C07879">
        <w:rPr>
          <w:color w:val="000000"/>
          <w:sz w:val="18"/>
          <w:szCs w:val="18"/>
          <w:lang w:val="pt-BR"/>
        </w:rPr>
        <w:t xml:space="preserve"> </w:t>
      </w:r>
      <w:proofErr w:type="spellStart"/>
      <w:r w:rsidRPr="00C07879">
        <w:rPr>
          <w:color w:val="000000"/>
          <w:sz w:val="18"/>
          <w:szCs w:val="18"/>
          <w:lang w:val="pt-BR"/>
        </w:rPr>
        <w:t>biologique</w:t>
      </w:r>
      <w:proofErr w:type="spellEnd"/>
      <w:r w:rsidRPr="00C07879">
        <w:rPr>
          <w:color w:val="000000"/>
          <w:sz w:val="18"/>
          <w:szCs w:val="18"/>
          <w:lang w:val="pt-BR"/>
        </w:rPr>
        <w:t xml:space="preserve"> </w:t>
      </w:r>
      <w:proofErr w:type="spellStart"/>
      <w:r w:rsidRPr="00C07879">
        <w:rPr>
          <w:color w:val="000000"/>
          <w:sz w:val="18"/>
          <w:szCs w:val="18"/>
          <w:lang w:val="pt-BR"/>
        </w:rPr>
        <w:t>du</w:t>
      </w:r>
      <w:proofErr w:type="spellEnd"/>
      <w:r w:rsidRPr="00C07879">
        <w:rPr>
          <w:color w:val="000000"/>
          <w:sz w:val="18"/>
          <w:szCs w:val="18"/>
          <w:lang w:val="pt-BR"/>
        </w:rPr>
        <w:t xml:space="preserve"> </w:t>
      </w:r>
      <w:proofErr w:type="spellStart"/>
      <w:r w:rsidRPr="00C07879">
        <w:rPr>
          <w:color w:val="000000"/>
          <w:sz w:val="18"/>
          <w:szCs w:val="18"/>
          <w:lang w:val="pt-BR"/>
        </w:rPr>
        <w:t>valproate</w:t>
      </w:r>
      <w:proofErr w:type="spellEnd"/>
      <w:r w:rsidRPr="00C07879">
        <w:rPr>
          <w:color w:val="000000"/>
          <w:sz w:val="18"/>
          <w:szCs w:val="18"/>
          <w:lang w:val="pt-BR"/>
        </w:rPr>
        <w:t xml:space="preserve"> de </w:t>
      </w:r>
      <w:proofErr w:type="spellStart"/>
      <w:r w:rsidRPr="00C07879">
        <w:rPr>
          <w:color w:val="000000"/>
          <w:sz w:val="18"/>
          <w:szCs w:val="18"/>
          <w:lang w:val="pt-BR"/>
        </w:rPr>
        <w:t>sodium</w:t>
      </w:r>
      <w:proofErr w:type="spellEnd"/>
      <w:r w:rsidRPr="00C07879">
        <w:rPr>
          <w:color w:val="000000"/>
          <w:sz w:val="18"/>
          <w:szCs w:val="18"/>
          <w:lang w:val="pt-BR"/>
        </w:rPr>
        <w:t>” 23</w:t>
      </w:r>
      <w:r w:rsidR="002334B2">
        <w:rPr>
          <w:color w:val="000000"/>
          <w:sz w:val="18"/>
          <w:szCs w:val="18"/>
          <w:lang w:val="pt-BR"/>
        </w:rPr>
        <w:t xml:space="preserve"> </w:t>
      </w:r>
      <w:r w:rsidRPr="00C07879">
        <w:rPr>
          <w:color w:val="000000"/>
          <w:sz w:val="18"/>
          <w:szCs w:val="18"/>
          <w:lang w:val="pt-BR"/>
        </w:rPr>
        <w:t xml:space="preserve">May 2019: 17 </w:t>
      </w:r>
      <w:proofErr w:type="spellStart"/>
      <w:r w:rsidRPr="00C07879">
        <w:rPr>
          <w:color w:val="000000"/>
          <w:sz w:val="18"/>
          <w:szCs w:val="18"/>
          <w:lang w:val="pt-BR"/>
        </w:rPr>
        <w:t>pages</w:t>
      </w:r>
      <w:proofErr w:type="spellEnd"/>
      <w:r w:rsidRPr="00C07879">
        <w:rPr>
          <w:color w:val="000000"/>
          <w:sz w:val="18"/>
          <w:szCs w:val="18"/>
          <w:lang w:val="pt-BR"/>
        </w:rPr>
        <w:t xml:space="preserve">. </w:t>
      </w:r>
    </w:p>
    <w:p w14:paraId="1E21BE07" w14:textId="2A51A763" w:rsidR="00057E97" w:rsidRDefault="00057E97" w:rsidP="002478D5">
      <w:pPr>
        <w:numPr>
          <w:ilvl w:val="0"/>
          <w:numId w:val="16"/>
        </w:numPr>
        <w:pBdr>
          <w:top w:val="nil"/>
          <w:left w:val="nil"/>
          <w:bottom w:val="nil"/>
          <w:right w:val="nil"/>
          <w:between w:val="nil"/>
        </w:pBdr>
        <w:ind w:left="142" w:firstLine="0"/>
        <w:rPr>
          <w:color w:val="000000"/>
          <w:sz w:val="18"/>
          <w:szCs w:val="18"/>
        </w:rPr>
      </w:pPr>
      <w:r>
        <w:rPr>
          <w:color w:val="000000"/>
          <w:sz w:val="18"/>
          <w:szCs w:val="18"/>
        </w:rPr>
        <w:t xml:space="preserve">APM International “Sanofi mis en examen </w:t>
      </w:r>
      <w:proofErr w:type="spellStart"/>
      <w:r>
        <w:rPr>
          <w:color w:val="000000"/>
          <w:sz w:val="18"/>
          <w:szCs w:val="18"/>
        </w:rPr>
        <w:t>dans</w:t>
      </w:r>
      <w:proofErr w:type="spellEnd"/>
      <w:r>
        <w:rPr>
          <w:color w:val="000000"/>
          <w:sz w:val="18"/>
          <w:szCs w:val="18"/>
        </w:rPr>
        <w:t xml:space="preserve"> </w:t>
      </w:r>
      <w:proofErr w:type="spellStart"/>
      <w:r>
        <w:rPr>
          <w:color w:val="000000"/>
          <w:sz w:val="18"/>
          <w:szCs w:val="18"/>
        </w:rPr>
        <w:t>l’enquête</w:t>
      </w:r>
      <w:proofErr w:type="spellEnd"/>
      <w:r>
        <w:rPr>
          <w:color w:val="000000"/>
          <w:sz w:val="18"/>
          <w:szCs w:val="18"/>
        </w:rPr>
        <w:t xml:space="preserve"> sur les </w:t>
      </w:r>
      <w:proofErr w:type="spellStart"/>
      <w:r>
        <w:rPr>
          <w:color w:val="000000"/>
          <w:sz w:val="18"/>
          <w:szCs w:val="18"/>
        </w:rPr>
        <w:t>rejets</w:t>
      </w:r>
      <w:proofErr w:type="spellEnd"/>
      <w:r>
        <w:rPr>
          <w:color w:val="000000"/>
          <w:sz w:val="18"/>
          <w:szCs w:val="18"/>
        </w:rPr>
        <w:t xml:space="preserve"> toxiques du site de </w:t>
      </w:r>
      <w:proofErr w:type="spellStart"/>
      <w:r>
        <w:rPr>
          <w:color w:val="000000"/>
          <w:sz w:val="18"/>
          <w:szCs w:val="18"/>
        </w:rPr>
        <w:t>Mourenx</w:t>
      </w:r>
      <w:proofErr w:type="spellEnd"/>
      <w:r>
        <w:rPr>
          <w:color w:val="000000"/>
          <w:sz w:val="18"/>
          <w:szCs w:val="18"/>
        </w:rPr>
        <w:t xml:space="preserve">” </w:t>
      </w:r>
      <w:proofErr w:type="spellStart"/>
      <w:r>
        <w:rPr>
          <w:i/>
          <w:iCs/>
          <w:color w:val="000000"/>
          <w:sz w:val="18"/>
          <w:szCs w:val="18"/>
        </w:rPr>
        <w:t>APMnews</w:t>
      </w:r>
      <w:proofErr w:type="spellEnd"/>
      <w:r>
        <w:rPr>
          <w:i/>
          <w:iCs/>
          <w:color w:val="000000"/>
          <w:sz w:val="18"/>
          <w:szCs w:val="18"/>
        </w:rPr>
        <w:t xml:space="preserve"> </w:t>
      </w:r>
      <w:r>
        <w:rPr>
          <w:color w:val="000000"/>
          <w:sz w:val="18"/>
          <w:szCs w:val="18"/>
        </w:rPr>
        <w:t>12</w:t>
      </w:r>
      <w:r w:rsidR="002334B2">
        <w:rPr>
          <w:color w:val="000000"/>
          <w:sz w:val="18"/>
          <w:szCs w:val="18"/>
        </w:rPr>
        <w:t xml:space="preserve"> </w:t>
      </w:r>
      <w:r>
        <w:rPr>
          <w:color w:val="000000"/>
          <w:sz w:val="18"/>
          <w:szCs w:val="18"/>
        </w:rPr>
        <w:t>March 2025: 2</w:t>
      </w:r>
      <w:r w:rsidR="002334B2">
        <w:rPr>
          <w:color w:val="000000"/>
          <w:sz w:val="18"/>
          <w:szCs w:val="18"/>
        </w:rPr>
        <w:t xml:space="preserve"> </w:t>
      </w:r>
      <w:proofErr w:type="spellStart"/>
      <w:r>
        <w:rPr>
          <w:color w:val="000000"/>
          <w:sz w:val="18"/>
          <w:szCs w:val="18"/>
        </w:rPr>
        <w:t>pages</w:t>
      </w:r>
      <w:proofErr w:type="spellEnd"/>
      <w:r>
        <w:rPr>
          <w:color w:val="000000"/>
          <w:sz w:val="18"/>
          <w:szCs w:val="18"/>
        </w:rPr>
        <w:t>.</w:t>
      </w:r>
    </w:p>
    <w:p w14:paraId="137B36D8" w14:textId="77777777" w:rsidR="007D0C90" w:rsidRDefault="007D0C90" w:rsidP="00980893">
      <w:pPr>
        <w:rPr>
          <w:rFonts w:eastAsia="Times New Roman" w:cs="Times New Roman"/>
          <w:szCs w:val="20"/>
        </w:rPr>
        <w:sectPr w:rsidR="007D0C90" w:rsidSect="007D0C90">
          <w:type w:val="continuous"/>
          <w:pgSz w:w="12240" w:h="15840" w:code="1"/>
          <w:pgMar w:top="720" w:right="720" w:bottom="720" w:left="720" w:header="288" w:footer="288" w:gutter="0"/>
          <w:cols w:num="2" w:space="288"/>
          <w:docGrid w:linePitch="360"/>
        </w:sectPr>
      </w:pPr>
    </w:p>
    <w:p w14:paraId="5F5EAE3F" w14:textId="74A25A9D" w:rsidR="008A0356" w:rsidRDefault="008A0356" w:rsidP="00980893">
      <w:pPr>
        <w:rPr>
          <w:rFonts w:eastAsia="Times New Roman" w:cs="Times New Roman"/>
          <w:szCs w:val="20"/>
        </w:rPr>
      </w:pPr>
    </w:p>
    <w:p w14:paraId="31C46661" w14:textId="77777777" w:rsidR="00057E97" w:rsidRDefault="00057E97" w:rsidP="00980893">
      <w:pPr>
        <w:rPr>
          <w:rFonts w:eastAsia="Times New Roman" w:cs="Times New Roman"/>
          <w:szCs w:val="20"/>
        </w:rPr>
      </w:pPr>
    </w:p>
    <w:p w14:paraId="414D87F5" w14:textId="77777777" w:rsidR="00663982" w:rsidRPr="007C7616" w:rsidRDefault="00663982" w:rsidP="00663982">
      <w:pPr>
        <w:jc w:val="center"/>
        <w:rPr>
          <w:b/>
          <w:bCs/>
          <w:color w:val="0D0D0D" w:themeColor="text1" w:themeTint="F2"/>
          <w:szCs w:val="20"/>
        </w:rPr>
      </w:pPr>
      <w:r>
        <w:rPr>
          <w:rFonts w:eastAsia="Times New Roman" w:cs="Times New Roman"/>
          <w:szCs w:val="20"/>
        </w:rPr>
        <w:t xml:space="preserve">Suiza. </w:t>
      </w:r>
      <w:r>
        <w:rPr>
          <w:b/>
          <w:bCs/>
          <w:color w:val="0D0D0D" w:themeColor="text1" w:themeTint="F2"/>
          <w:szCs w:val="20"/>
        </w:rPr>
        <w:t>¿Qué beneficios aportan los nuevos</w:t>
      </w:r>
      <w:r w:rsidRPr="007C7616">
        <w:rPr>
          <w:b/>
          <w:bCs/>
          <w:color w:val="0D0D0D" w:themeColor="text1" w:themeTint="F2"/>
          <w:szCs w:val="20"/>
        </w:rPr>
        <w:t xml:space="preserve"> fármacos oncológicos</w:t>
      </w:r>
      <w:r>
        <w:rPr>
          <w:b/>
          <w:bCs/>
          <w:color w:val="0D0D0D" w:themeColor="text1" w:themeTint="F2"/>
          <w:szCs w:val="20"/>
        </w:rPr>
        <w:t xml:space="preserve"> </w:t>
      </w:r>
      <w:r w:rsidRPr="00DA2FE0">
        <w:rPr>
          <w:b/>
          <w:bCs/>
          <w:color w:val="0D0D0D" w:themeColor="text1" w:themeTint="F2"/>
          <w:szCs w:val="20"/>
        </w:rPr>
        <w:t>aprobados en Suiza</w:t>
      </w:r>
      <w:r>
        <w:rPr>
          <w:b/>
          <w:bCs/>
          <w:color w:val="0D0D0D" w:themeColor="text1" w:themeTint="F2"/>
          <w:szCs w:val="20"/>
        </w:rPr>
        <w:t xml:space="preserve"> a los pacientes con cáncer?</w:t>
      </w:r>
    </w:p>
    <w:p w14:paraId="56659E51" w14:textId="38AFB3CF" w:rsidR="00663982" w:rsidRDefault="00663982" w:rsidP="00663982">
      <w:pPr>
        <w:jc w:val="center"/>
        <w:rPr>
          <w:color w:val="0D0D0D" w:themeColor="text1" w:themeTint="F2"/>
          <w:szCs w:val="20"/>
        </w:rPr>
      </w:pPr>
      <w:r>
        <w:rPr>
          <w:color w:val="0D0D0D" w:themeColor="text1" w:themeTint="F2"/>
          <w:szCs w:val="20"/>
        </w:rPr>
        <w:t xml:space="preserve">Salud y Fármacos </w:t>
      </w:r>
    </w:p>
    <w:p w14:paraId="13775AE0" w14:textId="511D7274" w:rsidR="00663982" w:rsidRDefault="00663982" w:rsidP="00663982">
      <w:pPr>
        <w:jc w:val="center"/>
        <w:rPr>
          <w:rFonts w:eastAsia="Times New Roman" w:cs="Times New Roman"/>
          <w:bCs/>
          <w:i/>
          <w:iCs/>
          <w:szCs w:val="16"/>
          <w:lang w:val="es-ES"/>
        </w:rPr>
      </w:pPr>
      <w:r w:rsidRPr="00CA0441">
        <w:rPr>
          <w:rFonts w:cs="Times New Roman"/>
          <w:i/>
          <w:iCs/>
          <w:szCs w:val="20"/>
          <w:lang w:val="es-ES"/>
        </w:rPr>
        <w:t xml:space="preserve">Boletín Fármacos: </w:t>
      </w:r>
      <w:r>
        <w:rPr>
          <w:rFonts w:cs="Times New Roman"/>
          <w:i/>
          <w:iCs/>
          <w:szCs w:val="20"/>
          <w:lang w:val="es-ES"/>
        </w:rPr>
        <w:t>Agencias Reguladoras</w:t>
      </w:r>
      <w:r>
        <w:rPr>
          <w:rFonts w:eastAsia="Times New Roman" w:cs="Times New Roman"/>
          <w:bCs/>
          <w:i/>
          <w:iCs/>
          <w:szCs w:val="16"/>
          <w:lang w:val="es-ES"/>
        </w:rPr>
        <w:t xml:space="preserve"> </w:t>
      </w:r>
      <w:r w:rsidRPr="00CA0441">
        <w:rPr>
          <w:rFonts w:eastAsia="Times New Roman" w:cs="Times New Roman"/>
          <w:bCs/>
          <w:i/>
          <w:iCs/>
          <w:szCs w:val="16"/>
          <w:lang w:val="es-ES"/>
        </w:rPr>
        <w:t>2026; 29(3)</w:t>
      </w:r>
    </w:p>
    <w:p w14:paraId="6D499F14" w14:textId="77777777" w:rsidR="00663982" w:rsidRDefault="00663982" w:rsidP="00663982">
      <w:pPr>
        <w:jc w:val="center"/>
        <w:rPr>
          <w:rFonts w:eastAsia="Times New Roman" w:cs="Times New Roman"/>
          <w:bCs/>
          <w:i/>
          <w:iCs/>
          <w:szCs w:val="16"/>
          <w:lang w:val="es-ES"/>
        </w:rPr>
      </w:pPr>
    </w:p>
    <w:p w14:paraId="4E9A30E7" w14:textId="77777777" w:rsidR="007D0C90" w:rsidRDefault="007D0C90" w:rsidP="00663982">
      <w:pPr>
        <w:rPr>
          <w:b/>
          <w:bCs/>
          <w:color w:val="0D0D0D" w:themeColor="text1" w:themeTint="F2"/>
          <w:sz w:val="18"/>
          <w:szCs w:val="18"/>
        </w:rPr>
        <w:sectPr w:rsidR="007D0C90" w:rsidSect="00F25512">
          <w:type w:val="continuous"/>
          <w:pgSz w:w="12240" w:h="15840" w:code="1"/>
          <w:pgMar w:top="720" w:right="720" w:bottom="720" w:left="720" w:header="288" w:footer="288" w:gutter="0"/>
          <w:cols w:space="288"/>
          <w:docGrid w:linePitch="360"/>
        </w:sectPr>
      </w:pPr>
    </w:p>
    <w:p w14:paraId="0BFCB7D8" w14:textId="35746D84" w:rsidR="007D0C90" w:rsidRPr="007D0C90" w:rsidRDefault="007D0C90" w:rsidP="00663982">
      <w:pPr>
        <w:rPr>
          <w:b/>
          <w:bCs/>
          <w:color w:val="0D0D0D" w:themeColor="text1" w:themeTint="F2"/>
          <w:sz w:val="18"/>
          <w:szCs w:val="18"/>
        </w:rPr>
      </w:pPr>
      <w:r w:rsidRPr="007D0C90">
        <w:rPr>
          <w:b/>
          <w:bCs/>
          <w:color w:val="0D0D0D" w:themeColor="text1" w:themeTint="F2"/>
          <w:sz w:val="18"/>
          <w:szCs w:val="18"/>
        </w:rPr>
        <w:t>Tags: fármacos oncológicos, medicamentos contra el cáncer, antineoplásicos, regulación fármacos Suiza</w:t>
      </w:r>
    </w:p>
    <w:p w14:paraId="309A11B7" w14:textId="77777777" w:rsidR="007D0C90" w:rsidRDefault="007D0C90" w:rsidP="00663982">
      <w:pPr>
        <w:rPr>
          <w:color w:val="0D0D0D" w:themeColor="text1" w:themeTint="F2"/>
          <w:szCs w:val="20"/>
        </w:rPr>
      </w:pPr>
    </w:p>
    <w:p w14:paraId="5FDD93EF" w14:textId="79258CDE" w:rsidR="00663982" w:rsidRDefault="00663982" w:rsidP="00663982">
      <w:pPr>
        <w:rPr>
          <w:color w:val="0D0D0D" w:themeColor="text1" w:themeTint="F2"/>
          <w:szCs w:val="20"/>
        </w:rPr>
      </w:pPr>
      <w:r w:rsidRPr="0003207F">
        <w:rPr>
          <w:color w:val="0D0D0D" w:themeColor="text1" w:themeTint="F2"/>
          <w:szCs w:val="20"/>
        </w:rPr>
        <w:t>Entre 2020 y 2023</w:t>
      </w:r>
      <w:r>
        <w:rPr>
          <w:color w:val="0D0D0D" w:themeColor="text1" w:themeTint="F2"/>
          <w:szCs w:val="20"/>
        </w:rPr>
        <w:t>,</w:t>
      </w:r>
      <w:r w:rsidRPr="0003207F">
        <w:rPr>
          <w:color w:val="0D0D0D" w:themeColor="text1" w:themeTint="F2"/>
          <w:szCs w:val="20"/>
        </w:rPr>
        <w:t xml:space="preserve"> los pacientes suizos</w:t>
      </w:r>
      <w:r>
        <w:rPr>
          <w:color w:val="0D0D0D" w:themeColor="text1" w:themeTint="F2"/>
          <w:szCs w:val="20"/>
        </w:rPr>
        <w:t xml:space="preserve"> con diagnóstico de cáncer</w:t>
      </w:r>
      <w:r w:rsidRPr="0003207F">
        <w:rPr>
          <w:color w:val="0D0D0D" w:themeColor="text1" w:themeTint="F2"/>
          <w:szCs w:val="20"/>
        </w:rPr>
        <w:t xml:space="preserve"> tuvieron acceso al 89% de los </w:t>
      </w:r>
      <w:r>
        <w:rPr>
          <w:color w:val="0D0D0D" w:themeColor="text1" w:themeTint="F2"/>
          <w:szCs w:val="20"/>
        </w:rPr>
        <w:t xml:space="preserve">nuevos </w:t>
      </w:r>
      <w:r w:rsidRPr="0003207F">
        <w:rPr>
          <w:color w:val="0D0D0D" w:themeColor="text1" w:themeTint="F2"/>
          <w:szCs w:val="20"/>
        </w:rPr>
        <w:t xml:space="preserve">fármacos oncológicos aprobados por la EMA, </w:t>
      </w:r>
      <w:r>
        <w:rPr>
          <w:color w:val="0D0D0D" w:themeColor="text1" w:themeTint="F2"/>
          <w:szCs w:val="20"/>
        </w:rPr>
        <w:t xml:space="preserve">mientras que el promedio </w:t>
      </w:r>
      <w:r w:rsidRPr="0003207F">
        <w:rPr>
          <w:color w:val="0D0D0D" w:themeColor="text1" w:themeTint="F2"/>
          <w:szCs w:val="20"/>
        </w:rPr>
        <w:t xml:space="preserve">europeo </w:t>
      </w:r>
      <w:r>
        <w:rPr>
          <w:color w:val="0D0D0D" w:themeColor="text1" w:themeTint="F2"/>
          <w:szCs w:val="20"/>
        </w:rPr>
        <w:t xml:space="preserve">era </w:t>
      </w:r>
      <w:r w:rsidRPr="0003207F">
        <w:rPr>
          <w:color w:val="0D0D0D" w:themeColor="text1" w:themeTint="F2"/>
          <w:szCs w:val="20"/>
        </w:rPr>
        <w:t xml:space="preserve">del 50%. Dado que Suiza se encuentra entre los países europeos con mejor acceso a </w:t>
      </w:r>
      <w:r>
        <w:rPr>
          <w:color w:val="0D0D0D" w:themeColor="text1" w:themeTint="F2"/>
          <w:szCs w:val="20"/>
        </w:rPr>
        <w:t xml:space="preserve">las </w:t>
      </w:r>
      <w:r w:rsidRPr="0003207F">
        <w:rPr>
          <w:color w:val="0D0D0D" w:themeColor="text1" w:themeTint="F2"/>
          <w:szCs w:val="20"/>
        </w:rPr>
        <w:t>nuevas terapias contra el cáncer</w:t>
      </w:r>
      <w:r>
        <w:rPr>
          <w:color w:val="0D0D0D" w:themeColor="text1" w:themeTint="F2"/>
          <w:szCs w:val="20"/>
        </w:rPr>
        <w:t xml:space="preserve">, </w:t>
      </w:r>
      <w:proofErr w:type="spellStart"/>
      <w:r w:rsidRPr="0003207F">
        <w:rPr>
          <w:color w:val="0D0D0D" w:themeColor="text1" w:themeTint="F2"/>
          <w:szCs w:val="20"/>
        </w:rPr>
        <w:t>Tibau</w:t>
      </w:r>
      <w:proofErr w:type="spellEnd"/>
      <w:r w:rsidRPr="0003207F">
        <w:rPr>
          <w:color w:val="0D0D0D" w:themeColor="text1" w:themeTint="F2"/>
          <w:szCs w:val="20"/>
        </w:rPr>
        <w:t xml:space="preserve"> et al</w:t>
      </w:r>
      <w:r>
        <w:rPr>
          <w:color w:val="0D0D0D" w:themeColor="text1" w:themeTint="F2"/>
          <w:szCs w:val="20"/>
        </w:rPr>
        <w:t>. analizaron el impacto de la disponibilidad de</w:t>
      </w:r>
      <w:r w:rsidRPr="0003207F">
        <w:rPr>
          <w:color w:val="0D0D0D" w:themeColor="text1" w:themeTint="F2"/>
          <w:szCs w:val="20"/>
        </w:rPr>
        <w:t xml:space="preserve"> fármacos oncológicos en Suiza </w:t>
      </w:r>
      <w:r>
        <w:rPr>
          <w:color w:val="0D0D0D" w:themeColor="text1" w:themeTint="F2"/>
          <w:szCs w:val="20"/>
        </w:rPr>
        <w:t xml:space="preserve">en la </w:t>
      </w:r>
      <w:r w:rsidRPr="0003207F">
        <w:rPr>
          <w:color w:val="0D0D0D" w:themeColor="text1" w:themeTint="F2"/>
          <w:szCs w:val="20"/>
        </w:rPr>
        <w:t>eficacia y la toxicidad asociadas a</w:t>
      </w:r>
      <w:r>
        <w:rPr>
          <w:color w:val="0D0D0D" w:themeColor="text1" w:themeTint="F2"/>
          <w:szCs w:val="20"/>
        </w:rPr>
        <w:t xml:space="preserve"> los tratamientos oncológicos nuevos</w:t>
      </w:r>
      <w:r w:rsidRPr="0003207F">
        <w:rPr>
          <w:color w:val="0D0D0D" w:themeColor="text1" w:themeTint="F2"/>
          <w:szCs w:val="20"/>
        </w:rPr>
        <w:t xml:space="preserve"> y sus implicaciones </w:t>
      </w:r>
      <w:r>
        <w:rPr>
          <w:color w:val="0D0D0D" w:themeColor="text1" w:themeTint="F2"/>
          <w:szCs w:val="20"/>
        </w:rPr>
        <w:t>para</w:t>
      </w:r>
      <w:r w:rsidRPr="0003207F">
        <w:rPr>
          <w:color w:val="0D0D0D" w:themeColor="text1" w:themeTint="F2"/>
          <w:szCs w:val="20"/>
        </w:rPr>
        <w:t xml:space="preserve"> el ámbito internacional [1]. </w:t>
      </w:r>
      <w:r>
        <w:rPr>
          <w:color w:val="0D0D0D" w:themeColor="text1" w:themeTint="F2"/>
          <w:szCs w:val="20"/>
        </w:rPr>
        <w:t>A</w:t>
      </w:r>
      <w:r w:rsidRPr="0003207F">
        <w:rPr>
          <w:color w:val="0D0D0D" w:themeColor="text1" w:themeTint="F2"/>
          <w:szCs w:val="20"/>
        </w:rPr>
        <w:t xml:space="preserve"> continuación</w:t>
      </w:r>
      <w:r>
        <w:rPr>
          <w:color w:val="0D0D0D" w:themeColor="text1" w:themeTint="F2"/>
          <w:szCs w:val="20"/>
        </w:rPr>
        <w:t>,</w:t>
      </w:r>
      <w:r w:rsidRPr="0003207F">
        <w:rPr>
          <w:color w:val="0D0D0D" w:themeColor="text1" w:themeTint="F2"/>
          <w:szCs w:val="20"/>
        </w:rPr>
        <w:t xml:space="preserve"> </w:t>
      </w:r>
      <w:r>
        <w:rPr>
          <w:color w:val="0D0D0D" w:themeColor="text1" w:themeTint="F2"/>
          <w:szCs w:val="20"/>
        </w:rPr>
        <w:t>p</w:t>
      </w:r>
      <w:r w:rsidRPr="0003207F">
        <w:rPr>
          <w:color w:val="0D0D0D" w:themeColor="text1" w:themeTint="F2"/>
          <w:szCs w:val="20"/>
        </w:rPr>
        <w:t>resentamos los aspectos más destacados de</w:t>
      </w:r>
      <w:r>
        <w:rPr>
          <w:color w:val="0D0D0D" w:themeColor="text1" w:themeTint="F2"/>
          <w:szCs w:val="20"/>
        </w:rPr>
        <w:t xml:space="preserve"> dicho </w:t>
      </w:r>
      <w:r w:rsidRPr="0003207F">
        <w:rPr>
          <w:color w:val="0D0D0D" w:themeColor="text1" w:themeTint="F2"/>
          <w:szCs w:val="20"/>
        </w:rPr>
        <w:t>análisis.</w:t>
      </w:r>
    </w:p>
    <w:p w14:paraId="52811BC7" w14:textId="77777777" w:rsidR="00663982" w:rsidRDefault="00663982" w:rsidP="00663982">
      <w:pPr>
        <w:rPr>
          <w:color w:val="0D0D0D" w:themeColor="text1" w:themeTint="F2"/>
          <w:szCs w:val="20"/>
        </w:rPr>
      </w:pPr>
    </w:p>
    <w:p w14:paraId="3E1386F9" w14:textId="77777777" w:rsidR="00663982" w:rsidRDefault="00663982" w:rsidP="00663982">
      <w:pPr>
        <w:rPr>
          <w:color w:val="0D0D0D" w:themeColor="text1" w:themeTint="F2"/>
          <w:szCs w:val="20"/>
        </w:rPr>
      </w:pPr>
      <w:r w:rsidRPr="00BB5035">
        <w:rPr>
          <w:color w:val="0D0D0D" w:themeColor="text1" w:themeTint="F2"/>
          <w:szCs w:val="20"/>
        </w:rPr>
        <w:t xml:space="preserve">Uno de los principales desafíos </w:t>
      </w:r>
      <w:r>
        <w:rPr>
          <w:color w:val="0D0D0D" w:themeColor="text1" w:themeTint="F2"/>
          <w:szCs w:val="20"/>
        </w:rPr>
        <w:t>para la</w:t>
      </w:r>
      <w:r w:rsidRPr="00BB5035">
        <w:rPr>
          <w:color w:val="0D0D0D" w:themeColor="text1" w:themeTint="F2"/>
          <w:szCs w:val="20"/>
        </w:rPr>
        <w:t xml:space="preserve"> salud del siglo XXI es </w:t>
      </w:r>
      <w:r>
        <w:rPr>
          <w:color w:val="0D0D0D" w:themeColor="text1" w:themeTint="F2"/>
          <w:szCs w:val="20"/>
        </w:rPr>
        <w:t>e</w:t>
      </w:r>
      <w:r w:rsidRPr="00BB5035">
        <w:rPr>
          <w:color w:val="0D0D0D" w:themeColor="text1" w:themeTint="F2"/>
          <w:szCs w:val="20"/>
        </w:rPr>
        <w:t xml:space="preserve">l </w:t>
      </w:r>
      <w:r>
        <w:rPr>
          <w:color w:val="0D0D0D" w:themeColor="text1" w:themeTint="F2"/>
          <w:szCs w:val="20"/>
        </w:rPr>
        <w:t>aumento de los pacientes</w:t>
      </w:r>
      <w:r w:rsidRPr="00BB5035">
        <w:rPr>
          <w:color w:val="0D0D0D" w:themeColor="text1" w:themeTint="F2"/>
          <w:szCs w:val="20"/>
        </w:rPr>
        <w:t xml:space="preserve"> oncológic</w:t>
      </w:r>
      <w:r>
        <w:rPr>
          <w:color w:val="0D0D0D" w:themeColor="text1" w:themeTint="F2"/>
          <w:szCs w:val="20"/>
        </w:rPr>
        <w:t>os</w:t>
      </w:r>
      <w:r w:rsidRPr="00BB5035">
        <w:rPr>
          <w:color w:val="0D0D0D" w:themeColor="text1" w:themeTint="F2"/>
          <w:szCs w:val="20"/>
        </w:rPr>
        <w:t>. Las autoridades reguladoras</w:t>
      </w:r>
      <w:r>
        <w:rPr>
          <w:color w:val="0D0D0D" w:themeColor="text1" w:themeTint="F2"/>
          <w:szCs w:val="20"/>
        </w:rPr>
        <w:t>,</w:t>
      </w:r>
      <w:r w:rsidRPr="00BB5035">
        <w:rPr>
          <w:color w:val="0D0D0D" w:themeColor="text1" w:themeTint="F2"/>
          <w:szCs w:val="20"/>
        </w:rPr>
        <w:t xml:space="preserve"> a nivel global</w:t>
      </w:r>
      <w:r>
        <w:rPr>
          <w:color w:val="0D0D0D" w:themeColor="text1" w:themeTint="F2"/>
          <w:szCs w:val="20"/>
        </w:rPr>
        <w:t>,</w:t>
      </w:r>
      <w:r w:rsidRPr="00BB5035">
        <w:rPr>
          <w:color w:val="0D0D0D" w:themeColor="text1" w:themeTint="F2"/>
          <w:szCs w:val="20"/>
        </w:rPr>
        <w:t xml:space="preserve"> agilizan cada vez más la</w:t>
      </w:r>
      <w:r>
        <w:rPr>
          <w:color w:val="0D0D0D" w:themeColor="text1" w:themeTint="F2"/>
          <w:szCs w:val="20"/>
        </w:rPr>
        <w:t xml:space="preserve"> </w:t>
      </w:r>
      <w:r w:rsidRPr="00BB5035">
        <w:rPr>
          <w:color w:val="0D0D0D" w:themeColor="text1" w:themeTint="F2"/>
          <w:szCs w:val="20"/>
        </w:rPr>
        <w:t xml:space="preserve">aprobación de nuevas terapias oncológicas, </w:t>
      </w:r>
      <w:r>
        <w:rPr>
          <w:color w:val="0D0D0D" w:themeColor="text1" w:themeTint="F2"/>
          <w:szCs w:val="20"/>
        </w:rPr>
        <w:t xml:space="preserve">y es frecuente </w:t>
      </w:r>
      <w:r w:rsidRPr="00BB5035">
        <w:rPr>
          <w:color w:val="0D0D0D" w:themeColor="text1" w:themeTint="F2"/>
          <w:szCs w:val="20"/>
        </w:rPr>
        <w:t xml:space="preserve">que </w:t>
      </w:r>
      <w:r>
        <w:rPr>
          <w:color w:val="0D0D0D" w:themeColor="text1" w:themeTint="F2"/>
          <w:szCs w:val="20"/>
        </w:rPr>
        <w:t xml:space="preserve">para evaluar la efectividad de un producto nuevo solo requieran información sobre su efecto en </w:t>
      </w:r>
      <w:r w:rsidRPr="00BB5035">
        <w:rPr>
          <w:color w:val="0D0D0D" w:themeColor="text1" w:themeTint="F2"/>
          <w:szCs w:val="20"/>
        </w:rPr>
        <w:t xml:space="preserve">criterios de valoración indirectos </w:t>
      </w:r>
      <w:r>
        <w:rPr>
          <w:color w:val="0D0D0D" w:themeColor="text1" w:themeTint="F2"/>
          <w:szCs w:val="20"/>
        </w:rPr>
        <w:t xml:space="preserve">o subrogados </w:t>
      </w:r>
      <w:r w:rsidRPr="00BB5035">
        <w:rPr>
          <w:color w:val="0D0D0D" w:themeColor="text1" w:themeTint="F2"/>
          <w:szCs w:val="20"/>
        </w:rPr>
        <w:t>[2]</w:t>
      </w:r>
      <w:r>
        <w:rPr>
          <w:color w:val="0D0D0D" w:themeColor="text1" w:themeTint="F2"/>
          <w:szCs w:val="20"/>
        </w:rPr>
        <w:t>, obviando los indicadores de eficacia clínica</w:t>
      </w:r>
      <w:r w:rsidRPr="00BB5035">
        <w:rPr>
          <w:color w:val="0D0D0D" w:themeColor="text1" w:themeTint="F2"/>
          <w:szCs w:val="20"/>
        </w:rPr>
        <w:t>.</w:t>
      </w:r>
      <w:r>
        <w:rPr>
          <w:color w:val="0D0D0D" w:themeColor="text1" w:themeTint="F2"/>
          <w:szCs w:val="20"/>
        </w:rPr>
        <w:t xml:space="preserve"> </w:t>
      </w:r>
    </w:p>
    <w:p w14:paraId="0E2DC498" w14:textId="77777777" w:rsidR="00663982" w:rsidRDefault="00663982" w:rsidP="00663982">
      <w:pPr>
        <w:rPr>
          <w:color w:val="0D0D0D" w:themeColor="text1" w:themeTint="F2"/>
          <w:szCs w:val="20"/>
        </w:rPr>
      </w:pPr>
    </w:p>
    <w:p w14:paraId="0CDBAF4C" w14:textId="77777777" w:rsidR="00663982" w:rsidRPr="00BB5035" w:rsidRDefault="00663982" w:rsidP="00663982">
      <w:pPr>
        <w:rPr>
          <w:color w:val="0D0D0D" w:themeColor="text1" w:themeTint="F2"/>
          <w:szCs w:val="20"/>
        </w:rPr>
      </w:pPr>
      <w:r>
        <w:rPr>
          <w:color w:val="0D0D0D" w:themeColor="text1" w:themeTint="F2"/>
          <w:szCs w:val="20"/>
        </w:rPr>
        <w:t>Dado el rápido aumento de la carga global de personas con cáncer, la decisión de aprobar nuevos fármacos oncológicos (usualmente de muy alto costo) debería apoyarse en el efecto del fármaco sobre l</w:t>
      </w:r>
      <w:r w:rsidRPr="00D821E7">
        <w:rPr>
          <w:color w:val="0D0D0D" w:themeColor="text1" w:themeTint="F2"/>
          <w:szCs w:val="20"/>
        </w:rPr>
        <w:t xml:space="preserve">a supervivencia global </w:t>
      </w:r>
      <w:r>
        <w:rPr>
          <w:color w:val="0D0D0D" w:themeColor="text1" w:themeTint="F2"/>
          <w:szCs w:val="20"/>
        </w:rPr>
        <w:t xml:space="preserve">(SG) </w:t>
      </w:r>
      <w:r w:rsidRPr="00D821E7">
        <w:rPr>
          <w:color w:val="0D0D0D" w:themeColor="text1" w:themeTint="F2"/>
          <w:szCs w:val="20"/>
        </w:rPr>
        <w:t>y l</w:t>
      </w:r>
      <w:r>
        <w:rPr>
          <w:color w:val="0D0D0D" w:themeColor="text1" w:themeTint="F2"/>
          <w:szCs w:val="20"/>
        </w:rPr>
        <w:t>a</w:t>
      </w:r>
      <w:r w:rsidRPr="00D821E7">
        <w:rPr>
          <w:color w:val="0D0D0D" w:themeColor="text1" w:themeTint="F2"/>
          <w:szCs w:val="20"/>
        </w:rPr>
        <w:t xml:space="preserve"> calidad de vida</w:t>
      </w:r>
      <w:r>
        <w:rPr>
          <w:color w:val="0D0D0D" w:themeColor="text1" w:themeTint="F2"/>
          <w:szCs w:val="20"/>
        </w:rPr>
        <w:t>, como criterios principales de valoración ineludibles.</w:t>
      </w:r>
    </w:p>
    <w:p w14:paraId="62E0B34D" w14:textId="77777777" w:rsidR="00663982" w:rsidRPr="00BB5035" w:rsidRDefault="00663982" w:rsidP="00663982">
      <w:pPr>
        <w:rPr>
          <w:color w:val="0D0D0D" w:themeColor="text1" w:themeTint="F2"/>
          <w:szCs w:val="20"/>
        </w:rPr>
      </w:pPr>
    </w:p>
    <w:p w14:paraId="614B6FC1" w14:textId="77777777" w:rsidR="00663982" w:rsidRPr="00BB5035" w:rsidRDefault="00663982" w:rsidP="00663982">
      <w:pPr>
        <w:rPr>
          <w:color w:val="0D0D0D" w:themeColor="text1" w:themeTint="F2"/>
          <w:szCs w:val="20"/>
        </w:rPr>
      </w:pPr>
      <w:r>
        <w:rPr>
          <w:color w:val="0D0D0D" w:themeColor="text1" w:themeTint="F2"/>
          <w:szCs w:val="20"/>
        </w:rPr>
        <w:t>L</w:t>
      </w:r>
      <w:r w:rsidRPr="00BB5035">
        <w:rPr>
          <w:color w:val="0D0D0D" w:themeColor="text1" w:themeTint="F2"/>
          <w:szCs w:val="20"/>
        </w:rPr>
        <w:t>a</w:t>
      </w:r>
      <w:r>
        <w:rPr>
          <w:color w:val="0D0D0D" w:themeColor="text1" w:themeTint="F2"/>
          <w:szCs w:val="20"/>
        </w:rPr>
        <w:t xml:space="preserve"> aceleración de los procesos de</w:t>
      </w:r>
      <w:r w:rsidRPr="00BB5035">
        <w:rPr>
          <w:color w:val="0D0D0D" w:themeColor="text1" w:themeTint="F2"/>
          <w:szCs w:val="20"/>
        </w:rPr>
        <w:t xml:space="preserve"> aproba</w:t>
      </w:r>
      <w:r>
        <w:rPr>
          <w:color w:val="0D0D0D" w:themeColor="text1" w:themeTint="F2"/>
          <w:szCs w:val="20"/>
        </w:rPr>
        <w:t>ción</w:t>
      </w:r>
      <w:r w:rsidRPr="00BB5035">
        <w:rPr>
          <w:color w:val="0D0D0D" w:themeColor="text1" w:themeTint="F2"/>
          <w:szCs w:val="20"/>
        </w:rPr>
        <w:t xml:space="preserve"> </w:t>
      </w:r>
      <w:r>
        <w:rPr>
          <w:color w:val="0D0D0D" w:themeColor="text1" w:themeTint="F2"/>
          <w:szCs w:val="20"/>
        </w:rPr>
        <w:t xml:space="preserve">de los </w:t>
      </w:r>
      <w:r w:rsidRPr="00BB5035">
        <w:rPr>
          <w:color w:val="0D0D0D" w:themeColor="text1" w:themeTint="F2"/>
          <w:szCs w:val="20"/>
        </w:rPr>
        <w:t>nuevos fármacos oncológicos</w:t>
      </w:r>
      <w:r>
        <w:rPr>
          <w:color w:val="0D0D0D" w:themeColor="text1" w:themeTint="F2"/>
          <w:szCs w:val="20"/>
        </w:rPr>
        <w:t xml:space="preserve">, permitiendo que se utilicen criterios de valoración indirectos genera </w:t>
      </w:r>
      <w:r w:rsidRPr="00BB5035">
        <w:rPr>
          <w:color w:val="0D0D0D" w:themeColor="text1" w:themeTint="F2"/>
          <w:szCs w:val="20"/>
        </w:rPr>
        <w:t xml:space="preserve">incertidumbre </w:t>
      </w:r>
      <w:r>
        <w:rPr>
          <w:color w:val="0D0D0D" w:themeColor="text1" w:themeTint="F2"/>
          <w:szCs w:val="20"/>
        </w:rPr>
        <w:t>en torno</w:t>
      </w:r>
      <w:r w:rsidRPr="00BB5035">
        <w:rPr>
          <w:color w:val="0D0D0D" w:themeColor="text1" w:themeTint="F2"/>
          <w:szCs w:val="20"/>
        </w:rPr>
        <w:t xml:space="preserve"> al beneficio clínico</w:t>
      </w:r>
      <w:r>
        <w:rPr>
          <w:color w:val="0D0D0D" w:themeColor="text1" w:themeTint="F2"/>
          <w:szCs w:val="20"/>
        </w:rPr>
        <w:t xml:space="preserve"> real del medicamento</w:t>
      </w:r>
      <w:r w:rsidRPr="00BB5035">
        <w:rPr>
          <w:color w:val="0D0D0D" w:themeColor="text1" w:themeTint="F2"/>
          <w:szCs w:val="20"/>
        </w:rPr>
        <w:t xml:space="preserve">, especialmente cuando </w:t>
      </w:r>
      <w:r>
        <w:rPr>
          <w:color w:val="0D0D0D" w:themeColor="text1" w:themeTint="F2"/>
          <w:szCs w:val="20"/>
        </w:rPr>
        <w:t>no hay datos de</w:t>
      </w:r>
      <w:r w:rsidRPr="00BB5035">
        <w:rPr>
          <w:color w:val="0D0D0D" w:themeColor="text1" w:themeTint="F2"/>
          <w:szCs w:val="20"/>
        </w:rPr>
        <w:t xml:space="preserve"> supervivencia global y</w:t>
      </w:r>
      <w:r>
        <w:rPr>
          <w:color w:val="0D0D0D" w:themeColor="text1" w:themeTint="F2"/>
          <w:szCs w:val="20"/>
        </w:rPr>
        <w:t xml:space="preserve"> de</w:t>
      </w:r>
      <w:r w:rsidRPr="00BB5035">
        <w:rPr>
          <w:color w:val="0D0D0D" w:themeColor="text1" w:themeTint="F2"/>
          <w:szCs w:val="20"/>
        </w:rPr>
        <w:t xml:space="preserve"> calidad de vida </w:t>
      </w:r>
      <w:r>
        <w:rPr>
          <w:color w:val="0D0D0D" w:themeColor="text1" w:themeTint="F2"/>
          <w:szCs w:val="20"/>
        </w:rPr>
        <w:t>en el</w:t>
      </w:r>
      <w:r w:rsidRPr="00BB5035">
        <w:rPr>
          <w:color w:val="0D0D0D" w:themeColor="text1" w:themeTint="F2"/>
          <w:szCs w:val="20"/>
        </w:rPr>
        <w:t xml:space="preserve"> momento de </w:t>
      </w:r>
      <w:r>
        <w:rPr>
          <w:color w:val="0D0D0D" w:themeColor="text1" w:themeTint="F2"/>
          <w:szCs w:val="20"/>
        </w:rPr>
        <w:t>su</w:t>
      </w:r>
      <w:r w:rsidRPr="00BB5035">
        <w:rPr>
          <w:color w:val="0D0D0D" w:themeColor="text1" w:themeTint="F2"/>
          <w:szCs w:val="20"/>
        </w:rPr>
        <w:t xml:space="preserve"> aprobación [3].</w:t>
      </w:r>
    </w:p>
    <w:p w14:paraId="260B36B3" w14:textId="77777777" w:rsidR="00663982" w:rsidRPr="00D15F28" w:rsidRDefault="00663982" w:rsidP="00663982">
      <w:pPr>
        <w:rPr>
          <w:color w:val="FF0000"/>
          <w:szCs w:val="20"/>
        </w:rPr>
      </w:pPr>
    </w:p>
    <w:p w14:paraId="173E46F9" w14:textId="77777777" w:rsidR="00663982" w:rsidRDefault="00663982" w:rsidP="00663982">
      <w:pPr>
        <w:rPr>
          <w:color w:val="0D0D0D" w:themeColor="text1" w:themeTint="F2"/>
          <w:szCs w:val="20"/>
        </w:rPr>
      </w:pPr>
      <w:proofErr w:type="spellStart"/>
      <w:r w:rsidRPr="00A7334E">
        <w:rPr>
          <w:color w:val="0D0D0D" w:themeColor="text1" w:themeTint="F2"/>
          <w:szCs w:val="20"/>
        </w:rPr>
        <w:t>Rahimzadeh</w:t>
      </w:r>
      <w:proofErr w:type="spellEnd"/>
      <w:r w:rsidRPr="00A7334E">
        <w:rPr>
          <w:color w:val="0D0D0D" w:themeColor="text1" w:themeTint="F2"/>
          <w:szCs w:val="20"/>
        </w:rPr>
        <w:t xml:space="preserve"> et al [4] p</w:t>
      </w:r>
      <w:r>
        <w:rPr>
          <w:color w:val="0D0D0D" w:themeColor="text1" w:themeTint="F2"/>
          <w:szCs w:val="20"/>
        </w:rPr>
        <w:t>ublicaro</w:t>
      </w:r>
      <w:r w:rsidRPr="00A7334E">
        <w:rPr>
          <w:color w:val="0D0D0D" w:themeColor="text1" w:themeTint="F2"/>
          <w:szCs w:val="20"/>
        </w:rPr>
        <w:t>n un metaanálisis que eval</w:t>
      </w:r>
      <w:r>
        <w:rPr>
          <w:color w:val="0D0D0D" w:themeColor="text1" w:themeTint="F2"/>
          <w:szCs w:val="20"/>
        </w:rPr>
        <w:t>uó</w:t>
      </w:r>
      <w:r w:rsidRPr="00A7334E">
        <w:rPr>
          <w:color w:val="0D0D0D" w:themeColor="text1" w:themeTint="F2"/>
          <w:szCs w:val="20"/>
        </w:rPr>
        <w:t xml:space="preserve"> la evidencia que respald</w:t>
      </w:r>
      <w:r>
        <w:rPr>
          <w:color w:val="0D0D0D" w:themeColor="text1" w:themeTint="F2"/>
          <w:szCs w:val="20"/>
        </w:rPr>
        <w:t>ó la aprobación de</w:t>
      </w:r>
      <w:r w:rsidRPr="00A7334E">
        <w:rPr>
          <w:color w:val="0D0D0D" w:themeColor="text1" w:themeTint="F2"/>
          <w:szCs w:val="20"/>
        </w:rPr>
        <w:t xml:space="preserve"> </w:t>
      </w:r>
      <w:r>
        <w:rPr>
          <w:color w:val="0D0D0D" w:themeColor="text1" w:themeTint="F2"/>
          <w:szCs w:val="20"/>
        </w:rPr>
        <w:t xml:space="preserve">los </w:t>
      </w:r>
      <w:r w:rsidRPr="00A7334E">
        <w:rPr>
          <w:color w:val="0D0D0D" w:themeColor="text1" w:themeTint="F2"/>
          <w:szCs w:val="20"/>
        </w:rPr>
        <w:t xml:space="preserve">fármacos </w:t>
      </w:r>
      <w:r>
        <w:rPr>
          <w:color w:val="0D0D0D" w:themeColor="text1" w:themeTint="F2"/>
          <w:szCs w:val="20"/>
        </w:rPr>
        <w:t>oncológicos</w:t>
      </w:r>
      <w:r w:rsidRPr="00A7334E">
        <w:rPr>
          <w:color w:val="0D0D0D" w:themeColor="text1" w:themeTint="F2"/>
          <w:szCs w:val="20"/>
        </w:rPr>
        <w:t xml:space="preserve"> por </w:t>
      </w:r>
      <w:proofErr w:type="spellStart"/>
      <w:r w:rsidRPr="00A7334E">
        <w:rPr>
          <w:color w:val="0D0D0D" w:themeColor="text1" w:themeTint="F2"/>
          <w:szCs w:val="20"/>
        </w:rPr>
        <w:t>Swissmedic</w:t>
      </w:r>
      <w:proofErr w:type="spellEnd"/>
      <w:r w:rsidRPr="00A7334E">
        <w:rPr>
          <w:color w:val="0D0D0D" w:themeColor="text1" w:themeTint="F2"/>
          <w:szCs w:val="20"/>
        </w:rPr>
        <w:t xml:space="preserve"> entre 2001 y 2020, </w:t>
      </w:r>
      <w:r>
        <w:rPr>
          <w:color w:val="0D0D0D" w:themeColor="text1" w:themeTint="F2"/>
          <w:szCs w:val="20"/>
        </w:rPr>
        <w:t>i</w:t>
      </w:r>
      <w:r w:rsidRPr="00A7334E">
        <w:rPr>
          <w:color w:val="0D0D0D" w:themeColor="text1" w:themeTint="F2"/>
          <w:szCs w:val="20"/>
        </w:rPr>
        <w:t>ncluye</w:t>
      </w:r>
      <w:r>
        <w:rPr>
          <w:color w:val="0D0D0D" w:themeColor="text1" w:themeTint="F2"/>
          <w:szCs w:val="20"/>
        </w:rPr>
        <w:t>ndo los</w:t>
      </w:r>
      <w:r w:rsidRPr="00A7334E">
        <w:rPr>
          <w:color w:val="0D0D0D" w:themeColor="text1" w:themeTint="F2"/>
          <w:szCs w:val="20"/>
        </w:rPr>
        <w:t xml:space="preserve"> principios activos nuevos y </w:t>
      </w:r>
      <w:r>
        <w:rPr>
          <w:color w:val="0D0D0D" w:themeColor="text1" w:themeTint="F2"/>
          <w:szCs w:val="20"/>
        </w:rPr>
        <w:t xml:space="preserve">las </w:t>
      </w:r>
      <w:r w:rsidRPr="00A7334E">
        <w:rPr>
          <w:color w:val="0D0D0D" w:themeColor="text1" w:themeTint="F2"/>
          <w:szCs w:val="20"/>
        </w:rPr>
        <w:t>nuevas indicaciones de</w:t>
      </w:r>
      <w:r>
        <w:rPr>
          <w:color w:val="0D0D0D" w:themeColor="text1" w:themeTint="F2"/>
          <w:szCs w:val="20"/>
        </w:rPr>
        <w:t xml:space="preserve"> los previamente aprobados</w:t>
      </w:r>
      <w:r w:rsidRPr="00A7334E">
        <w:rPr>
          <w:color w:val="0D0D0D" w:themeColor="text1" w:themeTint="F2"/>
          <w:szCs w:val="20"/>
        </w:rPr>
        <w:t xml:space="preserve">. </w:t>
      </w:r>
    </w:p>
    <w:p w14:paraId="4B357F0B" w14:textId="77777777" w:rsidR="00663982" w:rsidRDefault="00663982" w:rsidP="00663982">
      <w:pPr>
        <w:rPr>
          <w:color w:val="0D0D0D" w:themeColor="text1" w:themeTint="F2"/>
          <w:szCs w:val="20"/>
        </w:rPr>
      </w:pPr>
    </w:p>
    <w:p w14:paraId="5E57B8DD" w14:textId="77777777" w:rsidR="00663982" w:rsidRPr="00F0046D" w:rsidRDefault="00663982" w:rsidP="00663982">
      <w:pPr>
        <w:rPr>
          <w:color w:val="0D0D0D" w:themeColor="text1" w:themeTint="F2"/>
          <w:szCs w:val="20"/>
        </w:rPr>
      </w:pPr>
      <w:r w:rsidRPr="00A7334E">
        <w:rPr>
          <w:color w:val="0D0D0D" w:themeColor="text1" w:themeTint="F2"/>
          <w:szCs w:val="20"/>
        </w:rPr>
        <w:t>En este metaanálisis</w:t>
      </w:r>
      <w:r>
        <w:rPr>
          <w:color w:val="0D0D0D" w:themeColor="text1" w:themeTint="F2"/>
          <w:szCs w:val="20"/>
        </w:rPr>
        <w:t>,</w:t>
      </w:r>
      <w:r w:rsidRPr="00A7334E">
        <w:rPr>
          <w:color w:val="0D0D0D" w:themeColor="text1" w:themeTint="F2"/>
          <w:szCs w:val="20"/>
        </w:rPr>
        <w:t xml:space="preserve"> los investigadores evidenciaron que </w:t>
      </w:r>
      <w:r>
        <w:rPr>
          <w:color w:val="0D0D0D" w:themeColor="text1" w:themeTint="F2"/>
          <w:szCs w:val="20"/>
        </w:rPr>
        <w:t>cerca d</w:t>
      </w:r>
      <w:r w:rsidRPr="00D821E7">
        <w:rPr>
          <w:color w:val="0D0D0D" w:themeColor="text1" w:themeTint="F2"/>
          <w:szCs w:val="20"/>
        </w:rPr>
        <w:t>el 70%</w:t>
      </w:r>
      <w:r>
        <w:rPr>
          <w:color w:val="0D0D0D" w:themeColor="text1" w:themeTint="F2"/>
          <w:szCs w:val="20"/>
        </w:rPr>
        <w:t xml:space="preserve"> (n=264)</w:t>
      </w:r>
      <w:r w:rsidRPr="00D821E7">
        <w:rPr>
          <w:color w:val="0D0D0D" w:themeColor="text1" w:themeTint="F2"/>
          <w:szCs w:val="20"/>
        </w:rPr>
        <w:t xml:space="preserve"> </w:t>
      </w:r>
      <w:r>
        <w:rPr>
          <w:color w:val="0D0D0D" w:themeColor="text1" w:themeTint="F2"/>
          <w:szCs w:val="20"/>
        </w:rPr>
        <w:t xml:space="preserve">de los </w:t>
      </w:r>
      <w:r w:rsidRPr="00D821E7">
        <w:rPr>
          <w:color w:val="0D0D0D" w:themeColor="text1" w:themeTint="F2"/>
          <w:szCs w:val="20"/>
        </w:rPr>
        <w:t xml:space="preserve">ensayos </w:t>
      </w:r>
      <w:proofErr w:type="spellStart"/>
      <w:r>
        <w:rPr>
          <w:color w:val="0D0D0D" w:themeColor="text1" w:themeTint="F2"/>
          <w:szCs w:val="20"/>
        </w:rPr>
        <w:t>pivo</w:t>
      </w:r>
      <w:r w:rsidRPr="00D821E7">
        <w:rPr>
          <w:color w:val="0D0D0D" w:themeColor="text1" w:themeTint="F2"/>
          <w:szCs w:val="20"/>
        </w:rPr>
        <w:t>tales</w:t>
      </w:r>
      <w:proofErr w:type="spellEnd"/>
      <w:r w:rsidRPr="00D821E7">
        <w:rPr>
          <w:color w:val="0D0D0D" w:themeColor="text1" w:themeTint="F2"/>
          <w:szCs w:val="20"/>
        </w:rPr>
        <w:t xml:space="preserve"> que respalda</w:t>
      </w:r>
      <w:r>
        <w:rPr>
          <w:color w:val="0D0D0D" w:themeColor="text1" w:themeTint="F2"/>
          <w:szCs w:val="20"/>
        </w:rPr>
        <w:t>ro</w:t>
      </w:r>
      <w:r w:rsidRPr="00D821E7">
        <w:rPr>
          <w:color w:val="0D0D0D" w:themeColor="text1" w:themeTint="F2"/>
          <w:szCs w:val="20"/>
        </w:rPr>
        <w:t xml:space="preserve">n las </w:t>
      </w:r>
      <w:r w:rsidRPr="00D821E7">
        <w:rPr>
          <w:color w:val="0D0D0D" w:themeColor="text1" w:themeTint="F2"/>
          <w:szCs w:val="20"/>
        </w:rPr>
        <w:t xml:space="preserve">aprobaciones de </w:t>
      </w:r>
      <w:r>
        <w:rPr>
          <w:color w:val="0D0D0D" w:themeColor="text1" w:themeTint="F2"/>
          <w:szCs w:val="20"/>
        </w:rPr>
        <w:t xml:space="preserve">los nuevos </w:t>
      </w:r>
      <w:r w:rsidRPr="00D821E7">
        <w:rPr>
          <w:color w:val="0D0D0D" w:themeColor="text1" w:themeTint="F2"/>
          <w:szCs w:val="20"/>
        </w:rPr>
        <w:t xml:space="preserve">fármacos oncológicos </w:t>
      </w:r>
      <w:r>
        <w:rPr>
          <w:color w:val="0D0D0D" w:themeColor="text1" w:themeTint="F2"/>
          <w:szCs w:val="20"/>
        </w:rPr>
        <w:t>en Suiza, utilizaron</w:t>
      </w:r>
      <w:r w:rsidRPr="00D821E7">
        <w:rPr>
          <w:color w:val="0D0D0D" w:themeColor="text1" w:themeTint="F2"/>
          <w:szCs w:val="20"/>
        </w:rPr>
        <w:t xml:space="preserve"> como criterio de valoración principal medidas indirectas, principalmente la supervivencia libre de progresión (SLP)</w:t>
      </w:r>
      <w:r>
        <w:rPr>
          <w:color w:val="0D0D0D" w:themeColor="text1" w:themeTint="F2"/>
          <w:szCs w:val="20"/>
        </w:rPr>
        <w:t>, exigieron un beneficio clínico absoluto modesto en alargar la supervivencia (</w:t>
      </w:r>
      <w:r w:rsidRPr="00D821E7">
        <w:rPr>
          <w:color w:val="0D0D0D" w:themeColor="text1" w:themeTint="F2"/>
          <w:szCs w:val="20"/>
        </w:rPr>
        <w:t>3,5 meses en la SLP</w:t>
      </w:r>
      <w:r>
        <w:rPr>
          <w:color w:val="0D0D0D" w:themeColor="text1" w:themeTint="F2"/>
          <w:szCs w:val="20"/>
        </w:rPr>
        <w:t xml:space="preserve"> y </w:t>
      </w:r>
      <w:r w:rsidRPr="00D821E7">
        <w:rPr>
          <w:color w:val="0D0D0D" w:themeColor="text1" w:themeTint="F2"/>
          <w:szCs w:val="20"/>
        </w:rPr>
        <w:t>2,4 meses en la SG</w:t>
      </w:r>
      <w:r>
        <w:rPr>
          <w:color w:val="0D0D0D" w:themeColor="text1" w:themeTint="F2"/>
          <w:szCs w:val="20"/>
        </w:rPr>
        <w:t xml:space="preserve">), y el </w:t>
      </w:r>
      <w:r w:rsidRPr="00D821E7">
        <w:rPr>
          <w:color w:val="0D0D0D" w:themeColor="text1" w:themeTint="F2"/>
          <w:szCs w:val="20"/>
        </w:rPr>
        <w:t>cociente de riesgo combinado para la S</w:t>
      </w:r>
      <w:r>
        <w:rPr>
          <w:color w:val="0D0D0D" w:themeColor="text1" w:themeTint="F2"/>
          <w:szCs w:val="20"/>
        </w:rPr>
        <w:t>LP</w:t>
      </w:r>
      <w:r w:rsidRPr="00D821E7">
        <w:rPr>
          <w:color w:val="0D0D0D" w:themeColor="text1" w:themeTint="F2"/>
          <w:szCs w:val="20"/>
        </w:rPr>
        <w:t xml:space="preserve"> </w:t>
      </w:r>
      <w:r>
        <w:rPr>
          <w:color w:val="0D0D0D" w:themeColor="text1" w:themeTint="F2"/>
          <w:szCs w:val="20"/>
        </w:rPr>
        <w:t xml:space="preserve">fue </w:t>
      </w:r>
      <w:r w:rsidRPr="00D821E7">
        <w:rPr>
          <w:color w:val="0D0D0D" w:themeColor="text1" w:themeTint="F2"/>
          <w:szCs w:val="20"/>
        </w:rPr>
        <w:t>de 0,55</w:t>
      </w:r>
      <w:r>
        <w:rPr>
          <w:color w:val="0D0D0D" w:themeColor="text1" w:themeTint="F2"/>
          <w:szCs w:val="20"/>
        </w:rPr>
        <w:t xml:space="preserve">, con </w:t>
      </w:r>
      <w:r w:rsidRPr="00D821E7">
        <w:rPr>
          <w:color w:val="0D0D0D" w:themeColor="text1" w:themeTint="F2"/>
          <w:szCs w:val="20"/>
        </w:rPr>
        <w:t>IC del 95% 0,52-0,58</w:t>
      </w:r>
      <w:r>
        <w:rPr>
          <w:color w:val="0D0D0D" w:themeColor="text1" w:themeTint="F2"/>
          <w:szCs w:val="20"/>
        </w:rPr>
        <w:t xml:space="preserve"> [4]. </w:t>
      </w:r>
    </w:p>
    <w:p w14:paraId="665BD764" w14:textId="77777777" w:rsidR="00663982" w:rsidRDefault="00663982" w:rsidP="00663982">
      <w:pPr>
        <w:rPr>
          <w:color w:val="0D0D0D" w:themeColor="text1" w:themeTint="F2"/>
          <w:szCs w:val="20"/>
        </w:rPr>
      </w:pPr>
    </w:p>
    <w:p w14:paraId="6C6300C0" w14:textId="77777777" w:rsidR="00663982" w:rsidRDefault="00663982" w:rsidP="00663982">
      <w:pPr>
        <w:rPr>
          <w:color w:val="0D0D0D" w:themeColor="text1" w:themeTint="F2"/>
          <w:szCs w:val="20"/>
        </w:rPr>
      </w:pPr>
      <w:r>
        <w:rPr>
          <w:color w:val="0D0D0D" w:themeColor="text1" w:themeTint="F2"/>
          <w:szCs w:val="20"/>
        </w:rPr>
        <w:t>S</w:t>
      </w:r>
      <w:r w:rsidRPr="00D821E7">
        <w:rPr>
          <w:color w:val="0D0D0D" w:themeColor="text1" w:themeTint="F2"/>
          <w:szCs w:val="20"/>
        </w:rPr>
        <w:t>e destaca que los cocientes de riesgo para la supervivencia global (SG</w:t>
      </w:r>
      <w:r>
        <w:rPr>
          <w:color w:val="0D0D0D" w:themeColor="text1" w:themeTint="F2"/>
          <w:szCs w:val="20"/>
        </w:rPr>
        <w:t xml:space="preserve">, que </w:t>
      </w:r>
      <w:r w:rsidRPr="00D821E7">
        <w:rPr>
          <w:color w:val="0D0D0D" w:themeColor="text1" w:themeTint="F2"/>
          <w:szCs w:val="20"/>
        </w:rPr>
        <w:t xml:space="preserve">fueron de 0,76 </w:t>
      </w:r>
      <w:r>
        <w:rPr>
          <w:color w:val="0D0D0D" w:themeColor="text1" w:themeTint="F2"/>
          <w:szCs w:val="20"/>
        </w:rPr>
        <w:t>-</w:t>
      </w:r>
      <w:r w:rsidRPr="00D821E7">
        <w:rPr>
          <w:color w:val="0D0D0D" w:themeColor="text1" w:themeTint="F2"/>
          <w:szCs w:val="20"/>
        </w:rPr>
        <w:t>IC del 95%: 0,74-0,77</w:t>
      </w:r>
      <w:r>
        <w:rPr>
          <w:color w:val="0D0D0D" w:themeColor="text1" w:themeTint="F2"/>
          <w:szCs w:val="20"/>
        </w:rPr>
        <w:t>-</w:t>
      </w:r>
      <w:r w:rsidRPr="00D821E7">
        <w:rPr>
          <w:color w:val="0D0D0D" w:themeColor="text1" w:themeTint="F2"/>
          <w:szCs w:val="20"/>
        </w:rPr>
        <w:t xml:space="preserve">) </w:t>
      </w:r>
      <w:r>
        <w:rPr>
          <w:color w:val="0D0D0D" w:themeColor="text1" w:themeTint="F2"/>
          <w:szCs w:val="20"/>
        </w:rPr>
        <w:t xml:space="preserve">solo se </w:t>
      </w:r>
      <w:r w:rsidRPr="00D821E7">
        <w:rPr>
          <w:color w:val="0D0D0D" w:themeColor="text1" w:themeTint="F2"/>
          <w:szCs w:val="20"/>
        </w:rPr>
        <w:t xml:space="preserve">pudieron estimar </w:t>
      </w:r>
      <w:r>
        <w:rPr>
          <w:color w:val="0D0D0D" w:themeColor="text1" w:themeTint="F2"/>
          <w:szCs w:val="20"/>
        </w:rPr>
        <w:t>para</w:t>
      </w:r>
      <w:r w:rsidRPr="00D821E7">
        <w:rPr>
          <w:color w:val="0D0D0D" w:themeColor="text1" w:themeTint="F2"/>
          <w:szCs w:val="20"/>
        </w:rPr>
        <w:t xml:space="preserve"> 194 de 241 ensayos aleatorizados (80%), mientras que la ganancia e</w:t>
      </w:r>
      <w:r>
        <w:rPr>
          <w:color w:val="0D0D0D" w:themeColor="text1" w:themeTint="F2"/>
          <w:szCs w:val="20"/>
        </w:rPr>
        <w:t>n</w:t>
      </w:r>
      <w:r w:rsidRPr="00D821E7">
        <w:rPr>
          <w:color w:val="0D0D0D" w:themeColor="text1" w:themeTint="F2"/>
          <w:szCs w:val="20"/>
        </w:rPr>
        <w:t xml:space="preserve"> SG solo estuv</w:t>
      </w:r>
      <w:r>
        <w:rPr>
          <w:color w:val="0D0D0D" w:themeColor="text1" w:themeTint="F2"/>
          <w:szCs w:val="20"/>
        </w:rPr>
        <w:t>o</w:t>
      </w:r>
      <w:r w:rsidRPr="00D821E7">
        <w:rPr>
          <w:color w:val="0D0D0D" w:themeColor="text1" w:themeTint="F2"/>
          <w:szCs w:val="20"/>
        </w:rPr>
        <w:t xml:space="preserve"> disponible en 93 ensayos </w:t>
      </w:r>
      <w:proofErr w:type="spellStart"/>
      <w:r>
        <w:rPr>
          <w:color w:val="0D0D0D" w:themeColor="text1" w:themeTint="F2"/>
          <w:szCs w:val="20"/>
        </w:rPr>
        <w:t>pivotales</w:t>
      </w:r>
      <w:proofErr w:type="spellEnd"/>
      <w:r>
        <w:rPr>
          <w:color w:val="0D0D0D" w:themeColor="text1" w:themeTint="F2"/>
          <w:szCs w:val="20"/>
        </w:rPr>
        <w:t xml:space="preserve"> </w:t>
      </w:r>
      <w:r w:rsidRPr="00D821E7">
        <w:rPr>
          <w:color w:val="0D0D0D" w:themeColor="text1" w:themeTint="F2"/>
          <w:szCs w:val="20"/>
        </w:rPr>
        <w:t>(39%)</w:t>
      </w:r>
      <w:r>
        <w:rPr>
          <w:color w:val="0D0D0D" w:themeColor="text1" w:themeTint="F2"/>
          <w:szCs w:val="20"/>
        </w:rPr>
        <w:t xml:space="preserve"> [4]</w:t>
      </w:r>
      <w:r w:rsidRPr="00D821E7">
        <w:rPr>
          <w:color w:val="0D0D0D" w:themeColor="text1" w:themeTint="F2"/>
          <w:szCs w:val="20"/>
        </w:rPr>
        <w:t xml:space="preserve">. </w:t>
      </w:r>
    </w:p>
    <w:p w14:paraId="2D20B565" w14:textId="77777777" w:rsidR="00663982" w:rsidRDefault="00663982" w:rsidP="00663982">
      <w:pPr>
        <w:rPr>
          <w:color w:val="0D0D0D" w:themeColor="text1" w:themeTint="F2"/>
          <w:szCs w:val="20"/>
        </w:rPr>
      </w:pPr>
    </w:p>
    <w:p w14:paraId="5ADBB00B" w14:textId="77777777" w:rsidR="00663982" w:rsidRDefault="00663982" w:rsidP="00663982">
      <w:pPr>
        <w:rPr>
          <w:color w:val="0D0D0D" w:themeColor="text1" w:themeTint="F2"/>
          <w:szCs w:val="20"/>
        </w:rPr>
      </w:pPr>
      <w:r>
        <w:rPr>
          <w:color w:val="0D0D0D" w:themeColor="text1" w:themeTint="F2"/>
          <w:szCs w:val="20"/>
        </w:rPr>
        <w:t>Otros e</w:t>
      </w:r>
      <w:r w:rsidRPr="00D821E7">
        <w:rPr>
          <w:color w:val="0D0D0D" w:themeColor="text1" w:themeTint="F2"/>
          <w:szCs w:val="20"/>
        </w:rPr>
        <w:t>studios</w:t>
      </w:r>
      <w:r>
        <w:rPr>
          <w:color w:val="0D0D0D" w:themeColor="text1" w:themeTint="F2"/>
          <w:szCs w:val="20"/>
        </w:rPr>
        <w:t xml:space="preserve"> que </w:t>
      </w:r>
      <w:r w:rsidRPr="00D821E7">
        <w:rPr>
          <w:color w:val="0D0D0D" w:themeColor="text1" w:themeTint="F2"/>
          <w:szCs w:val="20"/>
        </w:rPr>
        <w:t>evaluaron la seguridad y la eficacia</w:t>
      </w:r>
      <w:r>
        <w:rPr>
          <w:color w:val="0D0D0D" w:themeColor="text1" w:themeTint="F2"/>
          <w:szCs w:val="20"/>
        </w:rPr>
        <w:t xml:space="preserve"> de nuevos fármacos oncológicos revelaron</w:t>
      </w:r>
      <w:r w:rsidRPr="00D821E7">
        <w:rPr>
          <w:color w:val="0D0D0D" w:themeColor="text1" w:themeTint="F2"/>
          <w:szCs w:val="20"/>
        </w:rPr>
        <w:t xml:space="preserve"> hallazgos preocupantes</w:t>
      </w:r>
      <w:r>
        <w:rPr>
          <w:color w:val="0D0D0D" w:themeColor="text1" w:themeTint="F2"/>
          <w:szCs w:val="20"/>
        </w:rPr>
        <w:t>: a</w:t>
      </w:r>
      <w:r w:rsidRPr="00D821E7">
        <w:rPr>
          <w:color w:val="0D0D0D" w:themeColor="text1" w:themeTint="F2"/>
          <w:szCs w:val="20"/>
        </w:rPr>
        <w:t>proximadamente uno de cada cuatro pacientes experimentó un evento adverso grave, incluyendo eventos potencialmente mortales, hospitalización o discapacidad significativa</w:t>
      </w:r>
      <w:r>
        <w:rPr>
          <w:color w:val="0D0D0D" w:themeColor="text1" w:themeTint="F2"/>
          <w:szCs w:val="20"/>
        </w:rPr>
        <w:t xml:space="preserve"> [1].</w:t>
      </w:r>
      <w:r w:rsidRPr="00D821E7">
        <w:rPr>
          <w:color w:val="0D0D0D" w:themeColor="text1" w:themeTint="F2"/>
          <w:szCs w:val="20"/>
        </w:rPr>
        <w:t xml:space="preserve"> </w:t>
      </w:r>
      <w:r>
        <w:rPr>
          <w:color w:val="0D0D0D" w:themeColor="text1" w:themeTint="F2"/>
          <w:szCs w:val="20"/>
        </w:rPr>
        <w:t>Además, teniendo en cuenta</w:t>
      </w:r>
      <w:r w:rsidRPr="00D821E7">
        <w:rPr>
          <w:color w:val="0D0D0D" w:themeColor="text1" w:themeTint="F2"/>
          <w:szCs w:val="20"/>
        </w:rPr>
        <w:t xml:space="preserve"> que los pacientes tratados en la práctica clínica habitual </w:t>
      </w:r>
      <w:r>
        <w:rPr>
          <w:color w:val="0D0D0D" w:themeColor="text1" w:themeTint="F2"/>
          <w:szCs w:val="20"/>
        </w:rPr>
        <w:t>pueden tener condiciones de</w:t>
      </w:r>
      <w:r w:rsidRPr="00D821E7">
        <w:rPr>
          <w:color w:val="0D0D0D" w:themeColor="text1" w:themeTint="F2"/>
          <w:szCs w:val="20"/>
        </w:rPr>
        <w:t xml:space="preserve"> salud </w:t>
      </w:r>
      <w:r>
        <w:rPr>
          <w:color w:val="0D0D0D" w:themeColor="text1" w:themeTint="F2"/>
          <w:szCs w:val="20"/>
        </w:rPr>
        <w:t>más delicadas (por lo general quedan ex</w:t>
      </w:r>
      <w:r w:rsidRPr="00D821E7">
        <w:rPr>
          <w:color w:val="0D0D0D" w:themeColor="text1" w:themeTint="F2"/>
          <w:szCs w:val="20"/>
        </w:rPr>
        <w:t xml:space="preserve">cluidos </w:t>
      </w:r>
      <w:r>
        <w:rPr>
          <w:color w:val="0D0D0D" w:themeColor="text1" w:themeTint="F2"/>
          <w:szCs w:val="20"/>
        </w:rPr>
        <w:t>d</w:t>
      </w:r>
      <w:r w:rsidRPr="00D821E7">
        <w:rPr>
          <w:color w:val="0D0D0D" w:themeColor="text1" w:themeTint="F2"/>
          <w:szCs w:val="20"/>
        </w:rPr>
        <w:t>e</w:t>
      </w:r>
      <w:r>
        <w:rPr>
          <w:color w:val="0D0D0D" w:themeColor="text1" w:themeTint="F2"/>
          <w:szCs w:val="20"/>
        </w:rPr>
        <w:t xml:space="preserve"> los</w:t>
      </w:r>
      <w:r w:rsidRPr="00D821E7">
        <w:rPr>
          <w:color w:val="0D0D0D" w:themeColor="text1" w:themeTint="F2"/>
          <w:szCs w:val="20"/>
        </w:rPr>
        <w:t xml:space="preserve"> ensayos clínicos</w:t>
      </w:r>
      <w:r>
        <w:rPr>
          <w:color w:val="0D0D0D" w:themeColor="text1" w:themeTint="F2"/>
          <w:szCs w:val="20"/>
        </w:rPr>
        <w:t xml:space="preserve"> </w:t>
      </w:r>
      <w:proofErr w:type="spellStart"/>
      <w:r>
        <w:rPr>
          <w:color w:val="0D0D0D" w:themeColor="text1" w:themeTint="F2"/>
          <w:szCs w:val="20"/>
        </w:rPr>
        <w:t>pivotales</w:t>
      </w:r>
      <w:proofErr w:type="spellEnd"/>
      <w:r>
        <w:rPr>
          <w:color w:val="0D0D0D" w:themeColor="text1" w:themeTint="F2"/>
          <w:szCs w:val="20"/>
        </w:rPr>
        <w:t>),</w:t>
      </w:r>
      <w:r w:rsidRPr="00D821E7">
        <w:rPr>
          <w:color w:val="0D0D0D" w:themeColor="text1" w:themeTint="F2"/>
          <w:szCs w:val="20"/>
        </w:rPr>
        <w:t xml:space="preserve"> </w:t>
      </w:r>
      <w:r>
        <w:rPr>
          <w:color w:val="0D0D0D" w:themeColor="text1" w:themeTint="F2"/>
          <w:szCs w:val="20"/>
        </w:rPr>
        <w:t xml:space="preserve">es razonable pensar que, </w:t>
      </w:r>
      <w:r w:rsidRPr="00D821E7">
        <w:rPr>
          <w:color w:val="0D0D0D" w:themeColor="text1" w:themeTint="F2"/>
          <w:szCs w:val="20"/>
        </w:rPr>
        <w:t xml:space="preserve">en </w:t>
      </w:r>
      <w:r>
        <w:rPr>
          <w:color w:val="0D0D0D" w:themeColor="text1" w:themeTint="F2"/>
          <w:szCs w:val="20"/>
        </w:rPr>
        <w:t xml:space="preserve">los </w:t>
      </w:r>
      <w:r w:rsidRPr="00D821E7">
        <w:rPr>
          <w:color w:val="0D0D0D" w:themeColor="text1" w:themeTint="F2"/>
          <w:szCs w:val="20"/>
        </w:rPr>
        <w:t xml:space="preserve">entornos </w:t>
      </w:r>
      <w:r>
        <w:rPr>
          <w:color w:val="0D0D0D" w:themeColor="text1" w:themeTint="F2"/>
          <w:szCs w:val="20"/>
        </w:rPr>
        <w:t xml:space="preserve">cotidianos, </w:t>
      </w:r>
      <w:r w:rsidRPr="00D821E7">
        <w:rPr>
          <w:color w:val="0D0D0D" w:themeColor="text1" w:themeTint="F2"/>
          <w:szCs w:val="20"/>
        </w:rPr>
        <w:t xml:space="preserve">las tasas de toxicidad </w:t>
      </w:r>
      <w:r>
        <w:rPr>
          <w:color w:val="0D0D0D" w:themeColor="text1" w:themeTint="F2"/>
          <w:szCs w:val="20"/>
        </w:rPr>
        <w:t xml:space="preserve">farmacológica </w:t>
      </w:r>
      <w:r w:rsidRPr="00D821E7">
        <w:rPr>
          <w:color w:val="0D0D0D" w:themeColor="text1" w:themeTint="F2"/>
          <w:szCs w:val="20"/>
        </w:rPr>
        <w:t>p</w:t>
      </w:r>
      <w:r>
        <w:rPr>
          <w:color w:val="0D0D0D" w:themeColor="text1" w:themeTint="F2"/>
          <w:szCs w:val="20"/>
        </w:rPr>
        <w:t>odrían</w:t>
      </w:r>
      <w:r w:rsidRPr="00D821E7">
        <w:rPr>
          <w:color w:val="0D0D0D" w:themeColor="text1" w:themeTint="F2"/>
          <w:szCs w:val="20"/>
        </w:rPr>
        <w:t xml:space="preserve"> s</w:t>
      </w:r>
      <w:r>
        <w:rPr>
          <w:color w:val="0D0D0D" w:themeColor="text1" w:themeTint="F2"/>
          <w:szCs w:val="20"/>
        </w:rPr>
        <w:t>er más elevadas</w:t>
      </w:r>
      <w:r w:rsidRPr="00D821E7">
        <w:rPr>
          <w:color w:val="0D0D0D" w:themeColor="text1" w:themeTint="F2"/>
          <w:szCs w:val="20"/>
        </w:rPr>
        <w:t xml:space="preserve"> </w:t>
      </w:r>
      <w:r>
        <w:rPr>
          <w:color w:val="0D0D0D" w:themeColor="text1" w:themeTint="F2"/>
          <w:szCs w:val="20"/>
        </w:rPr>
        <w:t>[1].</w:t>
      </w:r>
      <w:r w:rsidRPr="00D821E7">
        <w:rPr>
          <w:color w:val="0D0D0D" w:themeColor="text1" w:themeTint="F2"/>
          <w:szCs w:val="20"/>
        </w:rPr>
        <w:t xml:space="preserve"> </w:t>
      </w:r>
    </w:p>
    <w:p w14:paraId="38FD735C" w14:textId="77777777" w:rsidR="00663982" w:rsidRDefault="00663982" w:rsidP="00663982">
      <w:pPr>
        <w:rPr>
          <w:color w:val="0D0D0D" w:themeColor="text1" w:themeTint="F2"/>
          <w:szCs w:val="20"/>
        </w:rPr>
      </w:pPr>
    </w:p>
    <w:p w14:paraId="6E3F5055" w14:textId="77777777" w:rsidR="00663982" w:rsidRDefault="00663982" w:rsidP="00663982">
      <w:pPr>
        <w:rPr>
          <w:color w:val="0D0D0D" w:themeColor="text1" w:themeTint="F2"/>
          <w:szCs w:val="20"/>
        </w:rPr>
      </w:pPr>
      <w:r>
        <w:rPr>
          <w:color w:val="0D0D0D" w:themeColor="text1" w:themeTint="F2"/>
          <w:szCs w:val="20"/>
        </w:rPr>
        <w:t>La</w:t>
      </w:r>
      <w:r w:rsidRPr="00D821E7">
        <w:rPr>
          <w:color w:val="0D0D0D" w:themeColor="text1" w:themeTint="F2"/>
          <w:szCs w:val="20"/>
        </w:rPr>
        <w:t xml:space="preserve"> relevan</w:t>
      </w:r>
      <w:r>
        <w:rPr>
          <w:color w:val="0D0D0D" w:themeColor="text1" w:themeTint="F2"/>
          <w:szCs w:val="20"/>
        </w:rPr>
        <w:t>cia de estos hallazgos radica en que</w:t>
      </w:r>
      <w:r w:rsidRPr="00D821E7">
        <w:rPr>
          <w:color w:val="0D0D0D" w:themeColor="text1" w:themeTint="F2"/>
          <w:szCs w:val="20"/>
        </w:rPr>
        <w:t xml:space="preserve"> la incertidumbre al momento de </w:t>
      </w:r>
      <w:r>
        <w:rPr>
          <w:color w:val="0D0D0D" w:themeColor="text1" w:themeTint="F2"/>
          <w:szCs w:val="20"/>
        </w:rPr>
        <w:t xml:space="preserve">aprobar nuevos fármacos oncológicos </w:t>
      </w:r>
      <w:r w:rsidRPr="00D821E7">
        <w:rPr>
          <w:color w:val="0D0D0D" w:themeColor="text1" w:themeTint="F2"/>
          <w:szCs w:val="20"/>
        </w:rPr>
        <w:t>puede tener</w:t>
      </w:r>
      <w:r>
        <w:rPr>
          <w:color w:val="0D0D0D" w:themeColor="text1" w:themeTint="F2"/>
          <w:szCs w:val="20"/>
        </w:rPr>
        <w:t xml:space="preserve"> </w:t>
      </w:r>
      <w:r w:rsidRPr="00D821E7">
        <w:rPr>
          <w:color w:val="0D0D0D" w:themeColor="text1" w:themeTint="F2"/>
          <w:szCs w:val="20"/>
        </w:rPr>
        <w:t>consecuencias clínicas y económicas</w:t>
      </w:r>
      <w:r>
        <w:rPr>
          <w:color w:val="0D0D0D" w:themeColor="text1" w:themeTint="F2"/>
          <w:szCs w:val="20"/>
        </w:rPr>
        <w:t xml:space="preserve"> desfavorables</w:t>
      </w:r>
      <w:r w:rsidRPr="00D821E7">
        <w:rPr>
          <w:color w:val="0D0D0D" w:themeColor="text1" w:themeTint="F2"/>
          <w:szCs w:val="20"/>
        </w:rPr>
        <w:t xml:space="preserve">, especialmente en sistemas de salud donde los precios </w:t>
      </w:r>
      <w:r>
        <w:rPr>
          <w:color w:val="0D0D0D" w:themeColor="text1" w:themeTint="F2"/>
          <w:szCs w:val="20"/>
        </w:rPr>
        <w:t>de los medicamentos</w:t>
      </w:r>
      <w:r w:rsidRPr="00D821E7">
        <w:rPr>
          <w:color w:val="0D0D0D" w:themeColor="text1" w:themeTint="F2"/>
          <w:szCs w:val="20"/>
        </w:rPr>
        <w:t xml:space="preserve"> </w:t>
      </w:r>
      <w:r>
        <w:rPr>
          <w:color w:val="0D0D0D" w:themeColor="text1" w:themeTint="F2"/>
          <w:szCs w:val="20"/>
        </w:rPr>
        <w:t xml:space="preserve">deberían </w:t>
      </w:r>
      <w:r w:rsidRPr="00D821E7">
        <w:rPr>
          <w:color w:val="0D0D0D" w:themeColor="text1" w:themeTint="F2"/>
          <w:szCs w:val="20"/>
        </w:rPr>
        <w:t>est</w:t>
      </w:r>
      <w:r>
        <w:rPr>
          <w:color w:val="0D0D0D" w:themeColor="text1" w:themeTint="F2"/>
          <w:szCs w:val="20"/>
        </w:rPr>
        <w:t>ar</w:t>
      </w:r>
      <w:r w:rsidRPr="00D821E7">
        <w:rPr>
          <w:color w:val="0D0D0D" w:themeColor="text1" w:themeTint="F2"/>
          <w:szCs w:val="20"/>
        </w:rPr>
        <w:t xml:space="preserve"> vinculados al valor clínico</w:t>
      </w:r>
      <w:r>
        <w:rPr>
          <w:color w:val="0D0D0D" w:themeColor="text1" w:themeTint="F2"/>
          <w:szCs w:val="20"/>
        </w:rPr>
        <w:t xml:space="preserve"> que aportan a los pacientes oncológicos</w:t>
      </w:r>
      <w:r w:rsidRPr="00D821E7">
        <w:rPr>
          <w:color w:val="0D0D0D" w:themeColor="text1" w:themeTint="F2"/>
          <w:szCs w:val="20"/>
        </w:rPr>
        <w:t>.</w:t>
      </w:r>
      <w:r>
        <w:rPr>
          <w:color w:val="0D0D0D" w:themeColor="text1" w:themeTint="F2"/>
          <w:szCs w:val="20"/>
        </w:rPr>
        <w:t xml:space="preserve"> E</w:t>
      </w:r>
      <w:r w:rsidRPr="00D821E7">
        <w:rPr>
          <w:color w:val="0D0D0D" w:themeColor="text1" w:themeTint="F2"/>
          <w:szCs w:val="20"/>
        </w:rPr>
        <w:t xml:space="preserve">sta incertidumbre </w:t>
      </w:r>
      <w:r>
        <w:rPr>
          <w:color w:val="0D0D0D" w:themeColor="text1" w:themeTint="F2"/>
          <w:szCs w:val="20"/>
        </w:rPr>
        <w:t>es</w:t>
      </w:r>
      <w:r w:rsidRPr="00D821E7">
        <w:rPr>
          <w:color w:val="0D0D0D" w:themeColor="text1" w:themeTint="F2"/>
          <w:szCs w:val="20"/>
        </w:rPr>
        <w:t xml:space="preserve"> particularmente </w:t>
      </w:r>
      <w:r>
        <w:rPr>
          <w:color w:val="0D0D0D" w:themeColor="text1" w:themeTint="F2"/>
          <w:szCs w:val="20"/>
        </w:rPr>
        <w:t>relevant</w:t>
      </w:r>
      <w:r w:rsidRPr="00D821E7">
        <w:rPr>
          <w:color w:val="0D0D0D" w:themeColor="text1" w:themeTint="F2"/>
          <w:szCs w:val="20"/>
        </w:rPr>
        <w:t>e porque muchas terapias oncológicas s</w:t>
      </w:r>
      <w:r>
        <w:rPr>
          <w:color w:val="0D0D0D" w:themeColor="text1" w:themeTint="F2"/>
          <w:szCs w:val="20"/>
        </w:rPr>
        <w:t>on</w:t>
      </w:r>
      <w:r w:rsidRPr="00D821E7">
        <w:rPr>
          <w:color w:val="0D0D0D" w:themeColor="text1" w:themeTint="F2"/>
          <w:szCs w:val="20"/>
        </w:rPr>
        <w:t xml:space="preserve"> considerable</w:t>
      </w:r>
      <w:r>
        <w:rPr>
          <w:color w:val="0D0D0D" w:themeColor="text1" w:themeTint="F2"/>
          <w:szCs w:val="20"/>
        </w:rPr>
        <w:t>mente tóxicas</w:t>
      </w:r>
      <w:r w:rsidRPr="00D821E7">
        <w:rPr>
          <w:color w:val="0D0D0D" w:themeColor="text1" w:themeTint="F2"/>
          <w:szCs w:val="20"/>
        </w:rPr>
        <w:t>, lo que significa que los pacientes pueden estar expuestos a daños importantes a cambio de</w:t>
      </w:r>
      <w:r>
        <w:rPr>
          <w:color w:val="0D0D0D" w:themeColor="text1" w:themeTint="F2"/>
          <w:szCs w:val="20"/>
        </w:rPr>
        <w:t xml:space="preserve"> escasas ganancias en la supervivencia global u otros desenlaces</w:t>
      </w:r>
      <w:r w:rsidRPr="00D821E7">
        <w:rPr>
          <w:color w:val="0D0D0D" w:themeColor="text1" w:themeTint="F2"/>
          <w:szCs w:val="20"/>
        </w:rPr>
        <w:t xml:space="preserve"> clínicos </w:t>
      </w:r>
      <w:r>
        <w:rPr>
          <w:color w:val="0D0D0D" w:themeColor="text1" w:themeTint="F2"/>
          <w:szCs w:val="20"/>
        </w:rPr>
        <w:t>importantes para el paciente y sus familiares, como lo es la calidad de vida [1]</w:t>
      </w:r>
      <w:r w:rsidRPr="00D821E7">
        <w:rPr>
          <w:color w:val="0D0D0D" w:themeColor="text1" w:themeTint="F2"/>
          <w:szCs w:val="20"/>
        </w:rPr>
        <w:t xml:space="preserve">. </w:t>
      </w:r>
    </w:p>
    <w:p w14:paraId="0DF9CAC3" w14:textId="77777777" w:rsidR="00663982" w:rsidRDefault="00663982" w:rsidP="00663982">
      <w:pPr>
        <w:rPr>
          <w:color w:val="0D0D0D" w:themeColor="text1" w:themeTint="F2"/>
          <w:szCs w:val="20"/>
        </w:rPr>
      </w:pPr>
    </w:p>
    <w:p w14:paraId="42E4544F" w14:textId="77777777" w:rsidR="00663982" w:rsidRPr="00D821E7" w:rsidRDefault="00663982" w:rsidP="00663982">
      <w:pPr>
        <w:rPr>
          <w:color w:val="0D0D0D" w:themeColor="text1" w:themeTint="F2"/>
          <w:szCs w:val="20"/>
        </w:rPr>
      </w:pPr>
      <w:r>
        <w:rPr>
          <w:color w:val="0D0D0D" w:themeColor="text1" w:themeTint="F2"/>
          <w:szCs w:val="20"/>
        </w:rPr>
        <w:t xml:space="preserve">Para </w:t>
      </w:r>
      <w:r w:rsidRPr="00612F0D">
        <w:rPr>
          <w:color w:val="0D0D0D" w:themeColor="text1" w:themeTint="F2"/>
          <w:szCs w:val="20"/>
        </w:rPr>
        <w:t>reducir la incertidumbre sobre el beneficio clínico de los nuevos fármacos oncológic</w:t>
      </w:r>
      <w:r>
        <w:rPr>
          <w:color w:val="0D0D0D" w:themeColor="text1" w:themeTint="F2"/>
          <w:szCs w:val="20"/>
        </w:rPr>
        <w:t>os, las agencias reguladoras deberían exigir e</w:t>
      </w:r>
      <w:r w:rsidRPr="00612F0D">
        <w:rPr>
          <w:color w:val="0D0D0D" w:themeColor="text1" w:themeTint="F2"/>
          <w:szCs w:val="20"/>
        </w:rPr>
        <w:t xml:space="preserve">videncia más sólida </w:t>
      </w:r>
      <w:r>
        <w:rPr>
          <w:color w:val="0D0D0D" w:themeColor="text1" w:themeTint="F2"/>
          <w:szCs w:val="20"/>
        </w:rPr>
        <w:t>en e</w:t>
      </w:r>
      <w:r w:rsidRPr="00612F0D">
        <w:rPr>
          <w:color w:val="0D0D0D" w:themeColor="text1" w:themeTint="F2"/>
          <w:szCs w:val="20"/>
        </w:rPr>
        <w:t xml:space="preserve">l momento de </w:t>
      </w:r>
      <w:r>
        <w:rPr>
          <w:color w:val="0D0D0D" w:themeColor="text1" w:themeTint="F2"/>
          <w:szCs w:val="20"/>
        </w:rPr>
        <w:t>su</w:t>
      </w:r>
      <w:r w:rsidRPr="00612F0D">
        <w:rPr>
          <w:color w:val="0D0D0D" w:themeColor="text1" w:themeTint="F2"/>
          <w:szCs w:val="20"/>
        </w:rPr>
        <w:t xml:space="preserve"> aprobación</w:t>
      </w:r>
      <w:r>
        <w:rPr>
          <w:color w:val="0D0D0D" w:themeColor="text1" w:themeTint="F2"/>
          <w:szCs w:val="20"/>
        </w:rPr>
        <w:t>; y, de no ser</w:t>
      </w:r>
      <w:r w:rsidRPr="00612F0D">
        <w:rPr>
          <w:color w:val="0D0D0D" w:themeColor="text1" w:themeTint="F2"/>
          <w:szCs w:val="20"/>
        </w:rPr>
        <w:t xml:space="preserve"> posible, </w:t>
      </w:r>
      <w:r>
        <w:rPr>
          <w:color w:val="0D0D0D" w:themeColor="text1" w:themeTint="F2"/>
          <w:szCs w:val="20"/>
        </w:rPr>
        <w:t xml:space="preserve">se </w:t>
      </w:r>
      <w:r w:rsidRPr="00612F0D">
        <w:rPr>
          <w:color w:val="0D0D0D" w:themeColor="text1" w:themeTint="F2"/>
          <w:szCs w:val="20"/>
        </w:rPr>
        <w:t xml:space="preserve">debe recopilar </w:t>
      </w:r>
      <w:r>
        <w:rPr>
          <w:color w:val="0D0D0D" w:themeColor="text1" w:themeTint="F2"/>
          <w:szCs w:val="20"/>
        </w:rPr>
        <w:t>evidencia rigurosa</w:t>
      </w:r>
      <w:r w:rsidRPr="00612F0D">
        <w:rPr>
          <w:color w:val="0D0D0D" w:themeColor="text1" w:themeTint="F2"/>
          <w:szCs w:val="20"/>
        </w:rPr>
        <w:t xml:space="preserve"> durante el </w:t>
      </w:r>
      <w:r w:rsidRPr="00612F0D">
        <w:rPr>
          <w:color w:val="0D0D0D" w:themeColor="text1" w:themeTint="F2"/>
          <w:szCs w:val="20"/>
        </w:rPr>
        <w:lastRenderedPageBreak/>
        <w:t xml:space="preserve">período posterior a la </w:t>
      </w:r>
      <w:r>
        <w:rPr>
          <w:color w:val="0D0D0D" w:themeColor="text1" w:themeTint="F2"/>
          <w:szCs w:val="20"/>
        </w:rPr>
        <w:t>comercialización de los nuevos fármacos aprobados [1]</w:t>
      </w:r>
      <w:r w:rsidRPr="00612F0D">
        <w:rPr>
          <w:color w:val="0D0D0D" w:themeColor="text1" w:themeTint="F2"/>
          <w:szCs w:val="20"/>
        </w:rPr>
        <w:t xml:space="preserve">. </w:t>
      </w:r>
    </w:p>
    <w:p w14:paraId="4C8340C0" w14:textId="77777777" w:rsidR="00663982" w:rsidRPr="00D821E7" w:rsidRDefault="00663982" w:rsidP="00663982">
      <w:pPr>
        <w:rPr>
          <w:color w:val="0D0D0D" w:themeColor="text1" w:themeTint="F2"/>
          <w:szCs w:val="20"/>
        </w:rPr>
      </w:pPr>
    </w:p>
    <w:p w14:paraId="6257EEB9" w14:textId="4193D3D8" w:rsidR="00663982" w:rsidRPr="00D821E7" w:rsidRDefault="00663982" w:rsidP="00663982">
      <w:pPr>
        <w:rPr>
          <w:color w:val="0D0D0D" w:themeColor="text1" w:themeTint="F2"/>
          <w:szCs w:val="20"/>
        </w:rPr>
      </w:pPr>
      <w:r>
        <w:rPr>
          <w:color w:val="0D0D0D" w:themeColor="text1" w:themeTint="F2"/>
          <w:szCs w:val="20"/>
        </w:rPr>
        <w:t xml:space="preserve">Aunque los </w:t>
      </w:r>
      <w:r w:rsidRPr="00D821E7">
        <w:rPr>
          <w:color w:val="0D0D0D" w:themeColor="text1" w:themeTint="F2"/>
          <w:szCs w:val="20"/>
        </w:rPr>
        <w:t>avance</w:t>
      </w:r>
      <w:r>
        <w:rPr>
          <w:color w:val="0D0D0D" w:themeColor="text1" w:themeTint="F2"/>
          <w:szCs w:val="20"/>
        </w:rPr>
        <w:t>s</w:t>
      </w:r>
      <w:r w:rsidRPr="00D821E7">
        <w:rPr>
          <w:color w:val="0D0D0D" w:themeColor="text1" w:themeTint="F2"/>
          <w:szCs w:val="20"/>
        </w:rPr>
        <w:t xml:space="preserve"> en</w:t>
      </w:r>
      <w:r>
        <w:rPr>
          <w:color w:val="0D0D0D" w:themeColor="text1" w:themeTint="F2"/>
          <w:szCs w:val="20"/>
        </w:rPr>
        <w:t xml:space="preserve"> el desarrollo de moléculas contra el cáncer, como las</w:t>
      </w:r>
      <w:r w:rsidRPr="00D821E7">
        <w:rPr>
          <w:color w:val="0D0D0D" w:themeColor="text1" w:themeTint="F2"/>
          <w:szCs w:val="20"/>
        </w:rPr>
        <w:t xml:space="preserve"> terapias dirigidas </w:t>
      </w:r>
      <w:r>
        <w:rPr>
          <w:color w:val="0D0D0D" w:themeColor="text1" w:themeTint="F2"/>
          <w:szCs w:val="20"/>
        </w:rPr>
        <w:t>y los</w:t>
      </w:r>
      <w:r w:rsidRPr="00D821E7">
        <w:rPr>
          <w:color w:val="0D0D0D" w:themeColor="text1" w:themeTint="F2"/>
          <w:szCs w:val="20"/>
        </w:rPr>
        <w:t xml:space="preserve"> inhibidores de puntos de control inmunitario</w:t>
      </w:r>
      <w:r>
        <w:rPr>
          <w:color w:val="0D0D0D" w:themeColor="text1" w:themeTint="F2"/>
          <w:szCs w:val="20"/>
        </w:rPr>
        <w:t>, son importantes; e</w:t>
      </w:r>
      <w:r w:rsidRPr="00D821E7">
        <w:rPr>
          <w:color w:val="0D0D0D" w:themeColor="text1" w:themeTint="F2"/>
          <w:szCs w:val="20"/>
        </w:rPr>
        <w:t xml:space="preserve">n </w:t>
      </w:r>
      <w:r>
        <w:rPr>
          <w:color w:val="0D0D0D" w:themeColor="text1" w:themeTint="F2"/>
          <w:szCs w:val="20"/>
        </w:rPr>
        <w:t>general, los</w:t>
      </w:r>
      <w:r w:rsidRPr="00D821E7">
        <w:rPr>
          <w:color w:val="0D0D0D" w:themeColor="text1" w:themeTint="F2"/>
          <w:szCs w:val="20"/>
        </w:rPr>
        <w:t xml:space="preserve"> fármacos oncológicos ofrecen beneficio</w:t>
      </w:r>
      <w:r>
        <w:rPr>
          <w:color w:val="0D0D0D" w:themeColor="text1" w:themeTint="F2"/>
          <w:szCs w:val="20"/>
        </w:rPr>
        <w:t>s</w:t>
      </w:r>
      <w:r w:rsidRPr="00D821E7">
        <w:rPr>
          <w:color w:val="0D0D0D" w:themeColor="text1" w:themeTint="F2"/>
          <w:szCs w:val="20"/>
        </w:rPr>
        <w:t xml:space="preserve"> clínico</w:t>
      </w:r>
      <w:r>
        <w:rPr>
          <w:color w:val="0D0D0D" w:themeColor="text1" w:themeTint="F2"/>
          <w:szCs w:val="20"/>
        </w:rPr>
        <w:t>s</w:t>
      </w:r>
      <w:r w:rsidRPr="00D821E7">
        <w:rPr>
          <w:color w:val="0D0D0D" w:themeColor="text1" w:themeTint="F2"/>
          <w:szCs w:val="20"/>
        </w:rPr>
        <w:t xml:space="preserve"> limitado</w:t>
      </w:r>
      <w:r>
        <w:rPr>
          <w:color w:val="0D0D0D" w:themeColor="text1" w:themeTint="F2"/>
          <w:szCs w:val="20"/>
        </w:rPr>
        <w:t>s</w:t>
      </w:r>
      <w:r w:rsidRPr="00D821E7">
        <w:rPr>
          <w:color w:val="0D0D0D" w:themeColor="text1" w:themeTint="F2"/>
          <w:szCs w:val="20"/>
        </w:rPr>
        <w:t xml:space="preserve"> </w:t>
      </w:r>
      <w:r>
        <w:rPr>
          <w:color w:val="0D0D0D" w:themeColor="text1" w:themeTint="F2"/>
          <w:szCs w:val="20"/>
        </w:rPr>
        <w:t xml:space="preserve">y sus precios son elevados; además muchas aprobaciones se basan </w:t>
      </w:r>
      <w:r w:rsidRPr="006B6B15">
        <w:rPr>
          <w:color w:val="0D0D0D" w:themeColor="text1" w:themeTint="F2"/>
          <w:szCs w:val="20"/>
        </w:rPr>
        <w:t xml:space="preserve">en criterios de valoración indirectos, datos de supervivencia inmaduros y </w:t>
      </w:r>
      <w:r>
        <w:rPr>
          <w:color w:val="0D0D0D" w:themeColor="text1" w:themeTint="F2"/>
          <w:szCs w:val="20"/>
        </w:rPr>
        <w:t xml:space="preserve">en </w:t>
      </w:r>
      <w:r w:rsidRPr="006B6B15">
        <w:rPr>
          <w:color w:val="0D0D0D" w:themeColor="text1" w:themeTint="F2"/>
          <w:szCs w:val="20"/>
        </w:rPr>
        <w:t xml:space="preserve">ensayos </w:t>
      </w:r>
      <w:proofErr w:type="spellStart"/>
      <w:r>
        <w:rPr>
          <w:color w:val="0D0D0D" w:themeColor="text1" w:themeTint="F2"/>
          <w:szCs w:val="20"/>
        </w:rPr>
        <w:t>pivotales</w:t>
      </w:r>
      <w:proofErr w:type="spellEnd"/>
      <w:r>
        <w:rPr>
          <w:color w:val="0D0D0D" w:themeColor="text1" w:themeTint="F2"/>
          <w:szCs w:val="20"/>
        </w:rPr>
        <w:t xml:space="preserve"> </w:t>
      </w:r>
      <w:r w:rsidRPr="006B6B15">
        <w:rPr>
          <w:color w:val="0D0D0D" w:themeColor="text1" w:themeTint="F2"/>
          <w:szCs w:val="20"/>
        </w:rPr>
        <w:t xml:space="preserve">de un solo brazo, </w:t>
      </w:r>
      <w:r>
        <w:rPr>
          <w:color w:val="0D0D0D" w:themeColor="text1" w:themeTint="F2"/>
          <w:szCs w:val="20"/>
        </w:rPr>
        <w:t>ofreciendo información</w:t>
      </w:r>
      <w:r w:rsidRPr="006B6B15">
        <w:rPr>
          <w:color w:val="0D0D0D" w:themeColor="text1" w:themeTint="F2"/>
          <w:szCs w:val="20"/>
        </w:rPr>
        <w:t xml:space="preserve"> incompleta </w:t>
      </w:r>
      <w:r>
        <w:rPr>
          <w:color w:val="0D0D0D" w:themeColor="text1" w:themeTint="F2"/>
          <w:szCs w:val="20"/>
        </w:rPr>
        <w:t>sobre su</w:t>
      </w:r>
      <w:r w:rsidRPr="006B6B15">
        <w:rPr>
          <w:color w:val="0D0D0D" w:themeColor="text1" w:themeTint="F2"/>
          <w:szCs w:val="20"/>
        </w:rPr>
        <w:t xml:space="preserve"> beneficio clínico a largo plazo</w:t>
      </w:r>
      <w:r>
        <w:rPr>
          <w:color w:val="0D0D0D" w:themeColor="text1" w:themeTint="F2"/>
          <w:szCs w:val="20"/>
        </w:rPr>
        <w:t xml:space="preserve"> [5]. Ante e</w:t>
      </w:r>
      <w:r w:rsidRPr="00D821E7">
        <w:rPr>
          <w:color w:val="0D0D0D" w:themeColor="text1" w:themeTint="F2"/>
          <w:szCs w:val="20"/>
        </w:rPr>
        <w:t>ste patrón persistente</w:t>
      </w:r>
      <w:r>
        <w:rPr>
          <w:color w:val="0D0D0D" w:themeColor="text1" w:themeTint="F2"/>
          <w:szCs w:val="20"/>
        </w:rPr>
        <w:t xml:space="preserve"> cabe preguntarse</w:t>
      </w:r>
      <w:r w:rsidRPr="00D821E7">
        <w:rPr>
          <w:color w:val="0D0D0D" w:themeColor="text1" w:themeTint="F2"/>
          <w:szCs w:val="20"/>
        </w:rPr>
        <w:t xml:space="preserve"> ¿cómo </w:t>
      </w:r>
      <w:r>
        <w:rPr>
          <w:color w:val="0D0D0D" w:themeColor="text1" w:themeTint="F2"/>
          <w:szCs w:val="20"/>
        </w:rPr>
        <w:t xml:space="preserve">se </w:t>
      </w:r>
      <w:r w:rsidRPr="00D821E7">
        <w:rPr>
          <w:color w:val="0D0D0D" w:themeColor="text1" w:themeTint="F2"/>
          <w:szCs w:val="20"/>
        </w:rPr>
        <w:t>p</w:t>
      </w:r>
      <w:r>
        <w:rPr>
          <w:color w:val="0D0D0D" w:themeColor="text1" w:themeTint="F2"/>
          <w:szCs w:val="20"/>
        </w:rPr>
        <w:t>uede</w:t>
      </w:r>
      <w:r w:rsidRPr="00D821E7">
        <w:rPr>
          <w:color w:val="0D0D0D" w:themeColor="text1" w:themeTint="F2"/>
          <w:szCs w:val="20"/>
        </w:rPr>
        <w:t xml:space="preserve"> fomentar el desarrollo y el acceso a los fármacos </w:t>
      </w:r>
      <w:r>
        <w:rPr>
          <w:color w:val="0D0D0D" w:themeColor="text1" w:themeTint="F2"/>
          <w:szCs w:val="20"/>
        </w:rPr>
        <w:t>oncológicos que hayan</w:t>
      </w:r>
      <w:r w:rsidRPr="00D821E7">
        <w:rPr>
          <w:color w:val="0D0D0D" w:themeColor="text1" w:themeTint="F2"/>
          <w:szCs w:val="20"/>
        </w:rPr>
        <w:t xml:space="preserve"> demostrado </w:t>
      </w:r>
      <w:r>
        <w:rPr>
          <w:color w:val="0D0D0D" w:themeColor="text1" w:themeTint="F2"/>
          <w:szCs w:val="20"/>
        </w:rPr>
        <w:t xml:space="preserve">que aportan resultados clínicamente </w:t>
      </w:r>
      <w:r w:rsidRPr="00D821E7">
        <w:rPr>
          <w:color w:val="0D0D0D" w:themeColor="text1" w:themeTint="F2"/>
          <w:szCs w:val="20"/>
        </w:rPr>
        <w:t>significativos para los pacientes?</w:t>
      </w:r>
      <w:r>
        <w:rPr>
          <w:color w:val="0D0D0D" w:themeColor="text1" w:themeTint="F2"/>
          <w:szCs w:val="20"/>
        </w:rPr>
        <w:t xml:space="preserve"> [1].</w:t>
      </w:r>
    </w:p>
    <w:p w14:paraId="626E1B67" w14:textId="77777777" w:rsidR="00663982" w:rsidRDefault="00663982" w:rsidP="00663982">
      <w:pPr>
        <w:rPr>
          <w:color w:val="0D0D0D" w:themeColor="text1" w:themeTint="F2"/>
          <w:szCs w:val="20"/>
        </w:rPr>
      </w:pPr>
    </w:p>
    <w:p w14:paraId="351E2359" w14:textId="77777777" w:rsidR="00663982" w:rsidRDefault="00663982" w:rsidP="00663982">
      <w:pPr>
        <w:rPr>
          <w:color w:val="0D0D0D" w:themeColor="text1" w:themeTint="F2"/>
          <w:szCs w:val="20"/>
        </w:rPr>
      </w:pPr>
      <w:r>
        <w:rPr>
          <w:color w:val="0D0D0D" w:themeColor="text1" w:themeTint="F2"/>
          <w:szCs w:val="20"/>
        </w:rPr>
        <w:t>Herramienta</w:t>
      </w:r>
      <w:r w:rsidRPr="00612F0D">
        <w:rPr>
          <w:color w:val="0D0D0D" w:themeColor="text1" w:themeTint="F2"/>
          <w:szCs w:val="20"/>
        </w:rPr>
        <w:t xml:space="preserve">s como la Escala de Magnitud del Beneficio Clínico de la Sociedad Europea de Oncología Médica (ESMO-MCBS) </w:t>
      </w:r>
      <w:r>
        <w:rPr>
          <w:color w:val="0D0D0D" w:themeColor="text1" w:themeTint="F2"/>
          <w:szCs w:val="20"/>
        </w:rPr>
        <w:t>que</w:t>
      </w:r>
      <w:r w:rsidRPr="00612F0D">
        <w:rPr>
          <w:color w:val="0D0D0D" w:themeColor="text1" w:themeTint="F2"/>
          <w:szCs w:val="20"/>
        </w:rPr>
        <w:t xml:space="preserve"> integra</w:t>
      </w:r>
      <w:r>
        <w:rPr>
          <w:color w:val="0D0D0D" w:themeColor="text1" w:themeTint="F2"/>
          <w:szCs w:val="20"/>
        </w:rPr>
        <w:t>n</w:t>
      </w:r>
      <w:r w:rsidRPr="00612F0D">
        <w:rPr>
          <w:color w:val="0D0D0D" w:themeColor="text1" w:themeTint="F2"/>
          <w:szCs w:val="20"/>
        </w:rPr>
        <w:t xml:space="preserve"> la eficacia, la toxicidad y la calidad de vida en </w:t>
      </w:r>
      <w:r>
        <w:rPr>
          <w:color w:val="0D0D0D" w:themeColor="text1" w:themeTint="F2"/>
          <w:szCs w:val="20"/>
        </w:rPr>
        <w:t xml:space="preserve">las </w:t>
      </w:r>
      <w:r w:rsidRPr="00612F0D">
        <w:rPr>
          <w:color w:val="0D0D0D" w:themeColor="text1" w:themeTint="F2"/>
          <w:szCs w:val="20"/>
        </w:rPr>
        <w:t>evaluaciones más amplias del beneficio clínico</w:t>
      </w:r>
      <w:r>
        <w:rPr>
          <w:color w:val="0D0D0D" w:themeColor="text1" w:themeTint="F2"/>
          <w:szCs w:val="20"/>
        </w:rPr>
        <w:t>,</w:t>
      </w:r>
      <w:r w:rsidRPr="00612F0D">
        <w:rPr>
          <w:color w:val="0D0D0D" w:themeColor="text1" w:themeTint="F2"/>
          <w:szCs w:val="20"/>
        </w:rPr>
        <w:t xml:space="preserve"> pueden ayudar a contextualizar los resultados de los ensayos</w:t>
      </w:r>
      <w:r>
        <w:rPr>
          <w:color w:val="0D0D0D" w:themeColor="text1" w:themeTint="F2"/>
          <w:szCs w:val="20"/>
        </w:rPr>
        <w:t xml:space="preserve"> cuando</w:t>
      </w:r>
      <w:r w:rsidRPr="00612F0D">
        <w:rPr>
          <w:color w:val="0D0D0D" w:themeColor="text1" w:themeTint="F2"/>
          <w:szCs w:val="20"/>
        </w:rPr>
        <w:t xml:space="preserve"> no es factible</w:t>
      </w:r>
      <w:r>
        <w:rPr>
          <w:color w:val="0D0D0D" w:themeColor="text1" w:themeTint="F2"/>
          <w:szCs w:val="20"/>
        </w:rPr>
        <w:t xml:space="preserve"> evaluar la Supervivencia Global (SG)</w:t>
      </w:r>
      <w:r w:rsidRPr="00612F0D">
        <w:rPr>
          <w:color w:val="0D0D0D" w:themeColor="text1" w:themeTint="F2"/>
          <w:szCs w:val="20"/>
        </w:rPr>
        <w:t xml:space="preserve"> </w:t>
      </w:r>
      <w:r>
        <w:rPr>
          <w:color w:val="0D0D0D" w:themeColor="text1" w:themeTint="F2"/>
          <w:szCs w:val="20"/>
        </w:rPr>
        <w:t>[</w:t>
      </w:r>
      <w:r w:rsidRPr="00612F0D">
        <w:rPr>
          <w:color w:val="0D0D0D" w:themeColor="text1" w:themeTint="F2"/>
          <w:szCs w:val="20"/>
        </w:rPr>
        <w:t>1</w:t>
      </w:r>
      <w:r>
        <w:rPr>
          <w:color w:val="0D0D0D" w:themeColor="text1" w:themeTint="F2"/>
          <w:szCs w:val="20"/>
        </w:rPr>
        <w:t>].</w:t>
      </w:r>
    </w:p>
    <w:p w14:paraId="603EDA82" w14:textId="77777777" w:rsidR="00663982" w:rsidRDefault="00663982" w:rsidP="00663982">
      <w:pPr>
        <w:rPr>
          <w:color w:val="0D0D0D" w:themeColor="text1" w:themeTint="F2"/>
          <w:szCs w:val="20"/>
        </w:rPr>
      </w:pPr>
    </w:p>
    <w:p w14:paraId="66518A83" w14:textId="77777777" w:rsidR="00663982" w:rsidRPr="00D821E7" w:rsidRDefault="00663982" w:rsidP="00663982">
      <w:pPr>
        <w:rPr>
          <w:color w:val="0D0D0D" w:themeColor="text1" w:themeTint="F2"/>
          <w:szCs w:val="20"/>
        </w:rPr>
      </w:pPr>
      <w:r w:rsidRPr="00612F0D">
        <w:rPr>
          <w:color w:val="0D0D0D" w:themeColor="text1" w:themeTint="F2"/>
          <w:szCs w:val="20"/>
        </w:rPr>
        <w:t>Los datos maduros de SG y calidad de vida deben servir posteriormente de base para las decisiones regulatorias y de reembolso</w:t>
      </w:r>
      <w:r>
        <w:rPr>
          <w:color w:val="0D0D0D" w:themeColor="text1" w:themeTint="F2"/>
          <w:szCs w:val="20"/>
        </w:rPr>
        <w:t xml:space="preserve"> de los tratamientos</w:t>
      </w:r>
      <w:r w:rsidRPr="00612F0D">
        <w:rPr>
          <w:color w:val="0D0D0D" w:themeColor="text1" w:themeTint="F2"/>
          <w:szCs w:val="20"/>
        </w:rPr>
        <w:t xml:space="preserve">. </w:t>
      </w:r>
      <w:r>
        <w:rPr>
          <w:color w:val="0D0D0D" w:themeColor="text1" w:themeTint="F2"/>
          <w:szCs w:val="20"/>
        </w:rPr>
        <w:t xml:space="preserve">Se requieren </w:t>
      </w:r>
      <w:r w:rsidRPr="00612F0D">
        <w:rPr>
          <w:color w:val="0D0D0D" w:themeColor="text1" w:themeTint="F2"/>
          <w:szCs w:val="20"/>
        </w:rPr>
        <w:t xml:space="preserve">estándares de </w:t>
      </w:r>
      <w:r w:rsidRPr="00612F0D">
        <w:rPr>
          <w:color w:val="0D0D0D" w:themeColor="text1" w:themeTint="F2"/>
          <w:szCs w:val="20"/>
        </w:rPr>
        <w:t>evidencia más rigurosos antes y después de la aprobación</w:t>
      </w:r>
      <w:r>
        <w:rPr>
          <w:color w:val="0D0D0D" w:themeColor="text1" w:themeTint="F2"/>
          <w:szCs w:val="20"/>
        </w:rPr>
        <w:t xml:space="preserve"> de fármacos contra el cáncer [1]</w:t>
      </w:r>
      <w:r w:rsidRPr="00612F0D">
        <w:rPr>
          <w:color w:val="0D0D0D" w:themeColor="text1" w:themeTint="F2"/>
          <w:szCs w:val="20"/>
        </w:rPr>
        <w:t>.</w:t>
      </w:r>
    </w:p>
    <w:p w14:paraId="613BA2E6" w14:textId="77777777" w:rsidR="00663982" w:rsidRDefault="00663982" w:rsidP="00663982">
      <w:pPr>
        <w:rPr>
          <w:color w:val="EE0000"/>
          <w:szCs w:val="20"/>
        </w:rPr>
      </w:pPr>
    </w:p>
    <w:p w14:paraId="47E52D31" w14:textId="77777777" w:rsidR="00663982" w:rsidRPr="00C118B5" w:rsidRDefault="00663982" w:rsidP="00663982">
      <w:pPr>
        <w:rPr>
          <w:b/>
          <w:bCs/>
          <w:color w:val="0D0D0D" w:themeColor="text1" w:themeTint="F2"/>
          <w:sz w:val="18"/>
          <w:szCs w:val="18"/>
          <w:lang w:val="en-US"/>
        </w:rPr>
      </w:pPr>
      <w:r w:rsidRPr="00C118B5">
        <w:rPr>
          <w:b/>
          <w:bCs/>
          <w:color w:val="0D0D0D" w:themeColor="text1" w:themeTint="F2"/>
          <w:sz w:val="18"/>
          <w:szCs w:val="18"/>
          <w:lang w:val="en-US"/>
        </w:rPr>
        <w:t>Fuente Original:</w:t>
      </w:r>
    </w:p>
    <w:p w14:paraId="3E039043" w14:textId="77777777" w:rsidR="00663982" w:rsidRPr="00C118B5" w:rsidRDefault="00663982" w:rsidP="00663982">
      <w:pPr>
        <w:ind w:left="180" w:hanging="180"/>
        <w:rPr>
          <w:color w:val="0D0D0D" w:themeColor="text1" w:themeTint="F2"/>
          <w:sz w:val="18"/>
          <w:szCs w:val="18"/>
          <w:lang w:val="en-US"/>
        </w:rPr>
      </w:pPr>
      <w:r w:rsidRPr="00C118B5">
        <w:rPr>
          <w:color w:val="0D0D0D" w:themeColor="text1" w:themeTint="F2"/>
          <w:sz w:val="18"/>
          <w:szCs w:val="18"/>
          <w:lang w:val="en-US"/>
        </w:rPr>
        <w:t xml:space="preserve">1.Tibau A, </w:t>
      </w:r>
      <w:proofErr w:type="spellStart"/>
      <w:r w:rsidRPr="00C118B5">
        <w:rPr>
          <w:color w:val="0D0D0D" w:themeColor="text1" w:themeTint="F2"/>
          <w:sz w:val="18"/>
          <w:szCs w:val="18"/>
          <w:lang w:val="en-US"/>
        </w:rPr>
        <w:t>Kesselheim</w:t>
      </w:r>
      <w:proofErr w:type="spellEnd"/>
      <w:r w:rsidRPr="00C118B5">
        <w:rPr>
          <w:color w:val="0D0D0D" w:themeColor="text1" w:themeTint="F2"/>
          <w:sz w:val="18"/>
          <w:szCs w:val="18"/>
          <w:lang w:val="en-US"/>
        </w:rPr>
        <w:t xml:space="preserve"> A, Hwang T. Efficacy and Toxicity Associated with Cancer Drug Approvals in Switzerland: International Implications. </w:t>
      </w:r>
      <w:r w:rsidRPr="00C118B5">
        <w:rPr>
          <w:i/>
          <w:iCs/>
          <w:color w:val="0D0D0D" w:themeColor="text1" w:themeTint="F2"/>
          <w:sz w:val="18"/>
          <w:szCs w:val="18"/>
          <w:lang w:val="en-US"/>
        </w:rPr>
        <w:t>The Lancet Regional Health</w:t>
      </w:r>
      <w:r w:rsidRPr="00C118B5">
        <w:rPr>
          <w:color w:val="0D0D0D" w:themeColor="text1" w:themeTint="F2"/>
          <w:sz w:val="18"/>
          <w:szCs w:val="18"/>
          <w:lang w:val="en-US"/>
        </w:rPr>
        <w:t xml:space="preserve"> – Europe, 2026; 66. </w:t>
      </w:r>
      <w:hyperlink r:id="rId74" w:history="1">
        <w:r w:rsidRPr="00C118B5">
          <w:rPr>
            <w:rStyle w:val="Hipervnculo"/>
            <w:color w:val="4B8090" w:themeColor="hyperlink" w:themeTint="F2"/>
            <w:sz w:val="18"/>
            <w:szCs w:val="18"/>
            <w:lang w:val="en-US"/>
          </w:rPr>
          <w:t>https://www.thelancet.com/journals/lanepe/article/PIIS2666-7762(26)00160-2/fulltext</w:t>
        </w:r>
      </w:hyperlink>
    </w:p>
    <w:p w14:paraId="29C21D8D" w14:textId="77777777" w:rsidR="00663982" w:rsidRPr="00C118B5" w:rsidRDefault="00663982" w:rsidP="00663982">
      <w:pPr>
        <w:rPr>
          <w:color w:val="0D0D0D" w:themeColor="text1" w:themeTint="F2"/>
          <w:sz w:val="18"/>
          <w:szCs w:val="18"/>
          <w:lang w:val="en-US"/>
        </w:rPr>
      </w:pPr>
    </w:p>
    <w:p w14:paraId="16F48171" w14:textId="77777777" w:rsidR="00663982" w:rsidRPr="00C07879" w:rsidRDefault="00663982" w:rsidP="00663982">
      <w:pPr>
        <w:rPr>
          <w:b/>
          <w:bCs/>
          <w:color w:val="FF0000"/>
          <w:sz w:val="18"/>
          <w:szCs w:val="18"/>
          <w:lang w:val="en-US"/>
        </w:rPr>
      </w:pPr>
      <w:proofErr w:type="spellStart"/>
      <w:r w:rsidRPr="00C07879">
        <w:rPr>
          <w:b/>
          <w:bCs/>
          <w:color w:val="0D0D0D" w:themeColor="text1" w:themeTint="F2"/>
          <w:sz w:val="18"/>
          <w:szCs w:val="18"/>
          <w:lang w:val="en-US"/>
        </w:rPr>
        <w:t>Otras</w:t>
      </w:r>
      <w:proofErr w:type="spellEnd"/>
      <w:r w:rsidRPr="00C07879">
        <w:rPr>
          <w:b/>
          <w:bCs/>
          <w:color w:val="0D0D0D" w:themeColor="text1" w:themeTint="F2"/>
          <w:sz w:val="18"/>
          <w:szCs w:val="18"/>
          <w:lang w:val="en-US"/>
        </w:rPr>
        <w:t xml:space="preserve"> </w:t>
      </w:r>
      <w:proofErr w:type="spellStart"/>
      <w:r w:rsidRPr="00C07879">
        <w:rPr>
          <w:b/>
          <w:bCs/>
          <w:color w:val="0D0D0D" w:themeColor="text1" w:themeTint="F2"/>
          <w:sz w:val="18"/>
          <w:szCs w:val="18"/>
          <w:lang w:val="en-US"/>
        </w:rPr>
        <w:t>referencias</w:t>
      </w:r>
      <w:proofErr w:type="spellEnd"/>
      <w:r w:rsidRPr="00C07879">
        <w:rPr>
          <w:b/>
          <w:bCs/>
          <w:color w:val="0D0D0D" w:themeColor="text1" w:themeTint="F2"/>
          <w:sz w:val="18"/>
          <w:szCs w:val="18"/>
          <w:lang w:val="en-US"/>
        </w:rPr>
        <w:t>:</w:t>
      </w:r>
    </w:p>
    <w:p w14:paraId="3D169003" w14:textId="77777777" w:rsidR="00663982" w:rsidRPr="00C118B5" w:rsidRDefault="00B00DA4" w:rsidP="00663982">
      <w:pPr>
        <w:ind w:left="180" w:hanging="180"/>
        <w:rPr>
          <w:color w:val="0D0D0D" w:themeColor="text1" w:themeTint="F2"/>
          <w:sz w:val="18"/>
          <w:szCs w:val="18"/>
          <w:lang w:val="en-US"/>
        </w:rPr>
      </w:pPr>
      <w:hyperlink r:id="rId75" w:anchor="body-ref-sref1" w:tooltip="View in article" w:history="1">
        <w:r w:rsidR="00663982" w:rsidRPr="00C07879">
          <w:rPr>
            <w:rStyle w:val="Hipervnculo"/>
            <w:color w:val="0D0D0D" w:themeColor="text1" w:themeTint="F2"/>
            <w:sz w:val="18"/>
            <w:szCs w:val="18"/>
            <w:u w:val="none"/>
            <w:lang w:val="en-US"/>
          </w:rPr>
          <w:t>2.</w:t>
        </w:r>
      </w:hyperlink>
      <w:r w:rsidR="00663982" w:rsidRPr="00C07879">
        <w:rPr>
          <w:color w:val="0D0D0D" w:themeColor="text1" w:themeTint="F2"/>
          <w:sz w:val="18"/>
          <w:szCs w:val="18"/>
          <w:lang w:val="en-US"/>
        </w:rPr>
        <w:t xml:space="preserve"> Hwang, T.J. </w:t>
      </w:r>
      <w:proofErr w:type="spellStart"/>
      <w:r w:rsidR="00663982" w:rsidRPr="00C07879">
        <w:rPr>
          <w:color w:val="0D0D0D" w:themeColor="text1" w:themeTint="F2"/>
          <w:sz w:val="18"/>
          <w:szCs w:val="18"/>
          <w:lang w:val="en-US"/>
        </w:rPr>
        <w:t>Kesselheim</w:t>
      </w:r>
      <w:proofErr w:type="spellEnd"/>
      <w:r w:rsidR="00663982" w:rsidRPr="00C07879">
        <w:rPr>
          <w:color w:val="0D0D0D" w:themeColor="text1" w:themeTint="F2"/>
          <w:sz w:val="18"/>
          <w:szCs w:val="18"/>
          <w:lang w:val="en-US"/>
        </w:rPr>
        <w:t xml:space="preserve">, A.S. </w:t>
      </w:r>
      <w:proofErr w:type="spellStart"/>
      <w:r w:rsidR="00663982" w:rsidRPr="00C07879">
        <w:rPr>
          <w:color w:val="0D0D0D" w:themeColor="text1" w:themeTint="F2"/>
          <w:sz w:val="18"/>
          <w:szCs w:val="18"/>
          <w:lang w:val="en-US"/>
        </w:rPr>
        <w:t>Tibau</w:t>
      </w:r>
      <w:proofErr w:type="spellEnd"/>
      <w:r w:rsidR="00663982" w:rsidRPr="00C07879">
        <w:rPr>
          <w:color w:val="0D0D0D" w:themeColor="text1" w:themeTint="F2"/>
          <w:sz w:val="18"/>
          <w:szCs w:val="18"/>
          <w:lang w:val="en-US"/>
        </w:rPr>
        <w:t xml:space="preserve">, A. et al. </w:t>
      </w:r>
      <w:r w:rsidR="00663982" w:rsidRPr="00C118B5">
        <w:rPr>
          <w:color w:val="0D0D0D" w:themeColor="text1" w:themeTint="F2"/>
          <w:sz w:val="18"/>
          <w:szCs w:val="18"/>
          <w:lang w:val="en-US"/>
        </w:rPr>
        <w:t xml:space="preserve">Clinical benefit and expedited approval of cancer drugs in the United States, European Union, Switzerland, Japan, Canada, and Australia. </w:t>
      </w:r>
      <w:r w:rsidR="00663982" w:rsidRPr="00C118B5">
        <w:rPr>
          <w:i/>
          <w:iCs/>
          <w:color w:val="0D0D0D" w:themeColor="text1" w:themeTint="F2"/>
          <w:sz w:val="18"/>
          <w:szCs w:val="18"/>
          <w:lang w:val="en-US"/>
        </w:rPr>
        <w:t xml:space="preserve">JCO Oncol </w:t>
      </w:r>
      <w:proofErr w:type="spellStart"/>
      <w:r w:rsidR="00663982" w:rsidRPr="00C118B5">
        <w:rPr>
          <w:i/>
          <w:iCs/>
          <w:color w:val="0D0D0D" w:themeColor="text1" w:themeTint="F2"/>
          <w:sz w:val="18"/>
          <w:szCs w:val="18"/>
          <w:lang w:val="en-US"/>
        </w:rPr>
        <w:t>Pract</w:t>
      </w:r>
      <w:proofErr w:type="spellEnd"/>
      <w:r w:rsidR="00663982" w:rsidRPr="00C118B5">
        <w:rPr>
          <w:i/>
          <w:iCs/>
          <w:color w:val="0D0D0D" w:themeColor="text1" w:themeTint="F2"/>
          <w:sz w:val="18"/>
          <w:szCs w:val="18"/>
          <w:lang w:val="en-US"/>
        </w:rPr>
        <w:t>.</w:t>
      </w:r>
      <w:r w:rsidR="00663982">
        <w:rPr>
          <w:color w:val="0D0D0D" w:themeColor="text1" w:themeTint="F2"/>
          <w:sz w:val="18"/>
          <w:szCs w:val="18"/>
          <w:lang w:val="en-US"/>
        </w:rPr>
        <w:t xml:space="preserve"> </w:t>
      </w:r>
      <w:r w:rsidR="00663982" w:rsidRPr="00C118B5">
        <w:rPr>
          <w:color w:val="0D0D0D" w:themeColor="text1" w:themeTint="F2"/>
          <w:sz w:val="18"/>
          <w:szCs w:val="18"/>
          <w:lang w:val="en-US"/>
        </w:rPr>
        <w:t>2022;</w:t>
      </w:r>
      <w:r w:rsidR="00663982">
        <w:rPr>
          <w:color w:val="0D0D0D" w:themeColor="text1" w:themeTint="F2"/>
          <w:sz w:val="18"/>
          <w:szCs w:val="18"/>
          <w:lang w:val="en-US"/>
        </w:rPr>
        <w:t xml:space="preserve"> </w:t>
      </w:r>
      <w:r w:rsidR="00663982" w:rsidRPr="00C118B5">
        <w:rPr>
          <w:color w:val="0D0D0D" w:themeColor="text1" w:themeTint="F2"/>
          <w:sz w:val="18"/>
          <w:szCs w:val="18"/>
          <w:lang w:val="en-US"/>
        </w:rPr>
        <w:t xml:space="preserve">18:e1522-e1532 </w:t>
      </w:r>
    </w:p>
    <w:p w14:paraId="259F9344" w14:textId="77777777" w:rsidR="00663982" w:rsidRPr="00C118B5" w:rsidRDefault="00B00DA4" w:rsidP="00663982">
      <w:pPr>
        <w:ind w:left="180" w:hanging="180"/>
        <w:rPr>
          <w:color w:val="0D0D0D" w:themeColor="text1" w:themeTint="F2"/>
          <w:sz w:val="18"/>
          <w:szCs w:val="18"/>
          <w:lang w:val="en-US"/>
        </w:rPr>
      </w:pPr>
      <w:hyperlink r:id="rId76" w:anchor="body-ref-sref2-1" w:tooltip="View in article" w:history="1">
        <w:r w:rsidR="00663982">
          <w:rPr>
            <w:rStyle w:val="Hipervnculo"/>
            <w:color w:val="0D0D0D" w:themeColor="text1" w:themeTint="F2"/>
            <w:sz w:val="18"/>
            <w:szCs w:val="18"/>
            <w:u w:val="none"/>
            <w:lang w:val="en-US"/>
          </w:rPr>
          <w:t>3</w:t>
        </w:r>
        <w:r w:rsidR="00663982" w:rsidRPr="00C118B5">
          <w:rPr>
            <w:rStyle w:val="Hipervnculo"/>
            <w:color w:val="0D0D0D" w:themeColor="text1" w:themeTint="F2"/>
            <w:sz w:val="18"/>
            <w:szCs w:val="18"/>
            <w:u w:val="none"/>
            <w:lang w:val="en-US"/>
          </w:rPr>
          <w:t>.</w:t>
        </w:r>
      </w:hyperlink>
      <w:r w:rsidR="00663982" w:rsidRPr="00C118B5">
        <w:rPr>
          <w:color w:val="0D0D0D" w:themeColor="text1" w:themeTint="F2"/>
          <w:sz w:val="18"/>
          <w:szCs w:val="18"/>
          <w:lang w:val="en-US"/>
        </w:rPr>
        <w:t xml:space="preserve"> Hwang, T.J. Franklin, J.M. ∙ Chen, C.T. et al. Efficacy, safety, and regulatory approval of Food and Drug Administration-Designated breakthrough and </w:t>
      </w:r>
      <w:proofErr w:type="spellStart"/>
      <w:r w:rsidR="00663982" w:rsidRPr="00C118B5">
        <w:rPr>
          <w:color w:val="0D0D0D" w:themeColor="text1" w:themeTint="F2"/>
          <w:sz w:val="18"/>
          <w:szCs w:val="18"/>
          <w:lang w:val="en-US"/>
        </w:rPr>
        <w:t>nonbreakthrough</w:t>
      </w:r>
      <w:proofErr w:type="spellEnd"/>
      <w:r w:rsidR="00663982" w:rsidRPr="00C118B5">
        <w:rPr>
          <w:color w:val="0D0D0D" w:themeColor="text1" w:themeTint="F2"/>
          <w:sz w:val="18"/>
          <w:szCs w:val="18"/>
          <w:lang w:val="en-US"/>
        </w:rPr>
        <w:t xml:space="preserve"> cancer medicines. </w:t>
      </w:r>
      <w:r w:rsidR="00663982" w:rsidRPr="00C118B5">
        <w:rPr>
          <w:i/>
          <w:iCs/>
          <w:color w:val="0D0D0D" w:themeColor="text1" w:themeTint="F2"/>
          <w:sz w:val="18"/>
          <w:szCs w:val="18"/>
          <w:lang w:val="en-US"/>
        </w:rPr>
        <w:t>J Clin Oncol.</w:t>
      </w:r>
      <w:r w:rsidR="00663982">
        <w:rPr>
          <w:color w:val="0D0D0D" w:themeColor="text1" w:themeTint="F2"/>
          <w:sz w:val="18"/>
          <w:szCs w:val="18"/>
          <w:lang w:val="en-US"/>
        </w:rPr>
        <w:t xml:space="preserve"> </w:t>
      </w:r>
      <w:r w:rsidR="00663982" w:rsidRPr="00C118B5">
        <w:rPr>
          <w:color w:val="0D0D0D" w:themeColor="text1" w:themeTint="F2"/>
          <w:sz w:val="18"/>
          <w:szCs w:val="18"/>
          <w:lang w:val="en-US"/>
        </w:rPr>
        <w:t>2018;</w:t>
      </w:r>
      <w:r w:rsidR="00663982">
        <w:rPr>
          <w:color w:val="0D0D0D" w:themeColor="text1" w:themeTint="F2"/>
          <w:sz w:val="18"/>
          <w:szCs w:val="18"/>
          <w:lang w:val="en-US"/>
        </w:rPr>
        <w:t xml:space="preserve"> </w:t>
      </w:r>
      <w:r w:rsidR="00663982" w:rsidRPr="00C118B5">
        <w:rPr>
          <w:color w:val="0D0D0D" w:themeColor="text1" w:themeTint="F2"/>
          <w:sz w:val="18"/>
          <w:szCs w:val="18"/>
          <w:lang w:val="en-US"/>
        </w:rPr>
        <w:t xml:space="preserve">36:1805-1812 </w:t>
      </w:r>
    </w:p>
    <w:p w14:paraId="75E158D0" w14:textId="77777777" w:rsidR="00663982" w:rsidRPr="00C118B5" w:rsidRDefault="00B00DA4" w:rsidP="00663982">
      <w:pPr>
        <w:ind w:left="180" w:hanging="180"/>
        <w:rPr>
          <w:color w:val="0D0D0D" w:themeColor="text1" w:themeTint="F2"/>
          <w:sz w:val="18"/>
          <w:szCs w:val="18"/>
          <w:lang w:val="en-US"/>
        </w:rPr>
      </w:pPr>
      <w:hyperlink r:id="rId77" w:anchor="body-ref-sref4-1" w:tooltip="View in article" w:history="1">
        <w:r w:rsidR="00663982" w:rsidRPr="00410D02">
          <w:rPr>
            <w:rStyle w:val="Hipervnculo"/>
            <w:color w:val="0D0D0D" w:themeColor="text1" w:themeTint="F2"/>
            <w:sz w:val="18"/>
            <w:szCs w:val="18"/>
            <w:u w:val="none"/>
            <w:lang w:val="en-US"/>
          </w:rPr>
          <w:t>4.</w:t>
        </w:r>
      </w:hyperlink>
      <w:r w:rsidR="00663982" w:rsidRPr="00410D02">
        <w:rPr>
          <w:color w:val="0D0D0D" w:themeColor="text1" w:themeTint="F2"/>
          <w:sz w:val="18"/>
          <w:szCs w:val="18"/>
          <w:lang w:val="en-US"/>
        </w:rPr>
        <w:t xml:space="preserve"> </w:t>
      </w:r>
      <w:proofErr w:type="spellStart"/>
      <w:r w:rsidR="00663982" w:rsidRPr="00410D02">
        <w:rPr>
          <w:color w:val="0D0D0D" w:themeColor="text1" w:themeTint="F2"/>
          <w:sz w:val="18"/>
          <w:szCs w:val="18"/>
          <w:lang w:val="en-US"/>
        </w:rPr>
        <w:t>Rahimzadeh</w:t>
      </w:r>
      <w:proofErr w:type="spellEnd"/>
      <w:r w:rsidR="00663982" w:rsidRPr="00410D02">
        <w:rPr>
          <w:color w:val="0D0D0D" w:themeColor="text1" w:themeTint="F2"/>
          <w:sz w:val="18"/>
          <w:szCs w:val="18"/>
          <w:lang w:val="en-US"/>
        </w:rPr>
        <w:t xml:space="preserve">, P. Li, Q. </w:t>
      </w:r>
      <w:proofErr w:type="spellStart"/>
      <w:r w:rsidR="00663982" w:rsidRPr="00410D02">
        <w:rPr>
          <w:color w:val="0D0D0D" w:themeColor="text1" w:themeTint="F2"/>
          <w:sz w:val="18"/>
          <w:szCs w:val="18"/>
          <w:lang w:val="en-US"/>
        </w:rPr>
        <w:t>Rudofsky</w:t>
      </w:r>
      <w:proofErr w:type="spellEnd"/>
      <w:r w:rsidR="00663982" w:rsidRPr="00410D02">
        <w:rPr>
          <w:color w:val="0D0D0D" w:themeColor="text1" w:themeTint="F2"/>
          <w:sz w:val="18"/>
          <w:szCs w:val="18"/>
          <w:lang w:val="en-US"/>
        </w:rPr>
        <w:t xml:space="preserve">, L. et al. </w:t>
      </w:r>
      <w:r w:rsidR="00663982" w:rsidRPr="00C118B5">
        <w:rPr>
          <w:color w:val="0D0D0D" w:themeColor="text1" w:themeTint="F2"/>
          <w:sz w:val="18"/>
          <w:szCs w:val="18"/>
          <w:lang w:val="en-US"/>
        </w:rPr>
        <w:t xml:space="preserve">Efficacy and safety evidence supporting cancer drug approvals in Switzerland (2001–2020): a meta-analysis of pivotal </w:t>
      </w:r>
      <w:proofErr w:type="spellStart"/>
      <w:r w:rsidR="00663982" w:rsidRPr="00C118B5">
        <w:rPr>
          <w:color w:val="0D0D0D" w:themeColor="text1" w:themeTint="F2"/>
          <w:sz w:val="18"/>
          <w:szCs w:val="18"/>
          <w:lang w:val="en-US"/>
        </w:rPr>
        <w:t>randomised</w:t>
      </w:r>
      <w:proofErr w:type="spellEnd"/>
      <w:r w:rsidR="00663982" w:rsidRPr="00C118B5">
        <w:rPr>
          <w:color w:val="0D0D0D" w:themeColor="text1" w:themeTint="F2"/>
          <w:sz w:val="18"/>
          <w:szCs w:val="18"/>
          <w:lang w:val="en-US"/>
        </w:rPr>
        <w:t xml:space="preserve"> controlled trials. </w:t>
      </w:r>
      <w:r w:rsidR="00663982" w:rsidRPr="00C118B5">
        <w:rPr>
          <w:i/>
          <w:iCs/>
          <w:color w:val="0D0D0D" w:themeColor="text1" w:themeTint="F2"/>
          <w:sz w:val="18"/>
          <w:szCs w:val="18"/>
          <w:lang w:val="en-US"/>
        </w:rPr>
        <w:t>Lancet Reg. Health Eur.</w:t>
      </w:r>
      <w:r w:rsidR="00663982">
        <w:rPr>
          <w:color w:val="0D0D0D" w:themeColor="text1" w:themeTint="F2"/>
          <w:sz w:val="18"/>
          <w:szCs w:val="18"/>
          <w:lang w:val="en-US"/>
        </w:rPr>
        <w:t xml:space="preserve"> </w:t>
      </w:r>
      <w:r w:rsidR="00663982" w:rsidRPr="00C118B5">
        <w:rPr>
          <w:color w:val="0D0D0D" w:themeColor="text1" w:themeTint="F2"/>
          <w:sz w:val="18"/>
          <w:szCs w:val="18"/>
          <w:lang w:val="en-US"/>
        </w:rPr>
        <w:t>2026;</w:t>
      </w:r>
      <w:r w:rsidR="00663982">
        <w:rPr>
          <w:color w:val="0D0D0D" w:themeColor="text1" w:themeTint="F2"/>
          <w:sz w:val="18"/>
          <w:szCs w:val="18"/>
          <w:lang w:val="en-US"/>
        </w:rPr>
        <w:t xml:space="preserve"> </w:t>
      </w:r>
      <w:r w:rsidR="00663982" w:rsidRPr="00C118B5">
        <w:rPr>
          <w:color w:val="0D0D0D" w:themeColor="text1" w:themeTint="F2"/>
          <w:sz w:val="18"/>
          <w:szCs w:val="18"/>
          <w:lang w:val="en-US"/>
        </w:rPr>
        <w:t xml:space="preserve">66, 101710 </w:t>
      </w:r>
    </w:p>
    <w:p w14:paraId="627AFBB1" w14:textId="77777777" w:rsidR="007D0C90" w:rsidRDefault="00B00DA4" w:rsidP="00663982">
      <w:pPr>
        <w:ind w:left="180" w:hanging="180"/>
        <w:rPr>
          <w:color w:val="0D0D0D" w:themeColor="text1" w:themeTint="F2"/>
          <w:sz w:val="18"/>
          <w:szCs w:val="18"/>
          <w:lang w:val="es-ES"/>
        </w:rPr>
        <w:sectPr w:rsidR="007D0C90" w:rsidSect="007D0C90">
          <w:type w:val="continuous"/>
          <w:pgSz w:w="12240" w:h="15840" w:code="1"/>
          <w:pgMar w:top="720" w:right="720" w:bottom="720" w:left="720" w:header="288" w:footer="288" w:gutter="0"/>
          <w:cols w:num="2" w:space="288"/>
          <w:docGrid w:linePitch="360"/>
        </w:sectPr>
      </w:pPr>
      <w:hyperlink r:id="rId78" w:anchor="body-ref-sref5" w:tooltip="View in article" w:history="1">
        <w:r w:rsidR="00663982" w:rsidRPr="00F1006A">
          <w:rPr>
            <w:rStyle w:val="Hipervnculo"/>
            <w:color w:val="0D0D0D" w:themeColor="text1" w:themeTint="F2"/>
            <w:sz w:val="18"/>
            <w:szCs w:val="18"/>
            <w:u w:val="none"/>
            <w:lang w:val="en-US"/>
          </w:rPr>
          <w:t>5.</w:t>
        </w:r>
      </w:hyperlink>
      <w:r w:rsidR="00663982" w:rsidRPr="00F1006A">
        <w:rPr>
          <w:color w:val="0D0D0D" w:themeColor="text1" w:themeTint="F2"/>
          <w:sz w:val="18"/>
          <w:szCs w:val="18"/>
          <w:lang w:val="en-US"/>
        </w:rPr>
        <w:t xml:space="preserve"> </w:t>
      </w:r>
      <w:proofErr w:type="spellStart"/>
      <w:r w:rsidR="00663982" w:rsidRPr="00F1006A">
        <w:rPr>
          <w:color w:val="0D0D0D" w:themeColor="text1" w:themeTint="F2"/>
          <w:sz w:val="18"/>
          <w:szCs w:val="18"/>
          <w:lang w:val="en-US"/>
        </w:rPr>
        <w:t>Tibau</w:t>
      </w:r>
      <w:proofErr w:type="spellEnd"/>
      <w:r w:rsidR="00663982" w:rsidRPr="00F1006A">
        <w:rPr>
          <w:color w:val="0D0D0D" w:themeColor="text1" w:themeTint="F2"/>
          <w:sz w:val="18"/>
          <w:szCs w:val="18"/>
          <w:lang w:val="en-US"/>
        </w:rPr>
        <w:t xml:space="preserve">, A. Romano, A. Liu, I.T.T. ∙ et al. </w:t>
      </w:r>
      <w:r w:rsidR="00663982" w:rsidRPr="00C118B5">
        <w:rPr>
          <w:color w:val="0D0D0D" w:themeColor="text1" w:themeTint="F2"/>
          <w:sz w:val="18"/>
          <w:szCs w:val="18"/>
          <w:lang w:val="en-US"/>
        </w:rPr>
        <w:t xml:space="preserve">Assessing outcomes emerging after conversion to regular approval for cancer drug indications granted accelerated approval, 1992-2021. </w:t>
      </w:r>
      <w:r w:rsidR="00663982" w:rsidRPr="00DA78F9">
        <w:rPr>
          <w:i/>
          <w:iCs/>
          <w:color w:val="0D0D0D" w:themeColor="text1" w:themeTint="F2"/>
          <w:sz w:val="18"/>
          <w:szCs w:val="18"/>
          <w:lang w:val="es-ES"/>
        </w:rPr>
        <w:t xml:space="preserve">J </w:t>
      </w:r>
      <w:proofErr w:type="spellStart"/>
      <w:r w:rsidR="00663982" w:rsidRPr="00DA78F9">
        <w:rPr>
          <w:i/>
          <w:iCs/>
          <w:color w:val="0D0D0D" w:themeColor="text1" w:themeTint="F2"/>
          <w:sz w:val="18"/>
          <w:szCs w:val="18"/>
          <w:lang w:val="es-ES"/>
        </w:rPr>
        <w:t>Natl</w:t>
      </w:r>
      <w:proofErr w:type="spellEnd"/>
      <w:r w:rsidR="00663982" w:rsidRPr="00DA78F9">
        <w:rPr>
          <w:i/>
          <w:iCs/>
          <w:color w:val="0D0D0D" w:themeColor="text1" w:themeTint="F2"/>
          <w:sz w:val="18"/>
          <w:szCs w:val="18"/>
          <w:lang w:val="es-ES"/>
        </w:rPr>
        <w:t xml:space="preserve"> </w:t>
      </w:r>
      <w:proofErr w:type="spellStart"/>
      <w:r w:rsidR="00663982" w:rsidRPr="00DA78F9">
        <w:rPr>
          <w:i/>
          <w:iCs/>
          <w:color w:val="0D0D0D" w:themeColor="text1" w:themeTint="F2"/>
          <w:sz w:val="18"/>
          <w:szCs w:val="18"/>
          <w:lang w:val="es-ES"/>
        </w:rPr>
        <w:t>Cancer</w:t>
      </w:r>
      <w:proofErr w:type="spellEnd"/>
      <w:r w:rsidR="00663982" w:rsidRPr="00DA78F9">
        <w:rPr>
          <w:i/>
          <w:iCs/>
          <w:color w:val="0D0D0D" w:themeColor="text1" w:themeTint="F2"/>
          <w:sz w:val="18"/>
          <w:szCs w:val="18"/>
          <w:lang w:val="es-ES"/>
        </w:rPr>
        <w:t xml:space="preserve"> Inst.</w:t>
      </w:r>
      <w:r w:rsidR="00663982" w:rsidRPr="00DA78F9">
        <w:rPr>
          <w:color w:val="0D0D0D" w:themeColor="text1" w:themeTint="F2"/>
          <w:sz w:val="18"/>
          <w:szCs w:val="18"/>
          <w:lang w:val="es-ES"/>
        </w:rPr>
        <w:t xml:space="preserve"> 2025; 117:2103-2111 </w:t>
      </w:r>
    </w:p>
    <w:p w14:paraId="61191DD8" w14:textId="0C52E07E" w:rsidR="00663982" w:rsidRPr="00DA78F9" w:rsidRDefault="00663982" w:rsidP="00663982">
      <w:pPr>
        <w:ind w:left="180" w:hanging="180"/>
        <w:rPr>
          <w:color w:val="0D0D0D" w:themeColor="text1" w:themeTint="F2"/>
          <w:sz w:val="18"/>
          <w:szCs w:val="18"/>
          <w:lang w:val="es-ES"/>
        </w:rPr>
      </w:pPr>
    </w:p>
    <w:p w14:paraId="0CDE861E" w14:textId="64E607DC" w:rsidR="00663982" w:rsidRDefault="00663982" w:rsidP="00980893">
      <w:pPr>
        <w:rPr>
          <w:rFonts w:eastAsia="Times New Roman" w:cs="Times New Roman"/>
          <w:szCs w:val="20"/>
          <w:lang w:val="es-ES"/>
        </w:rPr>
      </w:pPr>
    </w:p>
    <w:p w14:paraId="1FE73ED3" w14:textId="77777777" w:rsidR="00210053" w:rsidRPr="001E6614" w:rsidRDefault="00210053" w:rsidP="00210053">
      <w:pPr>
        <w:tabs>
          <w:tab w:val="left" w:pos="7920"/>
        </w:tabs>
        <w:jc w:val="center"/>
        <w:rPr>
          <w:b/>
          <w:lang w:val="es-ES"/>
        </w:rPr>
      </w:pPr>
      <w:r w:rsidRPr="0085388B">
        <w:rPr>
          <w:rFonts w:eastAsia="Times New Roman" w:cs="Times New Roman"/>
          <w:szCs w:val="20"/>
          <w:lang w:val="es-ES"/>
        </w:rPr>
        <w:t>Reino Unido.</w:t>
      </w:r>
      <w:r>
        <w:rPr>
          <w:rFonts w:eastAsia="Times New Roman" w:cs="Times New Roman"/>
          <w:b/>
          <w:bCs/>
          <w:szCs w:val="20"/>
          <w:lang w:val="es-ES"/>
        </w:rPr>
        <w:t xml:space="preserve"> </w:t>
      </w:r>
      <w:r w:rsidRPr="001E6614">
        <w:rPr>
          <w:b/>
          <w:lang w:val="es-ES"/>
        </w:rPr>
        <w:t>La evaluación concomitante del MHRA y NICE beneficia a la industria</w:t>
      </w:r>
    </w:p>
    <w:p w14:paraId="0561E8C4" w14:textId="3BE9D96A" w:rsidR="00210053" w:rsidRDefault="00210053" w:rsidP="00210053">
      <w:pPr>
        <w:tabs>
          <w:tab w:val="left" w:pos="7920"/>
        </w:tabs>
        <w:jc w:val="center"/>
        <w:rPr>
          <w:lang w:val="es-ES"/>
        </w:rPr>
      </w:pPr>
      <w:r w:rsidRPr="001E6614">
        <w:rPr>
          <w:lang w:val="es-ES"/>
        </w:rPr>
        <w:t>Salud y Fármacos</w:t>
      </w:r>
    </w:p>
    <w:p w14:paraId="182B5EF4" w14:textId="6458CD49" w:rsidR="00210053" w:rsidRDefault="00210053" w:rsidP="00210053">
      <w:pPr>
        <w:tabs>
          <w:tab w:val="left" w:pos="7920"/>
        </w:tabs>
        <w:jc w:val="center"/>
        <w:rPr>
          <w:lang w:val="es-ES"/>
        </w:rPr>
      </w:pPr>
      <w:r w:rsidRPr="002461D1">
        <w:rPr>
          <w:i/>
          <w:lang w:val="es-ES"/>
        </w:rPr>
        <w:t xml:space="preserve">Boletín Fármacos: </w:t>
      </w:r>
      <w:r w:rsidR="0085388B">
        <w:rPr>
          <w:i/>
          <w:lang w:val="es-ES"/>
        </w:rPr>
        <w:t>Agen</w:t>
      </w:r>
      <w:r w:rsidRPr="002461D1">
        <w:rPr>
          <w:i/>
          <w:lang w:val="es-ES"/>
        </w:rPr>
        <w:t>c</w:t>
      </w:r>
      <w:r w:rsidR="0085388B">
        <w:rPr>
          <w:i/>
          <w:lang w:val="es-ES"/>
        </w:rPr>
        <w:t>i</w:t>
      </w:r>
      <w:r w:rsidRPr="002461D1">
        <w:rPr>
          <w:i/>
          <w:lang w:val="es-ES"/>
        </w:rPr>
        <w:t>as</w:t>
      </w:r>
      <w:r w:rsidR="0085388B">
        <w:rPr>
          <w:i/>
          <w:lang w:val="es-ES"/>
        </w:rPr>
        <w:t xml:space="preserve"> reguladoras</w:t>
      </w:r>
      <w:r w:rsidRPr="002461D1">
        <w:rPr>
          <w:i/>
          <w:lang w:val="es-ES"/>
        </w:rPr>
        <w:t xml:space="preserve"> </w:t>
      </w:r>
      <w:r>
        <w:rPr>
          <w:lang w:val="es-ES"/>
        </w:rPr>
        <w:t>2026; 29 (3)</w:t>
      </w:r>
    </w:p>
    <w:p w14:paraId="52E66F83" w14:textId="77777777" w:rsidR="00210053" w:rsidRPr="009F6FB8" w:rsidRDefault="00210053" w:rsidP="00210053">
      <w:pPr>
        <w:tabs>
          <w:tab w:val="left" w:pos="7920"/>
        </w:tabs>
        <w:jc w:val="center"/>
        <w:rPr>
          <w:lang w:val="es-ES"/>
        </w:rPr>
      </w:pPr>
    </w:p>
    <w:p w14:paraId="35D6EEB9" w14:textId="77777777" w:rsidR="007D0C90" w:rsidRDefault="007D0C90" w:rsidP="00210053">
      <w:pPr>
        <w:tabs>
          <w:tab w:val="left" w:pos="7920"/>
        </w:tabs>
        <w:rPr>
          <w:b/>
          <w:sz w:val="18"/>
          <w:szCs w:val="18"/>
          <w:lang w:val="es-ES"/>
        </w:rPr>
        <w:sectPr w:rsidR="007D0C90" w:rsidSect="00F25512">
          <w:type w:val="continuous"/>
          <w:pgSz w:w="12240" w:h="15840" w:code="1"/>
          <w:pgMar w:top="720" w:right="720" w:bottom="720" w:left="720" w:header="288" w:footer="288" w:gutter="0"/>
          <w:cols w:space="288"/>
          <w:docGrid w:linePitch="360"/>
        </w:sectPr>
      </w:pPr>
    </w:p>
    <w:p w14:paraId="6D50C942" w14:textId="23169ECD" w:rsidR="00210053" w:rsidRPr="009F6FB8" w:rsidRDefault="00210053" w:rsidP="00210053">
      <w:pPr>
        <w:tabs>
          <w:tab w:val="left" w:pos="7920"/>
        </w:tabs>
        <w:rPr>
          <w:lang w:val="es-ES"/>
        </w:rPr>
      </w:pPr>
      <w:r w:rsidRPr="009F6FB8">
        <w:rPr>
          <w:b/>
          <w:sz w:val="18"/>
          <w:szCs w:val="18"/>
          <w:lang w:val="es-ES"/>
        </w:rPr>
        <w:t>Tags:</w:t>
      </w:r>
      <w:r>
        <w:rPr>
          <w:b/>
          <w:sz w:val="18"/>
          <w:szCs w:val="18"/>
          <w:lang w:val="es-ES"/>
        </w:rPr>
        <w:t xml:space="preserve"> diluyen las responsabilidades de NICE, politización del formulario de medicamentos en el NHS, NICE no puede utilizar dictamen de MHRA, facilitar la comercialización de medicamentos, aumentar el gasto en medicamentos</w:t>
      </w:r>
    </w:p>
    <w:p w14:paraId="4F45CC8E" w14:textId="77777777" w:rsidR="00210053" w:rsidRPr="009F6FB8" w:rsidRDefault="00210053" w:rsidP="00210053">
      <w:pPr>
        <w:tabs>
          <w:tab w:val="left" w:pos="7920"/>
        </w:tabs>
        <w:rPr>
          <w:lang w:val="es-ES"/>
        </w:rPr>
      </w:pPr>
    </w:p>
    <w:p w14:paraId="43C54CDC" w14:textId="77777777" w:rsidR="00210053" w:rsidRPr="009F6FB8" w:rsidRDefault="00210053" w:rsidP="00210053">
      <w:pPr>
        <w:tabs>
          <w:tab w:val="left" w:pos="7920"/>
        </w:tabs>
        <w:rPr>
          <w:lang w:val="es-ES"/>
        </w:rPr>
      </w:pPr>
      <w:r w:rsidRPr="009F6FB8">
        <w:rPr>
          <w:lang w:val="es-ES"/>
        </w:rPr>
        <w:t xml:space="preserve">Para acelerar la aprobación de los medicamentos nuevos y su disponibilidad para los beneficiarios del NHS, en abril de 2026, el gobierno </w:t>
      </w:r>
      <w:r>
        <w:rPr>
          <w:lang w:val="es-ES"/>
        </w:rPr>
        <w:t xml:space="preserve">del Reino Unido </w:t>
      </w:r>
      <w:r w:rsidRPr="009F6FB8">
        <w:rPr>
          <w:lang w:val="es-ES"/>
        </w:rPr>
        <w:t xml:space="preserve">anunció que en lugar de que el NICE inicie la evaluación de la </w:t>
      </w:r>
      <w:proofErr w:type="spellStart"/>
      <w:r w:rsidRPr="009F6FB8">
        <w:rPr>
          <w:lang w:val="es-ES"/>
        </w:rPr>
        <w:t>costo</w:t>
      </w:r>
      <w:proofErr w:type="spellEnd"/>
      <w:r w:rsidRPr="009F6FB8">
        <w:rPr>
          <w:lang w:val="es-ES"/>
        </w:rPr>
        <w:t xml:space="preserve">-efectividad del nuevo producto versus los ya comercializados una vez la MHRA haya determinado que el producto nuevo es seguro y eficaz, las evaluaciones del NICE y de la MHRA se realizaran simultáneamente. Se espera que esto permita que los medicamentos estén disponibles para los beneficiarios del NHS entre tres y seis meses antes. Canadá y Australia han adoptado la misma secuencia. </w:t>
      </w:r>
      <w:proofErr w:type="spellStart"/>
      <w:r w:rsidRPr="009F6FB8">
        <w:rPr>
          <w:lang w:val="es-ES"/>
        </w:rPr>
        <w:t>Naci</w:t>
      </w:r>
      <w:proofErr w:type="spellEnd"/>
      <w:r w:rsidRPr="009F6FB8">
        <w:rPr>
          <w:lang w:val="es-ES"/>
        </w:rPr>
        <w:t xml:space="preserve"> ha publicado una interesante crítica a este cambio de política en el B</w:t>
      </w:r>
      <w:r>
        <w:rPr>
          <w:lang w:val="es-ES"/>
        </w:rPr>
        <w:t xml:space="preserve">ritish Medical </w:t>
      </w:r>
      <w:proofErr w:type="spellStart"/>
      <w:r>
        <w:rPr>
          <w:lang w:val="es-ES"/>
        </w:rPr>
        <w:t>Journal</w:t>
      </w:r>
      <w:proofErr w:type="spellEnd"/>
      <w:r w:rsidRPr="009F6FB8">
        <w:rPr>
          <w:lang w:val="es-ES"/>
        </w:rPr>
        <w:t xml:space="preserve"> [1]. A continuación, señalamos los puntos más importantes.</w:t>
      </w:r>
    </w:p>
    <w:p w14:paraId="032275A2" w14:textId="77777777" w:rsidR="00210053" w:rsidRPr="009F6FB8" w:rsidRDefault="00210053" w:rsidP="00210053">
      <w:pPr>
        <w:tabs>
          <w:tab w:val="left" w:pos="7920"/>
        </w:tabs>
        <w:rPr>
          <w:lang w:val="es-ES"/>
        </w:rPr>
      </w:pPr>
    </w:p>
    <w:p w14:paraId="5C0775EE" w14:textId="3C7C95D8" w:rsidR="00210053" w:rsidRPr="009F6FB8" w:rsidRDefault="00210053" w:rsidP="00210053">
      <w:pPr>
        <w:tabs>
          <w:tab w:val="left" w:pos="7920"/>
        </w:tabs>
        <w:rPr>
          <w:lang w:val="es-ES"/>
        </w:rPr>
      </w:pPr>
      <w:r w:rsidRPr="009F6FB8">
        <w:rPr>
          <w:lang w:val="es-ES"/>
        </w:rPr>
        <w:t xml:space="preserve">Según </w:t>
      </w:r>
      <w:proofErr w:type="spellStart"/>
      <w:r w:rsidRPr="009F6FB8">
        <w:rPr>
          <w:lang w:val="es-ES"/>
        </w:rPr>
        <w:t>Naci</w:t>
      </w:r>
      <w:proofErr w:type="spellEnd"/>
      <w:r w:rsidRPr="009F6FB8">
        <w:rPr>
          <w:lang w:val="es-ES"/>
        </w:rPr>
        <w:t xml:space="preserve"> [1], tras este cambio, la industria se verá beneficiada porque podrá comercializar e introducir sus productos en el NHS más rápidamente, y su periodo de comercialización antes de </w:t>
      </w:r>
      <w:r w:rsidR="00C51EF2">
        <w:rPr>
          <w:lang w:val="es-ES"/>
        </w:rPr>
        <w:t xml:space="preserve">que la industria </w:t>
      </w:r>
      <w:r w:rsidRPr="009F6FB8">
        <w:rPr>
          <w:lang w:val="es-ES"/>
        </w:rPr>
        <w:t>ten</w:t>
      </w:r>
      <w:r w:rsidR="00C51EF2">
        <w:rPr>
          <w:lang w:val="es-ES"/>
        </w:rPr>
        <w:t>ga</w:t>
      </w:r>
      <w:r w:rsidRPr="009F6FB8">
        <w:rPr>
          <w:lang w:val="es-ES"/>
        </w:rPr>
        <w:t xml:space="preserve"> que pagar reembolsos al NHS será más largo (es de tres años a partir de que el producto haya sido aprobado por la MHRA). Los beneficios para los pacientes están menos claros. Si bien los pacientes sin alternativas terapéuticas podrán acceder antes al tratamiento, los beneficiarios del NHS tendrán mayor acceso a tratamientos independientemente de que hayan demostrado ser superiores a las terapias existentes, como ocurrió </w:t>
      </w:r>
      <w:r w:rsidRPr="009F6FB8">
        <w:rPr>
          <w:lang w:val="es-ES"/>
        </w:rPr>
        <w:t>en Canadá. Consecuentemente, es muy probable que el gasto del NHS aumente.</w:t>
      </w:r>
    </w:p>
    <w:p w14:paraId="25442081" w14:textId="77777777" w:rsidR="00210053" w:rsidRPr="009F6FB8" w:rsidRDefault="00210053" w:rsidP="00210053">
      <w:pPr>
        <w:tabs>
          <w:tab w:val="left" w:pos="7920"/>
        </w:tabs>
        <w:rPr>
          <w:lang w:val="es-ES"/>
        </w:rPr>
      </w:pPr>
    </w:p>
    <w:p w14:paraId="419FB4B4" w14:textId="77777777" w:rsidR="00210053" w:rsidRPr="009F6FB8" w:rsidRDefault="00210053" w:rsidP="00210053">
      <w:pPr>
        <w:tabs>
          <w:tab w:val="left" w:pos="7920"/>
        </w:tabs>
        <w:rPr>
          <w:b/>
          <w:lang w:val="es-ES"/>
        </w:rPr>
      </w:pPr>
      <w:r w:rsidRPr="009F6FB8">
        <w:rPr>
          <w:b/>
          <w:lang w:val="es-ES"/>
        </w:rPr>
        <w:t xml:space="preserve">Entre los riesgos que destaca </w:t>
      </w:r>
      <w:proofErr w:type="spellStart"/>
      <w:r w:rsidRPr="009F6FB8">
        <w:rPr>
          <w:b/>
          <w:lang w:val="es-ES"/>
        </w:rPr>
        <w:t>Naci</w:t>
      </w:r>
      <w:proofErr w:type="spellEnd"/>
      <w:r w:rsidRPr="009F6FB8">
        <w:rPr>
          <w:b/>
          <w:lang w:val="es-ES"/>
        </w:rPr>
        <w:t xml:space="preserve"> figuran los siguientes:</w:t>
      </w:r>
    </w:p>
    <w:p w14:paraId="26E42DF1" w14:textId="77777777" w:rsidR="00210053" w:rsidRPr="009F6FB8" w:rsidRDefault="00210053" w:rsidP="00210053">
      <w:pPr>
        <w:tabs>
          <w:tab w:val="left" w:pos="7920"/>
        </w:tabs>
        <w:rPr>
          <w:lang w:val="es-ES"/>
        </w:rPr>
      </w:pPr>
      <w:r w:rsidRPr="009F6FB8">
        <w:rPr>
          <w:lang w:val="es-ES"/>
        </w:rPr>
        <w:t>Se impondrán plazos a MHRA y a NICE para que pued</w:t>
      </w:r>
      <w:r>
        <w:rPr>
          <w:lang w:val="es-ES"/>
        </w:rPr>
        <w:t>a</w:t>
      </w:r>
      <w:r w:rsidRPr="009F6FB8">
        <w:rPr>
          <w:lang w:val="es-ES"/>
        </w:rPr>
        <w:t>n emitir sus dictámenes simultáneamente – estos plazos se han asociado con aprobaciones de medicamentos que generan más eventos adversos que los que fueron evaluados sin restricciones.</w:t>
      </w:r>
    </w:p>
    <w:p w14:paraId="1AC33425" w14:textId="77777777" w:rsidR="00210053" w:rsidRPr="009F6FB8" w:rsidRDefault="00210053" w:rsidP="00210053">
      <w:pPr>
        <w:tabs>
          <w:tab w:val="left" w:pos="7920"/>
        </w:tabs>
        <w:rPr>
          <w:lang w:val="es-ES"/>
        </w:rPr>
      </w:pPr>
    </w:p>
    <w:p w14:paraId="4DB42EC1" w14:textId="62A2CC5C" w:rsidR="00210053" w:rsidRPr="009F6FB8" w:rsidRDefault="00210053" w:rsidP="00210053">
      <w:pPr>
        <w:tabs>
          <w:tab w:val="left" w:pos="7920"/>
        </w:tabs>
        <w:rPr>
          <w:lang w:val="es-ES"/>
        </w:rPr>
      </w:pPr>
      <w:r w:rsidRPr="009F6FB8">
        <w:rPr>
          <w:lang w:val="es-ES"/>
        </w:rPr>
        <w:t xml:space="preserve">Los medicamentos que se aprueban por vías </w:t>
      </w:r>
      <w:r w:rsidR="0085388B" w:rsidRPr="009F6FB8">
        <w:rPr>
          <w:lang w:val="es-ES"/>
        </w:rPr>
        <w:t>aceleradas</w:t>
      </w:r>
      <w:r w:rsidRPr="009F6FB8">
        <w:rPr>
          <w:lang w:val="es-ES"/>
        </w:rPr>
        <w:t xml:space="preserve"> requieren de más advertencias de seguridad, incluyendo cambios al etiquetado/ficha técnica.</w:t>
      </w:r>
    </w:p>
    <w:p w14:paraId="14728E9D" w14:textId="77777777" w:rsidR="00210053" w:rsidRPr="009F6FB8" w:rsidRDefault="00210053" w:rsidP="00210053">
      <w:pPr>
        <w:tabs>
          <w:tab w:val="left" w:pos="7920"/>
        </w:tabs>
        <w:rPr>
          <w:lang w:val="es-ES"/>
        </w:rPr>
      </w:pPr>
    </w:p>
    <w:p w14:paraId="09D5D11D" w14:textId="77777777" w:rsidR="00210053" w:rsidRPr="009F6FB8" w:rsidRDefault="00210053" w:rsidP="00210053">
      <w:pPr>
        <w:tabs>
          <w:tab w:val="left" w:pos="7920"/>
        </w:tabs>
        <w:rPr>
          <w:lang w:val="es-ES"/>
        </w:rPr>
      </w:pPr>
      <w:r w:rsidRPr="009F6FB8">
        <w:rPr>
          <w:lang w:val="es-ES"/>
        </w:rPr>
        <w:t>El escrutinio que hace el MHRA de los nuevos medicamentos ya se ha visto debilitado por la confianza en los dictámenes de las agencias reguladoras que cada vez aprueban más medicamentos por la vía acelerada.</w:t>
      </w:r>
    </w:p>
    <w:p w14:paraId="6AC4023A" w14:textId="77777777" w:rsidR="00210053" w:rsidRPr="009F6FB8" w:rsidRDefault="00210053" w:rsidP="00210053">
      <w:pPr>
        <w:tabs>
          <w:tab w:val="left" w:pos="7920"/>
        </w:tabs>
        <w:rPr>
          <w:lang w:val="es-ES"/>
        </w:rPr>
      </w:pPr>
    </w:p>
    <w:p w14:paraId="7C9649DA" w14:textId="77777777" w:rsidR="00210053" w:rsidRPr="009F6FB8" w:rsidRDefault="00210053" w:rsidP="00210053">
      <w:pPr>
        <w:tabs>
          <w:tab w:val="left" w:pos="7920"/>
        </w:tabs>
        <w:rPr>
          <w:lang w:val="es-ES"/>
        </w:rPr>
      </w:pPr>
      <w:r w:rsidRPr="009F6FB8">
        <w:rPr>
          <w:lang w:val="es-ES"/>
        </w:rPr>
        <w:t xml:space="preserve">NICE tendrá que tomar decisiones sin conocer las opiniones de la MHRA sobre la seguridad y eficacia de los productos nuevos. </w:t>
      </w:r>
    </w:p>
    <w:p w14:paraId="2C9C27C8" w14:textId="77777777" w:rsidR="00210053" w:rsidRPr="009F6FB8" w:rsidRDefault="00210053" w:rsidP="00210053">
      <w:pPr>
        <w:tabs>
          <w:tab w:val="left" w:pos="7920"/>
        </w:tabs>
        <w:rPr>
          <w:lang w:val="es-ES"/>
        </w:rPr>
      </w:pPr>
    </w:p>
    <w:p w14:paraId="7DAEF998" w14:textId="77777777" w:rsidR="00210053" w:rsidRPr="009F6FB8" w:rsidRDefault="00210053" w:rsidP="00210053">
      <w:pPr>
        <w:tabs>
          <w:tab w:val="left" w:pos="7920"/>
        </w:tabs>
        <w:rPr>
          <w:lang w:val="es-ES"/>
        </w:rPr>
      </w:pPr>
      <w:r w:rsidRPr="009F6FB8">
        <w:rPr>
          <w:lang w:val="es-ES"/>
        </w:rPr>
        <w:t xml:space="preserve">Las repercusiones para el NHS también pueden ser graves. Según </w:t>
      </w:r>
      <w:proofErr w:type="spellStart"/>
      <w:r w:rsidRPr="009F6FB8">
        <w:rPr>
          <w:lang w:val="es-ES"/>
        </w:rPr>
        <w:t>Naci</w:t>
      </w:r>
      <w:proofErr w:type="spellEnd"/>
      <w:r w:rsidRPr="009F6FB8">
        <w:rPr>
          <w:lang w:val="es-ES"/>
        </w:rPr>
        <w:t xml:space="preserve"> [1] el efecto sobre la salud de los medicamentos recomendados por NICE entre el año 2000 y el 2020 fue negativo</w:t>
      </w:r>
      <w:r>
        <w:rPr>
          <w:lang w:val="es-ES"/>
        </w:rPr>
        <w:t>,</w:t>
      </w:r>
      <w:r w:rsidRPr="009F6FB8">
        <w:rPr>
          <w:lang w:val="es-ES"/>
        </w:rPr>
        <w:t xml:space="preserve"> es decir, los beneficios para la población hubieran sido mayores si el presupuesto invertido en esos medicamentos se hubiera utilizado en intervenciones más costo-efectivas. Este aspecto se verá agravado por el aumento en el umbral de financiamiento (25%) que utilizará NICE en virtud del acuerdo comercial entre EE UU y el Reino Unido. </w:t>
      </w:r>
    </w:p>
    <w:p w14:paraId="3CAA4989" w14:textId="77777777" w:rsidR="00210053" w:rsidRPr="009F6FB8" w:rsidRDefault="00210053" w:rsidP="00210053">
      <w:pPr>
        <w:tabs>
          <w:tab w:val="left" w:pos="7920"/>
        </w:tabs>
        <w:rPr>
          <w:lang w:val="es-ES"/>
        </w:rPr>
      </w:pPr>
    </w:p>
    <w:p w14:paraId="6BD3D66C" w14:textId="77777777" w:rsidR="00210053" w:rsidRPr="009F6FB8" w:rsidRDefault="00210053" w:rsidP="00210053">
      <w:pPr>
        <w:tabs>
          <w:tab w:val="left" w:pos="7920"/>
        </w:tabs>
        <w:rPr>
          <w:lang w:val="es-ES"/>
        </w:rPr>
      </w:pPr>
      <w:r w:rsidRPr="009F6FB8">
        <w:rPr>
          <w:lang w:val="es-ES"/>
        </w:rPr>
        <w:t>El Reino Unido debe revisar sus políticas en base al beneficio que aportan a los pacientes, y dejar en un segundo plano las prioridades comerciales.</w:t>
      </w:r>
    </w:p>
    <w:p w14:paraId="5E379EE8" w14:textId="128D5185" w:rsidR="00210053" w:rsidRDefault="00210053" w:rsidP="00C51EF2">
      <w:pPr>
        <w:rPr>
          <w:rFonts w:eastAsia="Times New Roman" w:cs="Times New Roman"/>
          <w:b/>
          <w:bCs/>
          <w:szCs w:val="20"/>
          <w:lang w:val="es-ES"/>
        </w:rPr>
      </w:pPr>
    </w:p>
    <w:p w14:paraId="3A7FE765" w14:textId="228BEB79" w:rsidR="00C51EF2" w:rsidRPr="00C51EF2" w:rsidRDefault="00C51EF2" w:rsidP="00C51EF2">
      <w:pPr>
        <w:rPr>
          <w:rFonts w:eastAsia="Times New Roman" w:cs="Times New Roman"/>
          <w:b/>
          <w:bCs/>
          <w:sz w:val="18"/>
          <w:szCs w:val="18"/>
          <w:lang w:val="en-US"/>
        </w:rPr>
      </w:pPr>
      <w:proofErr w:type="spellStart"/>
      <w:r w:rsidRPr="00C51EF2">
        <w:rPr>
          <w:rFonts w:eastAsia="Times New Roman" w:cs="Times New Roman"/>
          <w:b/>
          <w:bCs/>
          <w:sz w:val="18"/>
          <w:szCs w:val="18"/>
          <w:lang w:val="en-US"/>
        </w:rPr>
        <w:t>Referencia</w:t>
      </w:r>
      <w:proofErr w:type="spellEnd"/>
    </w:p>
    <w:p w14:paraId="231904C9" w14:textId="4EB26F93" w:rsidR="00C51EF2" w:rsidRPr="00E73369" w:rsidRDefault="00C51EF2" w:rsidP="002478D5">
      <w:pPr>
        <w:pStyle w:val="Prrafodelista"/>
        <w:numPr>
          <w:ilvl w:val="3"/>
          <w:numId w:val="16"/>
        </w:numPr>
        <w:ind w:left="180" w:hanging="180"/>
        <w:rPr>
          <w:rFonts w:eastAsia="Times New Roman" w:cs="Times New Roman"/>
          <w:bCs/>
          <w:szCs w:val="20"/>
          <w:lang w:val="en-US"/>
        </w:rPr>
      </w:pPr>
      <w:r w:rsidRPr="00C51EF2">
        <w:rPr>
          <w:rFonts w:eastAsia="Times New Roman" w:cs="Times New Roman"/>
          <w:bCs/>
          <w:sz w:val="18"/>
          <w:szCs w:val="18"/>
          <w:lang w:val="en-US"/>
        </w:rPr>
        <w:t>Naci H. Aligned MHRA-NICE approval pathway benefits industry over patients BMJ 2026; 393 :s858 doi:10.1136/bmj.s858</w:t>
      </w:r>
      <w:r w:rsidR="00E73369">
        <w:rPr>
          <w:rFonts w:eastAsia="Times New Roman" w:cs="Times New Roman"/>
          <w:bCs/>
          <w:sz w:val="18"/>
          <w:szCs w:val="18"/>
          <w:lang w:val="en-US"/>
        </w:rPr>
        <w:t xml:space="preserve"> </w:t>
      </w:r>
      <w:hyperlink r:id="rId79" w:history="1">
        <w:r w:rsidR="00E73369" w:rsidRPr="003B6E80">
          <w:rPr>
            <w:rStyle w:val="Hipervnculo"/>
            <w:rFonts w:eastAsia="Times New Roman" w:cs="Times New Roman"/>
            <w:bCs/>
            <w:sz w:val="18"/>
            <w:szCs w:val="18"/>
            <w:lang w:val="en-US"/>
          </w:rPr>
          <w:t>https://pubmed.ncbi.nlm.nih.gov/42128446/</w:t>
        </w:r>
      </w:hyperlink>
    </w:p>
    <w:p w14:paraId="016BA1B0" w14:textId="77777777" w:rsidR="007D0C90" w:rsidRDefault="007D0C90" w:rsidP="00E30769">
      <w:pPr>
        <w:rPr>
          <w:rFonts w:eastAsia="Times New Roman" w:cs="Times New Roman"/>
          <w:color w:val="EE0000"/>
          <w:szCs w:val="20"/>
          <w:lang w:val="en-US"/>
        </w:rPr>
        <w:sectPr w:rsidR="007D0C90" w:rsidSect="007D0C90">
          <w:type w:val="continuous"/>
          <w:pgSz w:w="12240" w:h="15840" w:code="1"/>
          <w:pgMar w:top="720" w:right="720" w:bottom="720" w:left="720" w:header="288" w:footer="288" w:gutter="0"/>
          <w:cols w:num="2" w:space="288"/>
          <w:docGrid w:linePitch="360"/>
        </w:sectPr>
      </w:pPr>
    </w:p>
    <w:p w14:paraId="1305B3FA" w14:textId="77777777" w:rsidR="0085388B" w:rsidRPr="00F25512" w:rsidRDefault="0085388B" w:rsidP="00EF2C8E">
      <w:pPr>
        <w:rPr>
          <w:rFonts w:eastAsia="Times New Roman" w:cs="Times New Roman"/>
          <w:szCs w:val="20"/>
          <w:lang w:val="en-US"/>
        </w:rPr>
      </w:pPr>
    </w:p>
    <w:p w14:paraId="39EBF857" w14:textId="52713567" w:rsidR="0085388B" w:rsidRPr="009F6FB8" w:rsidRDefault="007F7DCB" w:rsidP="0085388B">
      <w:pPr>
        <w:tabs>
          <w:tab w:val="left" w:pos="7920"/>
        </w:tabs>
        <w:jc w:val="center"/>
        <w:rPr>
          <w:rFonts w:cs="Times New Roman"/>
          <w:b/>
          <w:bCs/>
          <w:szCs w:val="20"/>
          <w:lang w:val="es-ES"/>
        </w:rPr>
      </w:pPr>
      <w:r w:rsidRPr="007F7DCB">
        <w:rPr>
          <w:rFonts w:cs="Times New Roman"/>
          <w:szCs w:val="20"/>
          <w:lang w:val="es-ES"/>
        </w:rPr>
        <w:t>Reino Unido.</w:t>
      </w:r>
      <w:r>
        <w:rPr>
          <w:rFonts w:cs="Times New Roman"/>
          <w:b/>
          <w:bCs/>
          <w:szCs w:val="20"/>
          <w:lang w:val="es-ES"/>
        </w:rPr>
        <w:t xml:space="preserve"> </w:t>
      </w:r>
      <w:r w:rsidR="0085388B" w:rsidRPr="009F6FB8">
        <w:rPr>
          <w:rFonts w:cs="Times New Roman"/>
          <w:b/>
          <w:bCs/>
          <w:szCs w:val="20"/>
          <w:lang w:val="es-ES"/>
        </w:rPr>
        <w:t>Activistas presentan una impugnación legal por «apropiación ilegal de poder» por los cambios en el control de precios de medicamentos para el NHS en respuesta a las exigencias de Trump</w:t>
      </w:r>
    </w:p>
    <w:p w14:paraId="0105B394" w14:textId="76F92E8B" w:rsidR="0085388B" w:rsidRPr="009F6FB8" w:rsidRDefault="0085388B" w:rsidP="007D0C90">
      <w:pPr>
        <w:tabs>
          <w:tab w:val="left" w:pos="7920"/>
        </w:tabs>
        <w:jc w:val="center"/>
        <w:rPr>
          <w:rFonts w:cs="Times New Roman"/>
          <w:bCs/>
          <w:i/>
          <w:szCs w:val="20"/>
          <w:lang w:val="en-US"/>
        </w:rPr>
      </w:pPr>
      <w:r w:rsidRPr="009F6FB8">
        <w:rPr>
          <w:rFonts w:cs="Times New Roman"/>
          <w:bCs/>
          <w:i/>
          <w:szCs w:val="20"/>
          <w:lang w:val="en-US"/>
        </w:rPr>
        <w:t xml:space="preserve">(Campaigners file legal challenge to ‘unlawful </w:t>
      </w:r>
      <w:proofErr w:type="spellStart"/>
      <w:r w:rsidRPr="009F6FB8">
        <w:rPr>
          <w:rFonts w:cs="Times New Roman"/>
          <w:bCs/>
          <w:i/>
          <w:szCs w:val="20"/>
          <w:lang w:val="en-US"/>
        </w:rPr>
        <w:t>powergrab</w:t>
      </w:r>
      <w:proofErr w:type="spellEnd"/>
      <w:r w:rsidRPr="009F6FB8">
        <w:rPr>
          <w:rFonts w:cs="Times New Roman"/>
          <w:bCs/>
          <w:i/>
          <w:szCs w:val="20"/>
          <w:lang w:val="en-US"/>
        </w:rPr>
        <w:t>’ over NHS</w:t>
      </w:r>
      <w:r w:rsidR="007D0C90">
        <w:rPr>
          <w:rFonts w:cs="Times New Roman"/>
          <w:bCs/>
          <w:i/>
          <w:szCs w:val="20"/>
          <w:lang w:val="en-US"/>
        </w:rPr>
        <w:t xml:space="preserve"> </w:t>
      </w:r>
      <w:r w:rsidRPr="009F6FB8">
        <w:rPr>
          <w:rFonts w:cs="Times New Roman"/>
          <w:bCs/>
          <w:i/>
          <w:szCs w:val="20"/>
          <w:lang w:val="en-US"/>
        </w:rPr>
        <w:t>drug price control changes demanded by Trump)</w:t>
      </w:r>
      <w:r>
        <w:rPr>
          <w:rFonts w:cs="Times New Roman"/>
          <w:bCs/>
          <w:i/>
          <w:szCs w:val="20"/>
          <w:lang w:val="en-US"/>
        </w:rPr>
        <w:t xml:space="preserve"> </w:t>
      </w:r>
    </w:p>
    <w:p w14:paraId="52C6D44F" w14:textId="77777777" w:rsidR="0085388B" w:rsidRPr="009F6FB8" w:rsidRDefault="0085388B" w:rsidP="0085388B">
      <w:pPr>
        <w:tabs>
          <w:tab w:val="left" w:pos="7920"/>
        </w:tabs>
        <w:jc w:val="center"/>
        <w:rPr>
          <w:rFonts w:cs="Times New Roman"/>
          <w:szCs w:val="20"/>
          <w:lang w:val="es-ES"/>
        </w:rPr>
      </w:pPr>
      <w:r w:rsidRPr="009F6FB8">
        <w:rPr>
          <w:rFonts w:cs="Times New Roman"/>
          <w:i/>
          <w:iCs/>
          <w:szCs w:val="20"/>
          <w:lang w:val="es-ES"/>
        </w:rPr>
        <w:t xml:space="preserve">Global </w:t>
      </w:r>
      <w:proofErr w:type="spellStart"/>
      <w:r w:rsidRPr="009F6FB8">
        <w:rPr>
          <w:rFonts w:cs="Times New Roman"/>
          <w:i/>
          <w:iCs/>
          <w:szCs w:val="20"/>
          <w:lang w:val="es-ES"/>
        </w:rPr>
        <w:t>Justice</w:t>
      </w:r>
      <w:proofErr w:type="spellEnd"/>
      <w:r w:rsidRPr="009F6FB8">
        <w:rPr>
          <w:rFonts w:cs="Times New Roman"/>
          <w:i/>
          <w:iCs/>
          <w:szCs w:val="20"/>
          <w:lang w:val="es-ES"/>
        </w:rPr>
        <w:t xml:space="preserve"> </w:t>
      </w:r>
      <w:proofErr w:type="spellStart"/>
      <w:r w:rsidRPr="009F6FB8">
        <w:rPr>
          <w:rFonts w:cs="Times New Roman"/>
          <w:i/>
          <w:iCs/>
          <w:szCs w:val="20"/>
          <w:lang w:val="es-ES"/>
        </w:rPr>
        <w:t>Now</w:t>
      </w:r>
      <w:proofErr w:type="spellEnd"/>
      <w:r w:rsidRPr="009F6FB8">
        <w:rPr>
          <w:rFonts w:cs="Times New Roman"/>
          <w:i/>
          <w:iCs/>
          <w:szCs w:val="20"/>
          <w:lang w:val="es-ES"/>
        </w:rPr>
        <w:t xml:space="preserve">, </w:t>
      </w:r>
      <w:r w:rsidRPr="009F6FB8">
        <w:rPr>
          <w:rFonts w:cs="Times New Roman"/>
          <w:szCs w:val="20"/>
          <w:lang w:val="es-ES"/>
        </w:rPr>
        <w:t>2 de junio de 2016</w:t>
      </w:r>
    </w:p>
    <w:p w14:paraId="30CBC699" w14:textId="77777777" w:rsidR="0085388B" w:rsidRPr="009F6FB8" w:rsidRDefault="00B00DA4" w:rsidP="0085388B">
      <w:pPr>
        <w:tabs>
          <w:tab w:val="left" w:pos="7920"/>
        </w:tabs>
        <w:jc w:val="center"/>
        <w:rPr>
          <w:rFonts w:cs="Times New Roman"/>
          <w:color w:val="0000FF"/>
          <w:szCs w:val="20"/>
          <w:u w:val="single"/>
          <w:lang w:val="es-ES"/>
        </w:rPr>
      </w:pPr>
      <w:hyperlink r:id="rId80" w:history="1">
        <w:r w:rsidR="0085388B" w:rsidRPr="009F6FB8">
          <w:rPr>
            <w:rFonts w:cs="Times New Roman"/>
            <w:color w:val="0000FF"/>
            <w:szCs w:val="20"/>
            <w:u w:val="single"/>
            <w:lang w:val="es-ES"/>
          </w:rPr>
          <w:t>https://www.globaljustice.org.uk/news/campaigners-file-legal-challenge-to-unlawful-powergrab-over-nhs-drug-price-control-changes-demanded-by-trump/</w:t>
        </w:r>
      </w:hyperlink>
    </w:p>
    <w:p w14:paraId="148EB01B" w14:textId="06BEC721" w:rsidR="0085388B" w:rsidRPr="009F6FB8" w:rsidRDefault="0085388B" w:rsidP="0085388B">
      <w:pPr>
        <w:tabs>
          <w:tab w:val="left" w:pos="7920"/>
        </w:tabs>
        <w:jc w:val="center"/>
        <w:rPr>
          <w:lang w:val="es-ES"/>
        </w:rPr>
      </w:pPr>
      <w:r w:rsidRPr="009F6FB8">
        <w:rPr>
          <w:lang w:val="es-ES"/>
        </w:rPr>
        <w:t xml:space="preserve">Traducido por Salud y Fármacos, publicado en </w:t>
      </w:r>
      <w:r w:rsidRPr="009F6FB8">
        <w:rPr>
          <w:i/>
          <w:lang w:val="es-ES"/>
        </w:rPr>
        <w:t xml:space="preserve">Boletín Fármacos: </w:t>
      </w:r>
      <w:r>
        <w:rPr>
          <w:i/>
          <w:lang w:val="es-ES"/>
        </w:rPr>
        <w:t>Agencias Reguladoras</w:t>
      </w:r>
      <w:r w:rsidRPr="009F6FB8">
        <w:rPr>
          <w:lang w:val="es-ES"/>
        </w:rPr>
        <w:t xml:space="preserve"> 2026; 29 (3)</w:t>
      </w:r>
    </w:p>
    <w:p w14:paraId="4106AB17" w14:textId="77777777" w:rsidR="0085388B" w:rsidRPr="009F6FB8" w:rsidRDefault="0085388B" w:rsidP="0085388B">
      <w:pPr>
        <w:tabs>
          <w:tab w:val="left" w:pos="7920"/>
        </w:tabs>
        <w:rPr>
          <w:b/>
          <w:sz w:val="18"/>
          <w:szCs w:val="18"/>
          <w:lang w:val="es-ES"/>
        </w:rPr>
      </w:pPr>
    </w:p>
    <w:p w14:paraId="0D3A31D6" w14:textId="77777777" w:rsidR="00140BE1" w:rsidRDefault="00140BE1" w:rsidP="0085388B">
      <w:pPr>
        <w:tabs>
          <w:tab w:val="left" w:pos="7920"/>
        </w:tabs>
        <w:rPr>
          <w:b/>
          <w:sz w:val="18"/>
          <w:szCs w:val="18"/>
          <w:lang w:val="es-ES"/>
        </w:rPr>
        <w:sectPr w:rsidR="00140BE1" w:rsidSect="00F25512">
          <w:type w:val="continuous"/>
          <w:pgSz w:w="12240" w:h="15840" w:code="1"/>
          <w:pgMar w:top="720" w:right="720" w:bottom="720" w:left="720" w:header="288" w:footer="288" w:gutter="0"/>
          <w:cols w:space="288"/>
          <w:docGrid w:linePitch="360"/>
        </w:sectPr>
      </w:pPr>
    </w:p>
    <w:p w14:paraId="37DE5C6F" w14:textId="77583019" w:rsidR="0085388B" w:rsidRPr="009F6FB8" w:rsidRDefault="0085388B" w:rsidP="0085388B">
      <w:pPr>
        <w:tabs>
          <w:tab w:val="left" w:pos="7920"/>
        </w:tabs>
        <w:rPr>
          <w:rFonts w:cs="Times New Roman"/>
          <w:szCs w:val="20"/>
          <w:lang w:val="es-ES"/>
        </w:rPr>
      </w:pPr>
      <w:r w:rsidRPr="009F6FB8">
        <w:rPr>
          <w:b/>
          <w:sz w:val="18"/>
          <w:szCs w:val="18"/>
          <w:lang w:val="es-ES"/>
        </w:rPr>
        <w:t>Tags: Ilegalidades en el acuerdo entre EE UU y el Reino Unido, aumento en el gasto de medicamentos en el Reino Unido, presiones de la administración Trump al Reino Unido, litigación contra políticas del gobierno</w:t>
      </w:r>
    </w:p>
    <w:p w14:paraId="688CE850" w14:textId="77777777" w:rsidR="0085388B" w:rsidRPr="009F6FB8" w:rsidRDefault="0085388B" w:rsidP="0085388B">
      <w:pPr>
        <w:tabs>
          <w:tab w:val="left" w:pos="7920"/>
        </w:tabs>
        <w:rPr>
          <w:rFonts w:cs="Times New Roman"/>
          <w:szCs w:val="20"/>
          <w:lang w:val="es-ES"/>
        </w:rPr>
      </w:pPr>
    </w:p>
    <w:p w14:paraId="00B924AD" w14:textId="77777777" w:rsidR="0085388B" w:rsidRPr="009F6FB8" w:rsidRDefault="0085388B" w:rsidP="0085388B">
      <w:pPr>
        <w:tabs>
          <w:tab w:val="left" w:pos="7920"/>
        </w:tabs>
        <w:rPr>
          <w:rFonts w:cs="Times New Roman"/>
          <w:szCs w:val="20"/>
          <w:lang w:val="es-ES"/>
        </w:rPr>
      </w:pPr>
      <w:r w:rsidRPr="009F6FB8">
        <w:rPr>
          <w:rFonts w:cs="Times New Roman"/>
          <w:szCs w:val="20"/>
          <w:lang w:val="es-ES"/>
        </w:rPr>
        <w:t>• Activistas afirman que la legislación que se utilizó para acabar con la independencia del NICE fue ilegal y antidemocrática.</w:t>
      </w:r>
    </w:p>
    <w:p w14:paraId="59C0ABA1" w14:textId="77777777" w:rsidR="0085388B" w:rsidRPr="009F6FB8" w:rsidRDefault="0085388B" w:rsidP="0085388B">
      <w:pPr>
        <w:tabs>
          <w:tab w:val="left" w:pos="7920"/>
        </w:tabs>
        <w:rPr>
          <w:rFonts w:cs="Times New Roman"/>
          <w:szCs w:val="20"/>
          <w:lang w:val="es-ES"/>
        </w:rPr>
      </w:pPr>
    </w:p>
    <w:p w14:paraId="4F8534D4" w14:textId="77777777" w:rsidR="0085388B" w:rsidRPr="009F6FB8" w:rsidRDefault="0085388B" w:rsidP="0085388B">
      <w:pPr>
        <w:tabs>
          <w:tab w:val="left" w:pos="7920"/>
        </w:tabs>
        <w:rPr>
          <w:rFonts w:cs="Times New Roman"/>
          <w:szCs w:val="20"/>
          <w:lang w:val="es-ES" w:eastAsia="ja-JP"/>
        </w:rPr>
      </w:pPr>
      <w:r w:rsidRPr="009F6FB8">
        <w:rPr>
          <w:rFonts w:cs="Times New Roman"/>
          <w:szCs w:val="20"/>
          <w:lang w:val="es-ES" w:eastAsia="ja-JP"/>
        </w:rPr>
        <w:t>Los cambios forman parte de concesiones más amplias a favor de la industria farmacéutica que realizó el Reino Unido en respuesta a la presión de la Casa Blanca y de la propia industria, que, según expertos, ponen en peligro cientos de miles de vidas.</w:t>
      </w:r>
    </w:p>
    <w:p w14:paraId="44487930" w14:textId="77777777" w:rsidR="0085388B" w:rsidRPr="009F6FB8" w:rsidRDefault="0085388B" w:rsidP="0085388B">
      <w:pPr>
        <w:tabs>
          <w:tab w:val="left" w:pos="7920"/>
        </w:tabs>
        <w:rPr>
          <w:rFonts w:cs="Times New Roman"/>
          <w:szCs w:val="20"/>
          <w:lang w:val="es-ES"/>
        </w:rPr>
      </w:pPr>
    </w:p>
    <w:p w14:paraId="04BD6F0B" w14:textId="77777777" w:rsidR="007F7DCB" w:rsidRDefault="0085388B" w:rsidP="0085388B">
      <w:pPr>
        <w:tabs>
          <w:tab w:val="left" w:pos="7920"/>
        </w:tabs>
        <w:rPr>
          <w:rFonts w:cs="Times New Roman"/>
          <w:szCs w:val="20"/>
          <w:lang w:val="es-ES"/>
        </w:rPr>
      </w:pPr>
      <w:r w:rsidRPr="009F6FB8">
        <w:rPr>
          <w:rFonts w:cs="Times New Roman"/>
          <w:szCs w:val="20"/>
          <w:lang w:val="es-ES"/>
        </w:rPr>
        <w:t xml:space="preserve">Tras un intercambio formal con los abogados del gobierno, una batalla legal iniciada por activistas contra el Gobierno británico por los cambios introducidos en el sistema de control de precios de los medicamentos en el Reino Unido se traslada a los tribunales. </w:t>
      </w:r>
    </w:p>
    <w:p w14:paraId="76B5DE8E" w14:textId="77777777" w:rsidR="007F7DCB" w:rsidRDefault="007F7DCB" w:rsidP="0085388B">
      <w:pPr>
        <w:tabs>
          <w:tab w:val="left" w:pos="7920"/>
        </w:tabs>
        <w:rPr>
          <w:rFonts w:cs="Times New Roman"/>
          <w:szCs w:val="20"/>
          <w:lang w:val="es-ES"/>
        </w:rPr>
      </w:pPr>
    </w:p>
    <w:p w14:paraId="2B5E0DEA" w14:textId="7259B65C" w:rsidR="0085388B" w:rsidRPr="009F6FB8" w:rsidRDefault="0085388B" w:rsidP="0085388B">
      <w:pPr>
        <w:tabs>
          <w:tab w:val="left" w:pos="7920"/>
        </w:tabs>
        <w:rPr>
          <w:rFonts w:cs="Times New Roman"/>
          <w:szCs w:val="20"/>
          <w:lang w:val="es-ES"/>
        </w:rPr>
      </w:pPr>
      <w:r w:rsidRPr="009F6FB8">
        <w:rPr>
          <w:rFonts w:cs="Times New Roman"/>
          <w:szCs w:val="20"/>
          <w:lang w:val="es-ES"/>
        </w:rPr>
        <w:t>El gobierno, en su respuesta a una carta previa a la demanda, intentó justificar la forma en que se han realizado los cambios, que pondrán fin a la independencia de NICE (</w:t>
      </w:r>
      <w:r w:rsidRPr="009F6FB8">
        <w:rPr>
          <w:rFonts w:cs="Times New Roman"/>
          <w:i/>
          <w:szCs w:val="20"/>
          <w:lang w:val="es-ES"/>
        </w:rPr>
        <w:t xml:space="preserve">National </w:t>
      </w:r>
      <w:proofErr w:type="spellStart"/>
      <w:r w:rsidRPr="009F6FB8">
        <w:rPr>
          <w:rFonts w:cs="Times New Roman"/>
          <w:i/>
          <w:szCs w:val="20"/>
          <w:lang w:val="es-ES"/>
        </w:rPr>
        <w:t>Institute</w:t>
      </w:r>
      <w:proofErr w:type="spellEnd"/>
      <w:r w:rsidRPr="009F6FB8">
        <w:rPr>
          <w:rFonts w:cs="Times New Roman"/>
          <w:i/>
          <w:szCs w:val="20"/>
          <w:lang w:val="es-ES"/>
        </w:rPr>
        <w:t xml:space="preserve"> for </w:t>
      </w:r>
      <w:proofErr w:type="spellStart"/>
      <w:r w:rsidRPr="009F6FB8">
        <w:rPr>
          <w:rFonts w:cs="Times New Roman"/>
          <w:i/>
          <w:szCs w:val="20"/>
          <w:lang w:val="es-ES"/>
        </w:rPr>
        <w:t>Health</w:t>
      </w:r>
      <w:proofErr w:type="spellEnd"/>
      <w:r w:rsidRPr="009F6FB8">
        <w:rPr>
          <w:rFonts w:cs="Times New Roman"/>
          <w:i/>
          <w:szCs w:val="20"/>
          <w:lang w:val="es-ES"/>
        </w:rPr>
        <w:t xml:space="preserve"> and Care </w:t>
      </w:r>
      <w:proofErr w:type="spellStart"/>
      <w:r w:rsidRPr="009F6FB8">
        <w:rPr>
          <w:rFonts w:cs="Times New Roman"/>
          <w:i/>
          <w:szCs w:val="20"/>
          <w:lang w:val="es-ES"/>
        </w:rPr>
        <w:t>Excellence</w:t>
      </w:r>
      <w:proofErr w:type="spellEnd"/>
      <w:r w:rsidRPr="009F6FB8">
        <w:rPr>
          <w:rFonts w:cs="Times New Roman"/>
          <w:szCs w:val="20"/>
          <w:lang w:val="es-ES"/>
        </w:rPr>
        <w:t xml:space="preserve"> o Instituto Nacional para la Excelencia en la Salud y la Atención) del control ministerial. Sin embargo, los activistas y sus abogados siguen convencidos de que el gobierno actuó ilegalmente y han solicitado autorización judicial para que se haga una revisión judicial completa.</w:t>
      </w:r>
    </w:p>
    <w:p w14:paraId="52489DED" w14:textId="77777777" w:rsidR="0085388B" w:rsidRPr="009F6FB8" w:rsidRDefault="0085388B" w:rsidP="0085388B">
      <w:pPr>
        <w:tabs>
          <w:tab w:val="left" w:pos="7920"/>
        </w:tabs>
        <w:rPr>
          <w:rFonts w:cs="Times New Roman"/>
          <w:szCs w:val="20"/>
          <w:lang w:val="es-ES"/>
        </w:rPr>
      </w:pPr>
    </w:p>
    <w:p w14:paraId="46DF77B8" w14:textId="77777777" w:rsidR="0085388B" w:rsidRPr="009F6FB8" w:rsidRDefault="0085388B" w:rsidP="0085388B">
      <w:pPr>
        <w:tabs>
          <w:tab w:val="left" w:pos="7920"/>
        </w:tabs>
        <w:rPr>
          <w:rFonts w:cs="Times New Roman"/>
          <w:szCs w:val="20"/>
          <w:lang w:val="es-ES"/>
        </w:rPr>
      </w:pPr>
      <w:r w:rsidRPr="009F6FB8">
        <w:rPr>
          <w:rFonts w:cs="Times New Roman"/>
          <w:szCs w:val="20"/>
          <w:lang w:val="es-ES"/>
        </w:rPr>
        <w:t xml:space="preserve">La organización de pacientes Just </w:t>
      </w:r>
      <w:proofErr w:type="spellStart"/>
      <w:r w:rsidRPr="009F6FB8">
        <w:rPr>
          <w:rFonts w:cs="Times New Roman"/>
          <w:szCs w:val="20"/>
          <w:lang w:val="es-ES"/>
        </w:rPr>
        <w:t>Treatment</w:t>
      </w:r>
      <w:proofErr w:type="spellEnd"/>
      <w:r w:rsidRPr="009F6FB8">
        <w:rPr>
          <w:rFonts w:cs="Times New Roman"/>
          <w:szCs w:val="20"/>
          <w:lang w:val="es-ES"/>
        </w:rPr>
        <w:t xml:space="preserve"> y la organización de justicia social Global </w:t>
      </w:r>
      <w:proofErr w:type="spellStart"/>
      <w:r w:rsidRPr="009F6FB8">
        <w:rPr>
          <w:rFonts w:cs="Times New Roman"/>
          <w:szCs w:val="20"/>
          <w:lang w:val="es-ES"/>
        </w:rPr>
        <w:t>Justice</w:t>
      </w:r>
      <w:proofErr w:type="spellEnd"/>
      <w:r w:rsidRPr="009F6FB8">
        <w:rPr>
          <w:rFonts w:cs="Times New Roman"/>
          <w:szCs w:val="20"/>
          <w:lang w:val="es-ES"/>
        </w:rPr>
        <w:t xml:space="preserve"> </w:t>
      </w:r>
      <w:proofErr w:type="spellStart"/>
      <w:r w:rsidRPr="009F6FB8">
        <w:rPr>
          <w:rFonts w:cs="Times New Roman"/>
          <w:szCs w:val="20"/>
          <w:lang w:val="es-ES"/>
        </w:rPr>
        <w:t>Now</w:t>
      </w:r>
      <w:proofErr w:type="spellEnd"/>
      <w:r w:rsidRPr="009F6FB8">
        <w:rPr>
          <w:rFonts w:cs="Times New Roman"/>
          <w:szCs w:val="20"/>
          <w:lang w:val="es-ES"/>
        </w:rPr>
        <w:t xml:space="preserve"> han demandado al gobierno, junto con sus abogados, Leigh Day, por la inclusión de nuevas regulaciones para implementar un pilar fundamental del acuerdo comercial entre EE UU y el Reino Unido sobre productos farmacéuticos. Los grupos están recaudando fondos mediante </w:t>
      </w:r>
      <w:proofErr w:type="spellStart"/>
      <w:r w:rsidRPr="009F6FB8">
        <w:rPr>
          <w:rFonts w:cs="Times New Roman"/>
          <w:szCs w:val="20"/>
          <w:lang w:val="es-ES"/>
        </w:rPr>
        <w:t>micromecenazgo</w:t>
      </w:r>
      <w:proofErr w:type="spellEnd"/>
      <w:r w:rsidRPr="009F6FB8">
        <w:rPr>
          <w:rFonts w:cs="Times New Roman"/>
          <w:szCs w:val="20"/>
          <w:lang w:val="es-ES"/>
        </w:rPr>
        <w:t xml:space="preserve"> para llevar el caso hasta el final y cubrir la totalidad de los gastos legales y judiciales.</w:t>
      </w:r>
    </w:p>
    <w:p w14:paraId="0600B9E5" w14:textId="77777777" w:rsidR="0085388B" w:rsidRPr="009F6FB8" w:rsidRDefault="0085388B" w:rsidP="0085388B">
      <w:pPr>
        <w:tabs>
          <w:tab w:val="left" w:pos="7920"/>
        </w:tabs>
        <w:rPr>
          <w:rFonts w:cs="Times New Roman"/>
          <w:szCs w:val="20"/>
          <w:lang w:val="es-ES"/>
        </w:rPr>
      </w:pPr>
    </w:p>
    <w:p w14:paraId="64E836D1" w14:textId="77777777" w:rsidR="0085388B" w:rsidRPr="009F6FB8" w:rsidRDefault="0085388B" w:rsidP="0085388B">
      <w:pPr>
        <w:tabs>
          <w:tab w:val="left" w:pos="7920"/>
        </w:tabs>
        <w:rPr>
          <w:rFonts w:cs="Times New Roman"/>
          <w:szCs w:val="20"/>
          <w:lang w:val="es-ES"/>
        </w:rPr>
      </w:pPr>
      <w:r w:rsidRPr="009F6FB8">
        <w:rPr>
          <w:rFonts w:cs="Times New Roman"/>
          <w:szCs w:val="20"/>
          <w:lang w:val="es-ES"/>
        </w:rPr>
        <w:t>Un instrumento legal, aprobado en abril, otorga el control directo sobre el umbral de costo-efectividad que utiliza NICE para determinar qué medicamentos se ofrecen de forma rutinaria en el NHS a los ministros. Este cambio se tuvo que hacer para que el gobierno pudiera cumplir las promesas hechas a Donald Trump en el marco del acuerdo comercial sobre productos farmacéuticos anunciado en diciembre de 2025. Forma parte de un paquete de cambios que compromete al Reino Unido a aumentar drásticamente el gasto en medicamentos patentados por parte del NHS durante los próximos diez años.</w:t>
      </w:r>
    </w:p>
    <w:p w14:paraId="3B8BEBB5" w14:textId="77777777" w:rsidR="0085388B" w:rsidRPr="009F6FB8" w:rsidRDefault="0085388B" w:rsidP="0085388B">
      <w:pPr>
        <w:tabs>
          <w:tab w:val="left" w:pos="7920"/>
        </w:tabs>
        <w:rPr>
          <w:rFonts w:cs="Times New Roman"/>
          <w:color w:val="FF0000"/>
          <w:szCs w:val="20"/>
          <w:lang w:val="es-ES"/>
        </w:rPr>
      </w:pPr>
    </w:p>
    <w:p w14:paraId="01DE5B4B" w14:textId="7EC7F8A8" w:rsidR="0085388B" w:rsidRPr="009F6FB8" w:rsidRDefault="0085388B" w:rsidP="0085388B">
      <w:pPr>
        <w:tabs>
          <w:tab w:val="left" w:pos="7920"/>
        </w:tabs>
        <w:rPr>
          <w:rFonts w:cs="Times New Roman"/>
          <w:szCs w:val="20"/>
          <w:lang w:val="es-ES"/>
        </w:rPr>
      </w:pPr>
      <w:r w:rsidRPr="009F6FB8">
        <w:rPr>
          <w:rFonts w:cs="Times New Roman"/>
          <w:szCs w:val="20"/>
          <w:lang w:val="es-ES"/>
        </w:rPr>
        <w:t xml:space="preserve">Sin embargo, el mes pasado, en una carta dirigida al </w:t>
      </w:r>
      <w:r w:rsidRPr="00F25512">
        <w:rPr>
          <w:rFonts w:cs="Times New Roman"/>
          <w:szCs w:val="20"/>
          <w:lang w:val="es-ES"/>
        </w:rPr>
        <w:t>gobierno</w:t>
      </w:r>
      <w:r w:rsidR="00485B7F" w:rsidRPr="00F25512">
        <w:rPr>
          <w:rFonts w:cs="Times New Roman"/>
          <w:szCs w:val="20"/>
          <w:lang w:val="es-ES"/>
        </w:rPr>
        <w:t xml:space="preserve"> [2]</w:t>
      </w:r>
      <w:r w:rsidR="00F25512" w:rsidRPr="00F25512">
        <w:rPr>
          <w:rFonts w:cs="Times New Roman"/>
          <w:szCs w:val="20"/>
          <w:lang w:val="es-ES"/>
        </w:rPr>
        <w:t>,</w:t>
      </w:r>
      <w:r w:rsidR="00F25512">
        <w:rPr>
          <w:rFonts w:cs="Times New Roman"/>
          <w:szCs w:val="20"/>
          <w:lang w:val="es-ES"/>
        </w:rPr>
        <w:t xml:space="preserve"> </w:t>
      </w:r>
      <w:r w:rsidRPr="009F6FB8">
        <w:rPr>
          <w:rFonts w:cs="Times New Roman"/>
          <w:szCs w:val="20"/>
          <w:lang w:val="es-ES"/>
        </w:rPr>
        <w:t>los activistas expusieron las razones por las que los cambios son ilegales, y pidieron al gobierno que revocara la legislación o enfrentara a una batalla legal. Los activistas creen que los cambios acaban con la independencia del NICE y permiten la injerencia política, dejando que los precios de los medicamentos estén sujetos al cabildeo político de las grandes farmacéuticas y el gobierno estadounidense. Afirman que esto supone un riesgo existencial para el riguroso marco de salvaguardias del Reino Unido, diseñado para proteger a los pacientes y al Servicio Nacional de Salud (NHS) de los precios abusivos que exige la industria. Se estima que los cambios a los que se ha comprometido el gobierno, en virtud del acuerdo con Trump, costarán al NHS miles de millones de libras esterlinas al año para 2035, y han sido ampliamente criticados por expertos en salud.</w:t>
      </w:r>
    </w:p>
    <w:p w14:paraId="4A610C3C" w14:textId="77777777" w:rsidR="0085388B" w:rsidRPr="009F6FB8" w:rsidRDefault="0085388B" w:rsidP="0085388B">
      <w:pPr>
        <w:tabs>
          <w:tab w:val="left" w:pos="7920"/>
        </w:tabs>
        <w:rPr>
          <w:rFonts w:cs="Times New Roman"/>
          <w:color w:val="FF0000"/>
          <w:szCs w:val="20"/>
          <w:lang w:val="es-ES"/>
        </w:rPr>
      </w:pPr>
    </w:p>
    <w:p w14:paraId="081F384A" w14:textId="77777777" w:rsidR="0085388B" w:rsidRPr="009F6FB8" w:rsidRDefault="0085388B" w:rsidP="0085388B">
      <w:pPr>
        <w:tabs>
          <w:tab w:val="left" w:pos="7920"/>
        </w:tabs>
        <w:rPr>
          <w:rFonts w:cs="Times New Roman"/>
          <w:szCs w:val="20"/>
          <w:lang w:val="es-ES"/>
        </w:rPr>
      </w:pPr>
      <w:r w:rsidRPr="009F6FB8">
        <w:rPr>
          <w:rFonts w:cs="Times New Roman"/>
          <w:szCs w:val="20"/>
          <w:lang w:val="es-ES"/>
        </w:rPr>
        <w:t>El gobierno, en su respuesta, se mantuvo firme en su postura de haber actuado legalmente. Activistas y sus abogados han presentado documentos ante los tribunales, solicitando autorización para celebrar una vista judicial y que un juez se pronuncie sobre el asunto.</w:t>
      </w:r>
    </w:p>
    <w:p w14:paraId="30BF14DF" w14:textId="77777777" w:rsidR="0085388B" w:rsidRPr="009F6FB8" w:rsidRDefault="0085388B" w:rsidP="0085388B">
      <w:pPr>
        <w:tabs>
          <w:tab w:val="left" w:pos="7920"/>
        </w:tabs>
        <w:rPr>
          <w:rFonts w:cs="Times New Roman"/>
          <w:color w:val="FF0000"/>
          <w:szCs w:val="20"/>
          <w:lang w:val="es-ES"/>
        </w:rPr>
      </w:pPr>
    </w:p>
    <w:p w14:paraId="2D908C60" w14:textId="77777777" w:rsidR="0085388B" w:rsidRPr="00C07879" w:rsidRDefault="0085388B" w:rsidP="0085388B">
      <w:pPr>
        <w:tabs>
          <w:tab w:val="left" w:pos="7920"/>
        </w:tabs>
        <w:rPr>
          <w:rFonts w:cs="Times New Roman"/>
          <w:szCs w:val="20"/>
          <w:lang w:val="en-US"/>
        </w:rPr>
      </w:pPr>
      <w:proofErr w:type="spellStart"/>
      <w:r w:rsidRPr="00C07879">
        <w:rPr>
          <w:rFonts w:cs="Times New Roman"/>
          <w:szCs w:val="20"/>
          <w:lang w:val="en-US"/>
        </w:rPr>
        <w:t>Diarmaid</w:t>
      </w:r>
      <w:proofErr w:type="spellEnd"/>
      <w:r w:rsidRPr="00C07879">
        <w:rPr>
          <w:rFonts w:cs="Times New Roman"/>
          <w:szCs w:val="20"/>
          <w:lang w:val="en-US"/>
        </w:rPr>
        <w:t xml:space="preserve"> McDonald, </w:t>
      </w:r>
      <w:proofErr w:type="spellStart"/>
      <w:r w:rsidRPr="00C07879">
        <w:rPr>
          <w:rFonts w:cs="Times New Roman"/>
          <w:szCs w:val="20"/>
          <w:lang w:val="en-US"/>
        </w:rPr>
        <w:t>directora</w:t>
      </w:r>
      <w:proofErr w:type="spellEnd"/>
      <w:r w:rsidRPr="00C07879">
        <w:rPr>
          <w:rFonts w:cs="Times New Roman"/>
          <w:szCs w:val="20"/>
          <w:lang w:val="en-US"/>
        </w:rPr>
        <w:t xml:space="preserve"> de Just Treatment, </w:t>
      </w:r>
      <w:proofErr w:type="spellStart"/>
      <w:r w:rsidRPr="00C07879">
        <w:rPr>
          <w:rFonts w:cs="Times New Roman"/>
          <w:szCs w:val="20"/>
          <w:lang w:val="en-US"/>
        </w:rPr>
        <w:t>declaró</w:t>
      </w:r>
      <w:proofErr w:type="spellEnd"/>
      <w:r w:rsidRPr="00C07879">
        <w:rPr>
          <w:rFonts w:cs="Times New Roman"/>
          <w:szCs w:val="20"/>
          <w:lang w:val="en-US"/>
        </w:rPr>
        <w:t>:</w:t>
      </w:r>
    </w:p>
    <w:p w14:paraId="1D65FECB" w14:textId="77777777" w:rsidR="0085388B" w:rsidRPr="00C07879" w:rsidRDefault="0085388B" w:rsidP="0085388B">
      <w:pPr>
        <w:tabs>
          <w:tab w:val="left" w:pos="7920"/>
        </w:tabs>
        <w:rPr>
          <w:rFonts w:cs="Times New Roman"/>
          <w:szCs w:val="20"/>
          <w:lang w:val="en-US"/>
        </w:rPr>
      </w:pPr>
    </w:p>
    <w:p w14:paraId="6CEC62E6" w14:textId="77777777" w:rsidR="0085388B" w:rsidRPr="009F6FB8" w:rsidRDefault="0085388B" w:rsidP="0085388B">
      <w:pPr>
        <w:tabs>
          <w:tab w:val="left" w:pos="7920"/>
        </w:tabs>
        <w:ind w:left="180"/>
        <w:rPr>
          <w:rFonts w:cs="Times New Roman"/>
          <w:szCs w:val="20"/>
          <w:lang w:val="es-ES"/>
        </w:rPr>
      </w:pPr>
      <w:r w:rsidRPr="009F6FB8">
        <w:rPr>
          <w:rFonts w:cs="Times New Roman"/>
          <w:szCs w:val="20"/>
          <w:lang w:val="es-ES"/>
        </w:rPr>
        <w:t>“Es sumamente decepcionante, aunque lamentablemente no sorprendente, que el gobierno se haya negado a admitir el error cometido al intentar eludir el control parlamentario para aprobar estos cambios. Durante todo este proceso, el gobierno ha escuchado al gobierno estadounidense y a los grupos de presión de las farmacéuticas en lugar de a los pacientes, el personal, los parlamentarios y los expertos independientes del NHS. No podemos permitir que pongan en riesgo tantas vidas y nuestro sistema de salud público para inflar las ganancias de la industria y alimentar el ego de Trump.</w:t>
      </w:r>
    </w:p>
    <w:p w14:paraId="439AF163" w14:textId="77777777" w:rsidR="0085388B" w:rsidRPr="009F6FB8" w:rsidRDefault="0085388B" w:rsidP="0085388B">
      <w:pPr>
        <w:tabs>
          <w:tab w:val="left" w:pos="7920"/>
        </w:tabs>
        <w:ind w:left="180"/>
        <w:rPr>
          <w:rFonts w:cs="Times New Roman"/>
          <w:szCs w:val="20"/>
          <w:lang w:val="es-ES"/>
        </w:rPr>
      </w:pPr>
    </w:p>
    <w:p w14:paraId="2A2B4918" w14:textId="77777777" w:rsidR="0085388B" w:rsidRPr="009F6FB8" w:rsidRDefault="0085388B" w:rsidP="0085388B">
      <w:pPr>
        <w:tabs>
          <w:tab w:val="left" w:pos="7920"/>
        </w:tabs>
        <w:ind w:left="180"/>
        <w:rPr>
          <w:rFonts w:cs="Times New Roman"/>
          <w:szCs w:val="20"/>
          <w:lang w:val="es-ES"/>
        </w:rPr>
      </w:pPr>
      <w:r w:rsidRPr="009F6FB8">
        <w:rPr>
          <w:rFonts w:cs="Times New Roman"/>
          <w:szCs w:val="20"/>
          <w:lang w:val="es-ES"/>
        </w:rPr>
        <w:t>Si bien esperamos que los tribunales obliguen al gobierno a revertir este cambio ilegal y antidemocrático, hay que hacer un análisis mucho más profundo de todo el acuerdo. Cuando este acuerdo pone en riesgo tantas vidas, debemos preguntarnos por qué se accedió a las demandas de la industria farmacéutica y cuáles son las implicaciones de su poder monopólico para nuestra democracia, economía y salud”.</w:t>
      </w:r>
    </w:p>
    <w:p w14:paraId="599FE74C" w14:textId="77777777" w:rsidR="0085388B" w:rsidRPr="009F6FB8" w:rsidRDefault="0085388B" w:rsidP="0085388B">
      <w:pPr>
        <w:tabs>
          <w:tab w:val="left" w:pos="7920"/>
        </w:tabs>
        <w:rPr>
          <w:rFonts w:cs="Times New Roman"/>
          <w:color w:val="FF0000"/>
          <w:szCs w:val="20"/>
          <w:lang w:val="es-ES"/>
        </w:rPr>
      </w:pPr>
    </w:p>
    <w:p w14:paraId="667936AF" w14:textId="77777777" w:rsidR="0085388B" w:rsidRPr="009F6FB8" w:rsidRDefault="0085388B" w:rsidP="0085388B">
      <w:pPr>
        <w:tabs>
          <w:tab w:val="left" w:pos="7920"/>
        </w:tabs>
        <w:rPr>
          <w:rFonts w:cs="Times New Roman"/>
          <w:szCs w:val="20"/>
          <w:lang w:val="es-ES"/>
        </w:rPr>
      </w:pPr>
      <w:r w:rsidRPr="009F6FB8">
        <w:rPr>
          <w:rFonts w:cs="Times New Roman"/>
          <w:szCs w:val="20"/>
          <w:lang w:val="es-ES"/>
        </w:rPr>
        <w:t xml:space="preserve">Nick </w:t>
      </w:r>
      <w:proofErr w:type="spellStart"/>
      <w:r w:rsidRPr="009F6FB8">
        <w:rPr>
          <w:rFonts w:cs="Times New Roman"/>
          <w:szCs w:val="20"/>
          <w:lang w:val="es-ES"/>
        </w:rPr>
        <w:t>Dearden</w:t>
      </w:r>
      <w:proofErr w:type="spellEnd"/>
      <w:r w:rsidRPr="009F6FB8">
        <w:rPr>
          <w:rFonts w:cs="Times New Roman"/>
          <w:szCs w:val="20"/>
          <w:lang w:val="es-ES"/>
        </w:rPr>
        <w:t xml:space="preserve">, director de Global </w:t>
      </w:r>
      <w:proofErr w:type="spellStart"/>
      <w:r w:rsidRPr="009F6FB8">
        <w:rPr>
          <w:rFonts w:cs="Times New Roman"/>
          <w:szCs w:val="20"/>
          <w:lang w:val="es-ES"/>
        </w:rPr>
        <w:t>Justice</w:t>
      </w:r>
      <w:proofErr w:type="spellEnd"/>
      <w:r w:rsidRPr="009F6FB8">
        <w:rPr>
          <w:rFonts w:cs="Times New Roman"/>
          <w:szCs w:val="20"/>
          <w:lang w:val="es-ES"/>
        </w:rPr>
        <w:t xml:space="preserve"> </w:t>
      </w:r>
      <w:proofErr w:type="spellStart"/>
      <w:r w:rsidRPr="009F6FB8">
        <w:rPr>
          <w:rFonts w:cs="Times New Roman"/>
          <w:szCs w:val="20"/>
          <w:lang w:val="es-ES"/>
        </w:rPr>
        <w:t>Now</w:t>
      </w:r>
      <w:proofErr w:type="spellEnd"/>
      <w:r w:rsidRPr="009F6FB8">
        <w:rPr>
          <w:rFonts w:cs="Times New Roman"/>
          <w:szCs w:val="20"/>
          <w:lang w:val="es-ES"/>
        </w:rPr>
        <w:t>, afirmó:</w:t>
      </w:r>
    </w:p>
    <w:p w14:paraId="5333BCE0" w14:textId="77777777" w:rsidR="0085388B" w:rsidRPr="009F6FB8" w:rsidRDefault="0085388B" w:rsidP="0085388B">
      <w:pPr>
        <w:tabs>
          <w:tab w:val="left" w:pos="7920"/>
        </w:tabs>
        <w:rPr>
          <w:rFonts w:cs="Times New Roman"/>
          <w:szCs w:val="20"/>
          <w:lang w:val="es-ES"/>
        </w:rPr>
      </w:pPr>
    </w:p>
    <w:p w14:paraId="02E1CD66" w14:textId="77777777" w:rsidR="0085388B" w:rsidRPr="009F6FB8" w:rsidRDefault="0085388B" w:rsidP="0085388B">
      <w:pPr>
        <w:tabs>
          <w:tab w:val="left" w:pos="7920"/>
        </w:tabs>
        <w:ind w:left="180"/>
        <w:rPr>
          <w:rFonts w:cs="Times New Roman"/>
          <w:szCs w:val="20"/>
          <w:lang w:val="es-ES"/>
        </w:rPr>
      </w:pPr>
      <w:r w:rsidRPr="009F6FB8">
        <w:rPr>
          <w:rFonts w:cs="Times New Roman"/>
          <w:szCs w:val="20"/>
          <w:lang w:val="es-ES"/>
        </w:rPr>
        <w:t xml:space="preserve">“El gobierno ha demostrado que no se opondrá a Trump para proteger a nuestro NHS, por lo que estamos tomando cartas en el asunto”. No nos quedaremos de brazos cruzados y no </w:t>
      </w:r>
      <w:r w:rsidRPr="009F6FB8">
        <w:rPr>
          <w:rFonts w:cs="Times New Roman"/>
          <w:szCs w:val="20"/>
          <w:lang w:val="es-ES"/>
        </w:rPr>
        <w:lastRenderedPageBreak/>
        <w:t>permitiremos que el NHS se debilite simplemente para aumentar aún más los beneficios de una industria que se preocupa más por los intereses de sus accionistas que por los de la gente común. El gobierno ha impuesto estas medidas sin debatirlas en el Parlamento, por lo que no nos queda otra opción que luchar contra esto en los tribunales.</w:t>
      </w:r>
    </w:p>
    <w:p w14:paraId="2B916460" w14:textId="77777777" w:rsidR="0085388B" w:rsidRPr="009F6FB8" w:rsidRDefault="0085388B" w:rsidP="0085388B">
      <w:pPr>
        <w:tabs>
          <w:tab w:val="left" w:pos="7920"/>
        </w:tabs>
        <w:rPr>
          <w:rFonts w:cs="Times New Roman"/>
          <w:color w:val="FF0000"/>
          <w:szCs w:val="20"/>
          <w:lang w:val="es-ES"/>
        </w:rPr>
      </w:pPr>
    </w:p>
    <w:p w14:paraId="03C471B3" w14:textId="77777777" w:rsidR="0085388B" w:rsidRPr="009F6FB8" w:rsidRDefault="0085388B" w:rsidP="0085388B">
      <w:pPr>
        <w:tabs>
          <w:tab w:val="left" w:pos="7920"/>
        </w:tabs>
        <w:rPr>
          <w:rFonts w:cs="Times New Roman"/>
          <w:szCs w:val="20"/>
          <w:lang w:val="es-ES"/>
        </w:rPr>
      </w:pPr>
      <w:r w:rsidRPr="009F6FB8">
        <w:rPr>
          <w:rFonts w:cs="Times New Roman"/>
          <w:szCs w:val="20"/>
          <w:lang w:val="es-ES"/>
        </w:rPr>
        <w:t xml:space="preserve">Rowan Smith, abogado de Leigh Day, declaró: </w:t>
      </w:r>
    </w:p>
    <w:p w14:paraId="224A9AB3" w14:textId="77777777" w:rsidR="0085388B" w:rsidRPr="009F6FB8" w:rsidRDefault="0085388B" w:rsidP="0085388B">
      <w:pPr>
        <w:tabs>
          <w:tab w:val="left" w:pos="7920"/>
        </w:tabs>
        <w:rPr>
          <w:rFonts w:cs="Times New Roman"/>
          <w:szCs w:val="20"/>
          <w:lang w:val="es-ES"/>
        </w:rPr>
      </w:pPr>
    </w:p>
    <w:p w14:paraId="231D811F" w14:textId="77777777" w:rsidR="0085388B" w:rsidRPr="009F6FB8" w:rsidRDefault="0085388B" w:rsidP="0085388B">
      <w:pPr>
        <w:tabs>
          <w:tab w:val="left" w:pos="7920"/>
          <w:tab w:val="left" w:pos="8640"/>
        </w:tabs>
        <w:ind w:left="180"/>
        <w:rPr>
          <w:rFonts w:cs="Times New Roman"/>
          <w:szCs w:val="20"/>
          <w:lang w:val="es-ES"/>
        </w:rPr>
      </w:pPr>
      <w:r w:rsidRPr="009F6FB8">
        <w:rPr>
          <w:rFonts w:cs="Times New Roman"/>
          <w:szCs w:val="20"/>
          <w:lang w:val="es-ES"/>
        </w:rPr>
        <w:t>«Nuestros clientes están profundamente preocupados por el impacto que el acuerdo comercial farmacéutico entre el Reino Unido y EE UU podría tener en el precio y la disponibilidad de medicamentos. Argumentan que el nuevo poder que otorgan al Secretario de Salud sobre la dirección del NICE en materia de costo-efectividad corren el riesgo de socavar un organismo de salud importante y reconocido mundialmente, y podrían afectar significativamente a los medicamentos disponibles en el NHS».</w:t>
      </w:r>
    </w:p>
    <w:p w14:paraId="3DEF4FAA" w14:textId="77777777" w:rsidR="0085388B" w:rsidRPr="009F6FB8" w:rsidRDefault="0085388B" w:rsidP="0085388B">
      <w:pPr>
        <w:tabs>
          <w:tab w:val="left" w:pos="7920"/>
        </w:tabs>
        <w:rPr>
          <w:rFonts w:cs="Times New Roman"/>
          <w:color w:val="FF0000"/>
          <w:szCs w:val="20"/>
          <w:lang w:val="es-ES"/>
        </w:rPr>
      </w:pPr>
    </w:p>
    <w:p w14:paraId="20CFF896" w14:textId="77777777" w:rsidR="0085388B" w:rsidRPr="009F6FB8" w:rsidRDefault="0085388B" w:rsidP="0085388B">
      <w:pPr>
        <w:tabs>
          <w:tab w:val="left" w:pos="7920"/>
        </w:tabs>
        <w:rPr>
          <w:rFonts w:cs="Times New Roman"/>
          <w:szCs w:val="20"/>
          <w:lang w:val="es-ES"/>
        </w:rPr>
      </w:pPr>
      <w:r w:rsidRPr="009F6FB8">
        <w:rPr>
          <w:rFonts w:cs="Times New Roman"/>
          <w:szCs w:val="20"/>
          <w:lang w:val="es-ES"/>
        </w:rPr>
        <w:t>Los parlamentarios han intentado forzar un debate público sobre estos cambios, pero el mecanismo que el gobierno utilizó para implementarlos, conocido como instrumento legal negativo, está diseñado para que este tipo de escrutinio independiente sea prácticamente imposible. No obstante, diputados y lores...</w:t>
      </w:r>
      <w:r w:rsidRPr="009F6FB8">
        <w:rPr>
          <w:lang w:val="es-ES"/>
        </w:rPr>
        <w:t xml:space="preserve"> </w:t>
      </w:r>
      <w:r w:rsidRPr="009F6FB8">
        <w:rPr>
          <w:rFonts w:cs="Times New Roman"/>
          <w:szCs w:val="20"/>
          <w:lang w:val="es-ES"/>
        </w:rPr>
        <w:t xml:space="preserve">Representantes del Partido Laborista, el Partido Conservador, el SNP, los Liberal Demócratas, el Partido Verde y </w:t>
      </w:r>
      <w:proofErr w:type="spellStart"/>
      <w:r w:rsidRPr="009F6FB8">
        <w:rPr>
          <w:rFonts w:cs="Times New Roman"/>
          <w:szCs w:val="20"/>
          <w:lang w:val="es-ES"/>
        </w:rPr>
        <w:t>Plaid</w:t>
      </w:r>
      <w:proofErr w:type="spellEnd"/>
      <w:r w:rsidRPr="009F6FB8">
        <w:rPr>
          <w:rFonts w:cs="Times New Roman"/>
          <w:szCs w:val="20"/>
          <w:lang w:val="es-ES"/>
        </w:rPr>
        <w:t xml:space="preserve"> </w:t>
      </w:r>
      <w:proofErr w:type="spellStart"/>
      <w:r w:rsidRPr="009F6FB8">
        <w:rPr>
          <w:rFonts w:cs="Times New Roman"/>
          <w:szCs w:val="20"/>
          <w:lang w:val="es-ES"/>
        </w:rPr>
        <w:t>Cymru</w:t>
      </w:r>
      <w:proofErr w:type="spellEnd"/>
      <w:r w:rsidRPr="009F6FB8">
        <w:rPr>
          <w:rFonts w:cs="Times New Roman"/>
          <w:szCs w:val="20"/>
          <w:lang w:val="es-ES"/>
        </w:rPr>
        <w:t>, así como dos comités multipartidistas, han expresado su preocupación.</w:t>
      </w:r>
    </w:p>
    <w:p w14:paraId="65806570" w14:textId="77777777" w:rsidR="0085388B" w:rsidRPr="009F6FB8" w:rsidRDefault="0085388B" w:rsidP="0085388B">
      <w:pPr>
        <w:tabs>
          <w:tab w:val="left" w:pos="7920"/>
        </w:tabs>
        <w:rPr>
          <w:rFonts w:cs="Times New Roman"/>
          <w:szCs w:val="20"/>
          <w:lang w:val="es-ES"/>
        </w:rPr>
      </w:pPr>
    </w:p>
    <w:p w14:paraId="09C05674" w14:textId="77777777" w:rsidR="0085388B" w:rsidRPr="009F6FB8" w:rsidRDefault="0085388B" w:rsidP="0085388B">
      <w:pPr>
        <w:tabs>
          <w:tab w:val="left" w:pos="7920"/>
        </w:tabs>
        <w:rPr>
          <w:rFonts w:cs="Times New Roman"/>
          <w:szCs w:val="20"/>
          <w:lang w:val="es-ES"/>
        </w:rPr>
      </w:pPr>
      <w:r w:rsidRPr="009F6FB8">
        <w:rPr>
          <w:rFonts w:cs="Times New Roman"/>
          <w:szCs w:val="20"/>
          <w:lang w:val="es-ES"/>
        </w:rPr>
        <w:t>El NICE se creó para operar con independencia del control ministerial; sin embargo, el acuerdo que el Reino Unido firmó con Trump incluía el compromiso de elevar los umbrales de costo-efectividad que el organismo utiliza para determinar si los medicamentos ofrecen una buena relación calidad-precio y, por tanto, pueden incorporarse al sistema público de salud (NHS). Esto obligó al Gobierno a legislar para otorgarse la facultad de imponer dicho cambio al NICE, una potestad que ya ha ejercido para ajustar los umbrales. No obstante, la demanda judicial sostiene que la finalidad de estas modificaciones contradice directamente la ley principal que se está reformando y que, por consiguiente, tales cambios solo deberían tramitarse mediante un nuevo proceso legislativo de rango principal.</w:t>
      </w:r>
    </w:p>
    <w:p w14:paraId="32C14EAC" w14:textId="77777777" w:rsidR="0085388B" w:rsidRPr="009F6FB8" w:rsidRDefault="0085388B" w:rsidP="0085388B">
      <w:pPr>
        <w:tabs>
          <w:tab w:val="left" w:pos="7920"/>
        </w:tabs>
        <w:rPr>
          <w:rFonts w:cs="Times New Roman"/>
          <w:szCs w:val="20"/>
          <w:lang w:val="es-ES"/>
        </w:rPr>
      </w:pPr>
    </w:p>
    <w:p w14:paraId="3CF3EE9B" w14:textId="77777777" w:rsidR="0085388B" w:rsidRPr="009F6FB8" w:rsidRDefault="0085388B" w:rsidP="0085388B">
      <w:pPr>
        <w:tabs>
          <w:tab w:val="left" w:pos="7920"/>
        </w:tabs>
        <w:rPr>
          <w:lang w:val="es-ES"/>
        </w:rPr>
      </w:pPr>
      <w:r w:rsidRPr="009F6FB8">
        <w:rPr>
          <w:lang w:val="es-ES"/>
        </w:rPr>
        <w:t>Notas para los editores:</w:t>
      </w:r>
    </w:p>
    <w:p w14:paraId="75158D24" w14:textId="77777777" w:rsidR="0085388B" w:rsidRPr="009F6FB8" w:rsidRDefault="0085388B" w:rsidP="0085388B">
      <w:pPr>
        <w:tabs>
          <w:tab w:val="left" w:pos="7920"/>
        </w:tabs>
        <w:rPr>
          <w:lang w:val="es-ES"/>
        </w:rPr>
      </w:pPr>
      <w:r w:rsidRPr="009F6FB8">
        <w:rPr>
          <w:lang w:val="es-ES"/>
        </w:rPr>
        <w:t xml:space="preserve">1. Se puede acceder a las respuestas del Gobierno del Reino Unido hasta la fecha aquí: </w:t>
      </w:r>
      <w:hyperlink r:id="rId81" w:history="1">
        <w:r w:rsidRPr="009F6FB8">
          <w:rPr>
            <w:color w:val="0000FF"/>
            <w:u w:val="single"/>
            <w:lang w:val="es-ES"/>
          </w:rPr>
          <w:t>https://www.globaljustice.org.uk/wp-content/uploads/2026/06/PAP-Response-DAC-Beachcroft-NICE-to-LD-20-05-2026-redacted-1.pdf</w:t>
        </w:r>
      </w:hyperlink>
      <w:r w:rsidRPr="009F6FB8">
        <w:rPr>
          <w:lang w:val="es-ES"/>
        </w:rPr>
        <w:t xml:space="preserve">, y en: </w:t>
      </w:r>
      <w:hyperlink r:id="rId82" w:history="1">
        <w:r w:rsidRPr="009F6FB8">
          <w:rPr>
            <w:color w:val="0000FF"/>
            <w:u w:val="single"/>
            <w:lang w:val="es-ES"/>
          </w:rPr>
          <w:t>https://www.globaljustice.org.uk/wp-content/uploads/2026/06/PAP-Response-GLD-to-LD-20-05-2026-REDACTEDv2-1.pdf</w:t>
        </w:r>
      </w:hyperlink>
      <w:r w:rsidRPr="009F6FB8">
        <w:rPr>
          <w:lang w:val="es-ES"/>
        </w:rPr>
        <w:t xml:space="preserve"> </w:t>
      </w:r>
    </w:p>
    <w:p w14:paraId="56D4A04D" w14:textId="77777777" w:rsidR="0085388B" w:rsidRPr="009F6FB8" w:rsidRDefault="0085388B" w:rsidP="0085388B">
      <w:pPr>
        <w:tabs>
          <w:tab w:val="left" w:pos="7920"/>
        </w:tabs>
        <w:rPr>
          <w:lang w:val="es-ES"/>
        </w:rPr>
      </w:pPr>
    </w:p>
    <w:p w14:paraId="36169E7D" w14:textId="77777777" w:rsidR="0085388B" w:rsidRPr="009F6FB8" w:rsidRDefault="0085388B" w:rsidP="0085388B">
      <w:pPr>
        <w:tabs>
          <w:tab w:val="left" w:pos="7920"/>
        </w:tabs>
        <w:rPr>
          <w:lang w:val="es-ES"/>
        </w:rPr>
      </w:pPr>
      <w:r w:rsidRPr="009F6FB8">
        <w:rPr>
          <w:lang w:val="es-ES"/>
        </w:rPr>
        <w:t xml:space="preserve">El acuerdo entre EE UU y el Reino Unido sobre precios de medicamentos logró un compromiso temporal de EE UU de no imponer aranceles a las exportaciones farmacéuticas del Reino </w:t>
      </w:r>
      <w:r w:rsidRPr="009F6FB8">
        <w:rPr>
          <w:lang w:val="es-ES"/>
        </w:rPr>
        <w:t>Unido hacia dicho país [1]. A cambio, el Reino Unido se ha comprometido a una serie de reformas permanentes y de gran alcance en los mecanismos de control de precios, así como a acelerar rápidamente el gasto del NHS (Servicio Nacional de Salud) en medicamentos patentados: se prevé duplicar dicho gasto en un plazo de diez años sin fondos adicionales del Tesoro para compensar el coste.</w:t>
      </w:r>
    </w:p>
    <w:p w14:paraId="1CCAE632" w14:textId="77777777" w:rsidR="0085388B" w:rsidRPr="009F6FB8" w:rsidRDefault="0085388B" w:rsidP="0085388B">
      <w:pPr>
        <w:tabs>
          <w:tab w:val="num" w:pos="180"/>
          <w:tab w:val="left" w:pos="7920"/>
        </w:tabs>
        <w:ind w:left="180"/>
        <w:contextualSpacing/>
        <w:rPr>
          <w:rFonts w:cs="Times New Roman"/>
          <w:color w:val="FF0000"/>
          <w:szCs w:val="20"/>
          <w:lang w:val="es-ES"/>
        </w:rPr>
      </w:pPr>
    </w:p>
    <w:p w14:paraId="2EEDDC44" w14:textId="77777777" w:rsidR="0085388B" w:rsidRPr="009F6FB8" w:rsidRDefault="0085388B" w:rsidP="0085388B">
      <w:pPr>
        <w:tabs>
          <w:tab w:val="left" w:pos="7920"/>
        </w:tabs>
        <w:rPr>
          <w:lang w:val="es-ES"/>
        </w:rPr>
      </w:pPr>
      <w:r w:rsidRPr="009F6FB8">
        <w:rPr>
          <w:lang w:val="es-ES"/>
        </w:rPr>
        <w:t>El acuerdo se produjo tras meses de presión sostenida por parte de la industria farmacéutica y la Casa Blanca; y según expertos de la Universidad de York, el pacto pone en riesgo la vida de más de 328.000 pacientes del NHS a lo largo de los 19 años de vigencia del acuerdo.</w:t>
      </w:r>
    </w:p>
    <w:p w14:paraId="7627D6D8" w14:textId="77777777" w:rsidR="0085388B" w:rsidRPr="009F6FB8" w:rsidRDefault="0085388B" w:rsidP="0085388B">
      <w:pPr>
        <w:tabs>
          <w:tab w:val="left" w:pos="7920"/>
        </w:tabs>
        <w:rPr>
          <w:lang w:val="es-ES"/>
        </w:rPr>
      </w:pPr>
    </w:p>
    <w:p w14:paraId="716A1ADF" w14:textId="77777777" w:rsidR="0085388B" w:rsidRPr="009F6FB8" w:rsidRDefault="0085388B" w:rsidP="0085388B">
      <w:pPr>
        <w:tabs>
          <w:tab w:val="left" w:pos="7920"/>
        </w:tabs>
        <w:rPr>
          <w:lang w:val="es-ES"/>
        </w:rPr>
      </w:pPr>
      <w:r w:rsidRPr="009F6FB8">
        <w:rPr>
          <w:lang w:val="es-ES"/>
        </w:rPr>
        <w:t>El NICE, un organismo pionero en la evaluación de tecnologías sanitarias, respetado y emulado en todo el mundo, es la pieza clave del complejo entramado de instrumentos que ha diseñado el Reino Unido para controlar los precios y el gasto en medicamentos patentados, un ámbito en el que las compañías farmacéuticas que ostentan el monopolio pueden fijar unilateralmente sus precios y ejercer un poder significativo sobre el sistema de salud. La medida para acabar con la independencia del NICE ha sido duramente criticada por expertos. El fundador y director clínico y de salud pública del NICE la describió como "la mayor amenaza hasta la fecha para su existencia".</w:t>
      </w:r>
    </w:p>
    <w:p w14:paraId="0E95C757" w14:textId="77777777" w:rsidR="0085388B" w:rsidRPr="009F6FB8" w:rsidRDefault="0085388B" w:rsidP="0085388B">
      <w:pPr>
        <w:tabs>
          <w:tab w:val="left" w:pos="7920"/>
        </w:tabs>
        <w:rPr>
          <w:lang w:val="es-ES"/>
        </w:rPr>
      </w:pPr>
    </w:p>
    <w:p w14:paraId="230CFE7E" w14:textId="7285B48D" w:rsidR="0085388B" w:rsidRPr="009F6FB8" w:rsidRDefault="0085388B" w:rsidP="0085388B">
      <w:pPr>
        <w:tabs>
          <w:tab w:val="left" w:pos="7920"/>
        </w:tabs>
        <w:rPr>
          <w:lang w:val="es-ES"/>
        </w:rPr>
      </w:pPr>
      <w:r w:rsidRPr="00F25512">
        <w:rPr>
          <w:lang w:val="es-ES"/>
        </w:rPr>
        <w:t xml:space="preserve">La carta </w:t>
      </w:r>
      <w:r w:rsidR="007F7DCB" w:rsidRPr="00F25512">
        <w:rPr>
          <w:lang w:val="es-ES"/>
        </w:rPr>
        <w:t xml:space="preserve">[2] </w:t>
      </w:r>
      <w:r w:rsidRPr="009F6FB8">
        <w:rPr>
          <w:lang w:val="es-ES"/>
        </w:rPr>
        <w:t>sostiene que el Gobierno ha actuado de manera ilegal por tres motivos ha utilizado un procedimiento parlamentario que no le otorga la autoridad para implementar los cambios deseados (dichos cambios contradicen directamente el propósito de la legislación principal que se pretendía modificar y, por tanto, solo deberían tramitarse mediante el procedimiento legislativo ordinario); no ha hecho ni publicado evaluaciones adecuadas sobre el impacto y las consecuencias de estos cambios para las distintas comunidades del Reino Unido; y ha actuado en contra del verdadero propósito de la ley.</w:t>
      </w:r>
    </w:p>
    <w:p w14:paraId="448BEFDB" w14:textId="77777777" w:rsidR="0085388B" w:rsidRPr="009F6FB8" w:rsidRDefault="0085388B" w:rsidP="0085388B">
      <w:pPr>
        <w:tabs>
          <w:tab w:val="left" w:pos="7920"/>
        </w:tabs>
        <w:rPr>
          <w:lang w:val="es-ES"/>
        </w:rPr>
      </w:pPr>
    </w:p>
    <w:p w14:paraId="477D745B" w14:textId="77777777" w:rsidR="0085388B" w:rsidRPr="009F6FB8" w:rsidRDefault="0085388B" w:rsidP="0085388B">
      <w:pPr>
        <w:tabs>
          <w:tab w:val="left" w:pos="7920"/>
        </w:tabs>
        <w:rPr>
          <w:lang w:val="es-ES"/>
        </w:rPr>
      </w:pPr>
      <w:r w:rsidRPr="009F6FB8">
        <w:rPr>
          <w:lang w:val="es-ES"/>
        </w:rPr>
        <w:t xml:space="preserve">La carta otorga al Gobierno un plazo hasta el 15 de mayo para responder, </w:t>
      </w:r>
      <w:r>
        <w:rPr>
          <w:lang w:val="es-ES"/>
        </w:rPr>
        <w:t xml:space="preserve">y </w:t>
      </w:r>
      <w:r w:rsidRPr="009F6FB8">
        <w:rPr>
          <w:lang w:val="es-ES"/>
        </w:rPr>
        <w:t>solicita que el Secretario de Estado se comprometa a revocar la legislación ilegal. De no producirse dicha respuesta, los promotores de la iniciativa llevarán al Gobierno ante los tribunales. El Gobierno solicitó más tiempo para responder, y los demandantes están a la espera de dicha respuesta. La demanda debe presentarse ante los tribunales antes del 2 de junio.</w:t>
      </w:r>
    </w:p>
    <w:p w14:paraId="32E5B20F" w14:textId="77777777" w:rsidR="0085388B" w:rsidRDefault="0085388B" w:rsidP="0085388B">
      <w:pPr>
        <w:tabs>
          <w:tab w:val="left" w:pos="7920"/>
        </w:tabs>
        <w:rPr>
          <w:b/>
          <w:sz w:val="18"/>
          <w:szCs w:val="18"/>
          <w:lang w:val="es-ES"/>
        </w:rPr>
      </w:pPr>
    </w:p>
    <w:p w14:paraId="30ECAB9D" w14:textId="03F15CC1" w:rsidR="0085388B" w:rsidRPr="000B5E59" w:rsidRDefault="0085388B" w:rsidP="0085388B">
      <w:pPr>
        <w:tabs>
          <w:tab w:val="left" w:pos="7920"/>
        </w:tabs>
        <w:rPr>
          <w:b/>
          <w:sz w:val="18"/>
          <w:szCs w:val="18"/>
          <w:lang w:val="en-US"/>
        </w:rPr>
      </w:pPr>
      <w:proofErr w:type="spellStart"/>
      <w:r w:rsidRPr="000B5E59">
        <w:rPr>
          <w:b/>
          <w:sz w:val="18"/>
          <w:szCs w:val="18"/>
          <w:lang w:val="en-US"/>
        </w:rPr>
        <w:t>Referencias</w:t>
      </w:r>
      <w:proofErr w:type="spellEnd"/>
      <w:r w:rsidR="00485B7F">
        <w:rPr>
          <w:b/>
          <w:sz w:val="18"/>
          <w:szCs w:val="18"/>
          <w:lang w:val="en-US"/>
        </w:rPr>
        <w:t>:</w:t>
      </w:r>
    </w:p>
    <w:p w14:paraId="1EDDB16A" w14:textId="00668702" w:rsidR="0085388B" w:rsidRPr="00F25512" w:rsidRDefault="007F7DCB" w:rsidP="00F25512">
      <w:pPr>
        <w:ind w:left="180" w:hanging="180"/>
        <w:rPr>
          <w:rFonts w:eastAsiaTheme="minorEastAsia"/>
          <w:color w:val="0000FF"/>
          <w:sz w:val="18"/>
          <w:szCs w:val="18"/>
          <w:u w:val="single"/>
          <w:lang w:eastAsia="ja-JP"/>
        </w:rPr>
      </w:pPr>
      <w:r>
        <w:rPr>
          <w:rFonts w:eastAsiaTheme="minorEastAsia"/>
          <w:sz w:val="18"/>
          <w:szCs w:val="18"/>
          <w:lang w:val="en-US" w:eastAsia="ja-JP"/>
        </w:rPr>
        <w:t>1.</w:t>
      </w:r>
      <w:r w:rsidR="0085388B" w:rsidRPr="00544CC1">
        <w:rPr>
          <w:rFonts w:eastAsiaTheme="minorEastAsia"/>
          <w:sz w:val="18"/>
          <w:szCs w:val="18"/>
          <w:lang w:val="en-US" w:eastAsia="ja-JP"/>
        </w:rPr>
        <w:t xml:space="preserve">UK Government. UK-US arrangement on pharmaceutical trade and pricing. </w:t>
      </w:r>
      <w:r w:rsidR="0085388B" w:rsidRPr="00F25512">
        <w:rPr>
          <w:rFonts w:eastAsiaTheme="minorEastAsia"/>
          <w:sz w:val="18"/>
          <w:szCs w:val="18"/>
          <w:lang w:val="en-US" w:eastAsia="ja-JP"/>
        </w:rPr>
        <w:t xml:space="preserve">2 de </w:t>
      </w:r>
      <w:proofErr w:type="spellStart"/>
      <w:r w:rsidR="0085388B" w:rsidRPr="00F25512">
        <w:rPr>
          <w:rFonts w:eastAsiaTheme="minorEastAsia"/>
          <w:sz w:val="18"/>
          <w:szCs w:val="18"/>
          <w:lang w:val="en-US" w:eastAsia="ja-JP"/>
        </w:rPr>
        <w:t>abril</w:t>
      </w:r>
      <w:proofErr w:type="spellEnd"/>
      <w:r w:rsidR="0085388B" w:rsidRPr="00F25512">
        <w:rPr>
          <w:rFonts w:eastAsiaTheme="minorEastAsia"/>
          <w:sz w:val="18"/>
          <w:szCs w:val="18"/>
          <w:lang w:val="en-US" w:eastAsia="ja-JP"/>
        </w:rPr>
        <w:t xml:space="preserve"> de 2026. </w:t>
      </w:r>
      <w:hyperlink r:id="rId83" w:history="1">
        <w:r w:rsidRPr="00F25512">
          <w:rPr>
            <w:rStyle w:val="Hipervnculo"/>
            <w:rFonts w:eastAsiaTheme="minorEastAsia"/>
            <w:sz w:val="18"/>
            <w:szCs w:val="18"/>
            <w:lang w:eastAsia="ja-JP"/>
          </w:rPr>
          <w:t>https://www.gov.uk/government/publications/uk-us-arrangement-on-pharmaceutical-trade-and-pricing</w:t>
        </w:r>
      </w:hyperlink>
    </w:p>
    <w:p w14:paraId="3D9860E9" w14:textId="3F5C22E8" w:rsidR="007F7DCB" w:rsidRPr="00F25512" w:rsidRDefault="00485B7F" w:rsidP="00F25512">
      <w:pPr>
        <w:ind w:left="180" w:hanging="180"/>
        <w:rPr>
          <w:sz w:val="18"/>
          <w:szCs w:val="22"/>
          <w:lang w:val="en-US"/>
        </w:rPr>
      </w:pPr>
      <w:r w:rsidRPr="00F25512">
        <w:rPr>
          <w:sz w:val="18"/>
          <w:szCs w:val="22"/>
          <w:lang w:val="en-US"/>
        </w:rPr>
        <w:t xml:space="preserve">2.PAP Letter. Re: Proposed claim for judicial review in respect of the National Institute for Health and Care Excellence (Amendment) Regulations 2026 (the “2026 Regulations”), 1 de mayo de 2026 </w:t>
      </w:r>
      <w:hyperlink r:id="rId84" w:history="1">
        <w:r w:rsidR="000256F5" w:rsidRPr="00F25512">
          <w:rPr>
            <w:rStyle w:val="Hipervnculo"/>
            <w:sz w:val="18"/>
            <w:szCs w:val="22"/>
            <w:lang w:val="en-US"/>
          </w:rPr>
          <w:t>https://drive.google.com/file/d/1WgCNhbWQsd5tRvHGP-A6szwNQg3UCNYd/view</w:t>
        </w:r>
      </w:hyperlink>
    </w:p>
    <w:p w14:paraId="07408259" w14:textId="77777777" w:rsidR="00140BE1" w:rsidRDefault="00140BE1" w:rsidP="000256F5">
      <w:pPr>
        <w:rPr>
          <w:lang w:val="en-US"/>
        </w:rPr>
        <w:sectPr w:rsidR="00140BE1" w:rsidSect="00140BE1">
          <w:type w:val="continuous"/>
          <w:pgSz w:w="12240" w:h="15840" w:code="1"/>
          <w:pgMar w:top="720" w:right="720" w:bottom="720" w:left="720" w:header="288" w:footer="288" w:gutter="0"/>
          <w:cols w:num="2" w:space="288"/>
          <w:docGrid w:linePitch="360"/>
        </w:sectPr>
      </w:pPr>
    </w:p>
    <w:p w14:paraId="02E56269" w14:textId="0C9690DF" w:rsidR="000256F5" w:rsidRPr="00F25512" w:rsidRDefault="000256F5" w:rsidP="000256F5">
      <w:pPr>
        <w:rPr>
          <w:lang w:val="en-US"/>
        </w:rPr>
      </w:pPr>
    </w:p>
    <w:p w14:paraId="1E236CB2" w14:textId="50D540CF" w:rsidR="0085388B" w:rsidRDefault="0085388B" w:rsidP="0085388B">
      <w:pPr>
        <w:rPr>
          <w:rFonts w:eastAsia="Times New Roman" w:cs="Times New Roman"/>
          <w:szCs w:val="20"/>
          <w:lang w:val="en-US"/>
        </w:rPr>
      </w:pPr>
    </w:p>
    <w:p w14:paraId="2024330C" w14:textId="27C711C7" w:rsidR="00140BE1" w:rsidRDefault="00140BE1" w:rsidP="0085388B">
      <w:pPr>
        <w:rPr>
          <w:rFonts w:eastAsia="Times New Roman" w:cs="Times New Roman"/>
          <w:szCs w:val="20"/>
          <w:lang w:val="en-US"/>
        </w:rPr>
      </w:pPr>
    </w:p>
    <w:p w14:paraId="1B01BE89" w14:textId="2CF74CF0" w:rsidR="00140BE1" w:rsidRDefault="00140BE1" w:rsidP="0085388B">
      <w:pPr>
        <w:rPr>
          <w:rFonts w:eastAsia="Times New Roman" w:cs="Times New Roman"/>
          <w:szCs w:val="20"/>
          <w:lang w:val="en-US"/>
        </w:rPr>
      </w:pPr>
    </w:p>
    <w:p w14:paraId="264F4B63" w14:textId="4B0BD148" w:rsidR="00140BE1" w:rsidRDefault="00140BE1" w:rsidP="0085388B">
      <w:pPr>
        <w:rPr>
          <w:rFonts w:eastAsia="Times New Roman" w:cs="Times New Roman"/>
          <w:szCs w:val="20"/>
          <w:lang w:val="en-US"/>
        </w:rPr>
      </w:pPr>
    </w:p>
    <w:p w14:paraId="1F689977" w14:textId="0AD429B3" w:rsidR="00140BE1" w:rsidRDefault="00140BE1" w:rsidP="0085388B">
      <w:pPr>
        <w:rPr>
          <w:rFonts w:eastAsia="Times New Roman" w:cs="Times New Roman"/>
          <w:szCs w:val="20"/>
          <w:lang w:val="en-US"/>
        </w:rPr>
      </w:pPr>
    </w:p>
    <w:p w14:paraId="085065BD" w14:textId="77777777" w:rsidR="00140BE1" w:rsidRPr="00F25512" w:rsidRDefault="00140BE1" w:rsidP="0085388B">
      <w:pPr>
        <w:rPr>
          <w:rFonts w:eastAsia="Times New Roman" w:cs="Times New Roman"/>
          <w:szCs w:val="20"/>
          <w:lang w:val="en-US"/>
        </w:rPr>
      </w:pPr>
    </w:p>
    <w:p w14:paraId="318B1B70" w14:textId="0295E8F0" w:rsidR="00AA140E" w:rsidRDefault="00B41A8F" w:rsidP="00303AD9">
      <w:pPr>
        <w:jc w:val="center"/>
        <w:rPr>
          <w:rFonts w:cs="Times New Roman"/>
          <w:b/>
          <w:bCs/>
          <w:sz w:val="24"/>
        </w:rPr>
      </w:pPr>
      <w:r w:rsidRPr="00303AD9">
        <w:rPr>
          <w:rFonts w:cs="Times New Roman"/>
          <w:b/>
          <w:bCs/>
          <w:sz w:val="24"/>
        </w:rPr>
        <w:lastRenderedPageBreak/>
        <w:t>EE UU</w:t>
      </w:r>
      <w:r w:rsidR="00A22A81">
        <w:rPr>
          <w:rFonts w:cs="Times New Roman"/>
          <w:b/>
          <w:bCs/>
          <w:sz w:val="24"/>
        </w:rPr>
        <w:t xml:space="preserve"> y Canadá</w:t>
      </w:r>
    </w:p>
    <w:p w14:paraId="00F9F636" w14:textId="77777777" w:rsidR="00A22A81" w:rsidRDefault="00A22A81" w:rsidP="00303AD9">
      <w:pPr>
        <w:jc w:val="center"/>
        <w:rPr>
          <w:rFonts w:cs="Times New Roman"/>
          <w:b/>
          <w:bCs/>
          <w:sz w:val="24"/>
        </w:rPr>
      </w:pPr>
    </w:p>
    <w:p w14:paraId="3E9D81DB" w14:textId="7C55A52C" w:rsidR="00A22A81" w:rsidRDefault="00A60E54" w:rsidP="003712A0">
      <w:pPr>
        <w:jc w:val="center"/>
        <w:rPr>
          <w:rFonts w:cs="Times New Roman"/>
          <w:b/>
          <w:bCs/>
          <w:szCs w:val="20"/>
        </w:rPr>
      </w:pPr>
      <w:r w:rsidRPr="00A60E54">
        <w:rPr>
          <w:rFonts w:cs="Times New Roman"/>
          <w:szCs w:val="20"/>
        </w:rPr>
        <w:t>Canadá.</w:t>
      </w:r>
      <w:r>
        <w:rPr>
          <w:rFonts w:cs="Times New Roman"/>
          <w:b/>
          <w:bCs/>
          <w:szCs w:val="20"/>
        </w:rPr>
        <w:t xml:space="preserve"> </w:t>
      </w:r>
      <w:r w:rsidR="00A22A81" w:rsidRPr="00A22A81">
        <w:rPr>
          <w:rFonts w:cs="Times New Roman"/>
          <w:b/>
          <w:bCs/>
          <w:szCs w:val="20"/>
        </w:rPr>
        <w:t xml:space="preserve">Aprobación de </w:t>
      </w:r>
      <w:r w:rsidR="00F25512">
        <w:rPr>
          <w:rFonts w:cs="Times New Roman"/>
          <w:b/>
          <w:bCs/>
          <w:szCs w:val="20"/>
        </w:rPr>
        <w:t>m</w:t>
      </w:r>
      <w:r w:rsidR="00A22A81" w:rsidRPr="00A22A81">
        <w:rPr>
          <w:rFonts w:cs="Times New Roman"/>
          <w:b/>
          <w:bCs/>
          <w:szCs w:val="20"/>
        </w:rPr>
        <w:t xml:space="preserve">edicamentos </w:t>
      </w:r>
      <w:r w:rsidR="00F25512">
        <w:rPr>
          <w:rFonts w:cs="Times New Roman"/>
          <w:b/>
          <w:bCs/>
          <w:szCs w:val="20"/>
        </w:rPr>
        <w:t>h</w:t>
      </w:r>
      <w:r w:rsidR="00A22A81" w:rsidRPr="00A22A81">
        <w:rPr>
          <w:rFonts w:cs="Times New Roman"/>
          <w:b/>
          <w:bCs/>
          <w:szCs w:val="20"/>
        </w:rPr>
        <w:t xml:space="preserve">uérfanos en Canadá, 1999-2022: Un </w:t>
      </w:r>
      <w:r w:rsidR="00F25512">
        <w:rPr>
          <w:rFonts w:cs="Times New Roman"/>
          <w:b/>
          <w:bCs/>
          <w:szCs w:val="20"/>
        </w:rPr>
        <w:t>e</w:t>
      </w:r>
      <w:r w:rsidR="00A22A81" w:rsidRPr="00A22A81">
        <w:rPr>
          <w:rFonts w:cs="Times New Roman"/>
          <w:b/>
          <w:bCs/>
          <w:szCs w:val="20"/>
        </w:rPr>
        <w:t xml:space="preserve">studio </w:t>
      </w:r>
      <w:r w:rsidR="00F25512">
        <w:rPr>
          <w:rFonts w:cs="Times New Roman"/>
          <w:b/>
          <w:bCs/>
          <w:szCs w:val="20"/>
        </w:rPr>
        <w:t>t</w:t>
      </w:r>
      <w:r w:rsidR="00A22A81" w:rsidRPr="00A22A81">
        <w:rPr>
          <w:rFonts w:cs="Times New Roman"/>
          <w:b/>
          <w:bCs/>
          <w:szCs w:val="20"/>
        </w:rPr>
        <w:t>ransversal</w:t>
      </w:r>
    </w:p>
    <w:p w14:paraId="5AD5E9DD" w14:textId="6137A0D8" w:rsidR="00A22A81" w:rsidRPr="003712A0" w:rsidRDefault="003712A0" w:rsidP="003712A0">
      <w:pPr>
        <w:jc w:val="center"/>
        <w:rPr>
          <w:rFonts w:cs="Times New Roman"/>
          <w:b/>
          <w:bCs/>
          <w:i/>
          <w:iCs/>
          <w:szCs w:val="20"/>
          <w:lang w:val="en-US"/>
        </w:rPr>
      </w:pPr>
      <w:r w:rsidRPr="003712A0">
        <w:rPr>
          <w:rFonts w:cs="Times New Roman"/>
          <w:i/>
          <w:iCs/>
          <w:szCs w:val="20"/>
          <w:lang w:val="en-US"/>
        </w:rPr>
        <w:t>(Orphan drug approval in Canada, 1999-2022: a cross-sectional study)</w:t>
      </w:r>
    </w:p>
    <w:p w14:paraId="78350E43" w14:textId="7D1AFD81" w:rsidR="003712A0" w:rsidRDefault="003712A0" w:rsidP="003712A0">
      <w:pPr>
        <w:jc w:val="center"/>
        <w:rPr>
          <w:rFonts w:cs="Times New Roman"/>
          <w:szCs w:val="20"/>
          <w:lang w:val="en-US"/>
        </w:rPr>
      </w:pPr>
      <w:r w:rsidRPr="003712A0">
        <w:rPr>
          <w:rFonts w:cs="Times New Roman"/>
          <w:szCs w:val="20"/>
          <w:lang w:val="en-US"/>
        </w:rPr>
        <w:t>J</w:t>
      </w:r>
      <w:r w:rsidR="00A22A81" w:rsidRPr="003712A0">
        <w:rPr>
          <w:rFonts w:cs="Times New Roman"/>
          <w:szCs w:val="20"/>
          <w:lang w:val="en-US"/>
        </w:rPr>
        <w:t xml:space="preserve"> </w:t>
      </w:r>
      <w:proofErr w:type="spellStart"/>
      <w:r w:rsidR="00A22A81" w:rsidRPr="003712A0">
        <w:rPr>
          <w:rFonts w:cs="Times New Roman"/>
          <w:szCs w:val="20"/>
          <w:lang w:val="en-US"/>
        </w:rPr>
        <w:t>Lexchin</w:t>
      </w:r>
      <w:proofErr w:type="spellEnd"/>
    </w:p>
    <w:p w14:paraId="3DCC55EF" w14:textId="1260D267" w:rsidR="00A22A81" w:rsidRDefault="00A22A81" w:rsidP="003712A0">
      <w:pPr>
        <w:jc w:val="center"/>
        <w:rPr>
          <w:rFonts w:cs="Times New Roman"/>
          <w:szCs w:val="20"/>
        </w:rPr>
      </w:pPr>
      <w:r w:rsidRPr="003712A0">
        <w:rPr>
          <w:rFonts w:cs="Times New Roman"/>
          <w:i/>
          <w:iCs/>
          <w:szCs w:val="20"/>
          <w:lang w:val="en-US"/>
        </w:rPr>
        <w:t xml:space="preserve">Int J Health Policy </w:t>
      </w:r>
      <w:proofErr w:type="spellStart"/>
      <w:r w:rsidRPr="003712A0">
        <w:rPr>
          <w:rFonts w:cs="Times New Roman"/>
          <w:i/>
          <w:iCs/>
          <w:szCs w:val="20"/>
          <w:lang w:val="en-US"/>
        </w:rPr>
        <w:t>Manag</w:t>
      </w:r>
      <w:proofErr w:type="spellEnd"/>
      <w:r w:rsidRPr="003712A0">
        <w:rPr>
          <w:rFonts w:cs="Times New Roman"/>
          <w:i/>
          <w:iCs/>
          <w:szCs w:val="20"/>
          <w:lang w:val="en-US"/>
        </w:rPr>
        <w:t xml:space="preserve">. </w:t>
      </w:r>
      <w:r w:rsidRPr="003712A0">
        <w:rPr>
          <w:rFonts w:cs="Times New Roman"/>
          <w:szCs w:val="20"/>
        </w:rPr>
        <w:t xml:space="preserve">2025;14:8916. </w:t>
      </w:r>
      <w:r w:rsidR="00A34D06">
        <w:rPr>
          <w:rFonts w:cs="Times New Roman"/>
          <w:szCs w:val="20"/>
        </w:rPr>
        <w:t>DOI</w:t>
      </w:r>
      <w:r w:rsidRPr="003712A0">
        <w:rPr>
          <w:rFonts w:cs="Times New Roman"/>
          <w:szCs w:val="20"/>
        </w:rPr>
        <w:t>:10.34172/ijhpm.8916</w:t>
      </w:r>
    </w:p>
    <w:p w14:paraId="4A15DED1" w14:textId="213D8F32" w:rsidR="003712A0" w:rsidRPr="003712A0" w:rsidRDefault="003712A0" w:rsidP="003712A0">
      <w:pPr>
        <w:jc w:val="center"/>
        <w:rPr>
          <w:i/>
          <w:iCs/>
          <w:szCs w:val="20"/>
        </w:rPr>
      </w:pPr>
      <w:r>
        <w:rPr>
          <w:szCs w:val="20"/>
        </w:rPr>
        <w:t>T</w:t>
      </w:r>
      <w:r w:rsidRPr="007B5A3A">
        <w:rPr>
          <w:szCs w:val="20"/>
        </w:rPr>
        <w:t>raducido por Salud y Fármacos, publicado en</w:t>
      </w:r>
      <w:r w:rsidRPr="001900D6">
        <w:rPr>
          <w:i/>
          <w:iCs/>
          <w:szCs w:val="20"/>
        </w:rPr>
        <w:t xml:space="preserve"> Boletín Fármacos: </w:t>
      </w:r>
      <w:r>
        <w:rPr>
          <w:i/>
          <w:iCs/>
          <w:szCs w:val="20"/>
        </w:rPr>
        <w:t>Agen</w:t>
      </w:r>
      <w:r w:rsidRPr="001900D6">
        <w:rPr>
          <w:i/>
          <w:iCs/>
          <w:szCs w:val="20"/>
        </w:rPr>
        <w:t xml:space="preserve">cias </w:t>
      </w:r>
      <w:r>
        <w:rPr>
          <w:i/>
          <w:iCs/>
          <w:szCs w:val="20"/>
        </w:rPr>
        <w:t>Reguladoras</w:t>
      </w:r>
      <w:r w:rsidRPr="001900D6">
        <w:rPr>
          <w:i/>
          <w:iCs/>
          <w:szCs w:val="20"/>
        </w:rPr>
        <w:t xml:space="preserve"> 2026; 29(</w:t>
      </w:r>
      <w:r>
        <w:rPr>
          <w:i/>
          <w:iCs/>
          <w:szCs w:val="20"/>
        </w:rPr>
        <w:t>3</w:t>
      </w:r>
      <w:r w:rsidRPr="001900D6">
        <w:rPr>
          <w:i/>
          <w:iCs/>
          <w:szCs w:val="20"/>
        </w:rPr>
        <w:t>)</w:t>
      </w:r>
    </w:p>
    <w:p w14:paraId="017CC2CD" w14:textId="77777777" w:rsidR="00A22A81" w:rsidRDefault="00A22A81" w:rsidP="00A22A81">
      <w:pPr>
        <w:rPr>
          <w:rFonts w:cs="Times New Roman"/>
          <w:b/>
          <w:bCs/>
          <w:szCs w:val="20"/>
        </w:rPr>
      </w:pPr>
    </w:p>
    <w:p w14:paraId="2AAE17C9" w14:textId="77777777" w:rsidR="00140BE1" w:rsidRDefault="00140BE1" w:rsidP="00A22A81">
      <w:pPr>
        <w:rPr>
          <w:rFonts w:cs="Times New Roman"/>
          <w:b/>
          <w:bCs/>
          <w:sz w:val="18"/>
          <w:szCs w:val="18"/>
          <w:lang w:val="es-ES"/>
        </w:rPr>
        <w:sectPr w:rsidR="00140BE1" w:rsidSect="00F25512">
          <w:type w:val="continuous"/>
          <w:pgSz w:w="12240" w:h="15840" w:code="1"/>
          <w:pgMar w:top="720" w:right="720" w:bottom="720" w:left="720" w:header="288" w:footer="288" w:gutter="0"/>
          <w:cols w:space="288"/>
          <w:docGrid w:linePitch="360"/>
        </w:sectPr>
      </w:pPr>
    </w:p>
    <w:p w14:paraId="7F73B39C" w14:textId="0F7C329B" w:rsidR="00A22A81" w:rsidRPr="00F25512" w:rsidRDefault="00A22A81" w:rsidP="00A22A81">
      <w:pPr>
        <w:rPr>
          <w:rFonts w:cs="Times New Roman"/>
          <w:b/>
          <w:bCs/>
          <w:sz w:val="18"/>
          <w:szCs w:val="18"/>
          <w:lang w:val="es-ES"/>
        </w:rPr>
      </w:pPr>
      <w:r w:rsidRPr="00F25512">
        <w:rPr>
          <w:rFonts w:cs="Times New Roman"/>
          <w:b/>
          <w:bCs/>
          <w:sz w:val="18"/>
          <w:szCs w:val="18"/>
          <w:lang w:val="es-ES"/>
        </w:rPr>
        <w:t xml:space="preserve">Tags: Medicamentos Huérfanos, </w:t>
      </w:r>
      <w:proofErr w:type="spellStart"/>
      <w:r w:rsidRPr="00F25512">
        <w:rPr>
          <w:rFonts w:cs="Times New Roman"/>
          <w:b/>
          <w:bCs/>
          <w:sz w:val="18"/>
          <w:szCs w:val="18"/>
          <w:lang w:val="es-ES"/>
        </w:rPr>
        <w:t>Health</w:t>
      </w:r>
      <w:proofErr w:type="spellEnd"/>
      <w:r w:rsidRPr="00F25512">
        <w:rPr>
          <w:rFonts w:cs="Times New Roman"/>
          <w:b/>
          <w:bCs/>
          <w:sz w:val="18"/>
          <w:szCs w:val="18"/>
          <w:lang w:val="es-ES"/>
        </w:rPr>
        <w:t xml:space="preserve"> </w:t>
      </w:r>
      <w:proofErr w:type="spellStart"/>
      <w:r w:rsidRPr="00F25512">
        <w:rPr>
          <w:rFonts w:cs="Times New Roman"/>
          <w:b/>
          <w:bCs/>
          <w:sz w:val="18"/>
          <w:szCs w:val="18"/>
          <w:lang w:val="es-ES"/>
        </w:rPr>
        <w:t>Canada</w:t>
      </w:r>
      <w:proofErr w:type="spellEnd"/>
      <w:r w:rsidRPr="00F25512">
        <w:rPr>
          <w:rFonts w:cs="Times New Roman"/>
          <w:b/>
          <w:bCs/>
          <w:sz w:val="18"/>
          <w:szCs w:val="18"/>
          <w:lang w:val="es-ES"/>
        </w:rPr>
        <w:t>, FDA, Aprobación de Medicamentos, Valor Terapéutico, Clase Terapéutica</w:t>
      </w:r>
    </w:p>
    <w:p w14:paraId="0589A075" w14:textId="77777777" w:rsidR="00A22A81" w:rsidRPr="00F25512" w:rsidRDefault="00A22A81" w:rsidP="00A22A81">
      <w:pPr>
        <w:rPr>
          <w:rFonts w:cs="Times New Roman"/>
          <w:b/>
          <w:bCs/>
          <w:szCs w:val="20"/>
          <w:lang w:val="es-ES"/>
        </w:rPr>
      </w:pPr>
    </w:p>
    <w:p w14:paraId="0B7A7AF4" w14:textId="77777777" w:rsidR="00A34D06" w:rsidRPr="00A34D06" w:rsidRDefault="00A34D06" w:rsidP="00A34D06">
      <w:pPr>
        <w:rPr>
          <w:rFonts w:cs="Times New Roman"/>
          <w:b/>
          <w:bCs/>
          <w:szCs w:val="20"/>
        </w:rPr>
      </w:pPr>
      <w:r w:rsidRPr="00A34D06">
        <w:rPr>
          <w:rFonts w:cs="Times New Roman"/>
          <w:b/>
          <w:bCs/>
          <w:szCs w:val="20"/>
        </w:rPr>
        <w:t>Resumen</w:t>
      </w:r>
    </w:p>
    <w:p w14:paraId="07F20FA0" w14:textId="41D9BC23" w:rsidR="00A34D06" w:rsidRDefault="00A34D06" w:rsidP="00A34D06">
      <w:pPr>
        <w:rPr>
          <w:rFonts w:cs="Times New Roman"/>
          <w:szCs w:val="20"/>
        </w:rPr>
      </w:pPr>
      <w:r w:rsidRPr="00A34D06">
        <w:rPr>
          <w:rFonts w:cs="Times New Roman"/>
          <w:szCs w:val="20"/>
        </w:rPr>
        <w:t xml:space="preserve">El número de medicamentos para indicaciones huérfanas ha aumentado significativamente en Canadá, y el gobierno federal anunció recientemente una inversión de </w:t>
      </w:r>
      <w:r>
        <w:rPr>
          <w:rFonts w:cs="Times New Roman"/>
          <w:szCs w:val="20"/>
        </w:rPr>
        <w:t>US$</w:t>
      </w:r>
      <w:r w:rsidRPr="00A34D06">
        <w:rPr>
          <w:rFonts w:cs="Times New Roman"/>
          <w:szCs w:val="20"/>
        </w:rPr>
        <w:t xml:space="preserve">1.500 millones durante </w:t>
      </w:r>
      <w:r>
        <w:rPr>
          <w:rFonts w:cs="Times New Roman"/>
          <w:szCs w:val="20"/>
        </w:rPr>
        <w:t>tres</w:t>
      </w:r>
      <w:r w:rsidRPr="00A34D06">
        <w:rPr>
          <w:rFonts w:cs="Times New Roman"/>
          <w:szCs w:val="20"/>
        </w:rPr>
        <w:t xml:space="preserve"> años, principalmente </w:t>
      </w:r>
      <w:r w:rsidR="004D63D3">
        <w:rPr>
          <w:rFonts w:cs="Times New Roman"/>
          <w:szCs w:val="20"/>
        </w:rPr>
        <w:t>para</w:t>
      </w:r>
      <w:r w:rsidRPr="00A34D06">
        <w:rPr>
          <w:rFonts w:cs="Times New Roman"/>
          <w:szCs w:val="20"/>
        </w:rPr>
        <w:t xml:space="preserve"> financiar el costo de estos medicamentos. Existen diversas afirmaciones y contraargumentos sobre el porcentaje de medicamentos </w:t>
      </w:r>
      <w:r w:rsidR="004D63D3">
        <w:rPr>
          <w:rFonts w:cs="Times New Roman"/>
          <w:szCs w:val="20"/>
        </w:rPr>
        <w:t xml:space="preserve">designados como </w:t>
      </w:r>
      <w:r w:rsidRPr="00A34D06">
        <w:rPr>
          <w:rFonts w:cs="Times New Roman"/>
          <w:szCs w:val="20"/>
        </w:rPr>
        <w:t xml:space="preserve">huérfanos </w:t>
      </w:r>
      <w:r w:rsidR="004D63D3">
        <w:rPr>
          <w:rFonts w:cs="Times New Roman"/>
          <w:szCs w:val="20"/>
        </w:rPr>
        <w:t xml:space="preserve">por parte </w:t>
      </w:r>
      <w:r w:rsidRPr="00A34D06">
        <w:rPr>
          <w:rFonts w:cs="Times New Roman"/>
          <w:szCs w:val="20"/>
        </w:rPr>
        <w:t xml:space="preserve">de la FDA </w:t>
      </w:r>
      <w:proofErr w:type="spellStart"/>
      <w:r w:rsidR="004D63D3">
        <w:rPr>
          <w:rFonts w:cs="Times New Roman"/>
          <w:szCs w:val="20"/>
        </w:rPr>
        <w:t>están</w:t>
      </w:r>
      <w:r w:rsidRPr="00A34D06">
        <w:rPr>
          <w:rFonts w:cs="Times New Roman"/>
          <w:szCs w:val="20"/>
        </w:rPr>
        <w:t>disponibles</w:t>
      </w:r>
      <w:proofErr w:type="spellEnd"/>
      <w:r w:rsidRPr="00A34D06">
        <w:rPr>
          <w:rFonts w:cs="Times New Roman"/>
          <w:szCs w:val="20"/>
        </w:rPr>
        <w:t xml:space="preserve"> en Canadá</w:t>
      </w:r>
      <w:r w:rsidR="004D63D3">
        <w:rPr>
          <w:rFonts w:cs="Times New Roman"/>
          <w:szCs w:val="20"/>
        </w:rPr>
        <w:t>,</w:t>
      </w:r>
      <w:r w:rsidRPr="00A34D06">
        <w:rPr>
          <w:rFonts w:cs="Times New Roman"/>
          <w:szCs w:val="20"/>
        </w:rPr>
        <w:t xml:space="preserve"> y </w:t>
      </w:r>
      <w:r w:rsidR="004D63D3">
        <w:rPr>
          <w:rFonts w:cs="Times New Roman"/>
          <w:szCs w:val="20"/>
        </w:rPr>
        <w:t>cuanto se</w:t>
      </w:r>
      <w:r w:rsidRPr="00A34D06">
        <w:rPr>
          <w:rFonts w:cs="Times New Roman"/>
          <w:szCs w:val="20"/>
        </w:rPr>
        <w:t xml:space="preserve"> demora </w:t>
      </w:r>
      <w:proofErr w:type="spellStart"/>
      <w:r>
        <w:rPr>
          <w:rFonts w:cs="Times New Roman"/>
          <w:szCs w:val="20"/>
        </w:rPr>
        <w:t>Health</w:t>
      </w:r>
      <w:proofErr w:type="spellEnd"/>
      <w:r w:rsidRPr="00A34D06">
        <w:rPr>
          <w:rFonts w:cs="Times New Roman"/>
          <w:szCs w:val="20"/>
        </w:rPr>
        <w:t xml:space="preserve"> </w:t>
      </w:r>
      <w:proofErr w:type="spellStart"/>
      <w:r w:rsidRPr="00A34D06">
        <w:rPr>
          <w:rFonts w:cs="Times New Roman"/>
          <w:szCs w:val="20"/>
        </w:rPr>
        <w:t>Canad</w:t>
      </w:r>
      <w:r>
        <w:rPr>
          <w:rFonts w:cs="Times New Roman"/>
          <w:szCs w:val="20"/>
        </w:rPr>
        <w:t>a</w:t>
      </w:r>
      <w:proofErr w:type="spellEnd"/>
      <w:r w:rsidR="004D63D3">
        <w:rPr>
          <w:rFonts w:cs="Times New Roman"/>
          <w:szCs w:val="20"/>
        </w:rPr>
        <w:t xml:space="preserve"> en aprobarlos</w:t>
      </w:r>
      <w:r w:rsidRPr="00A34D06">
        <w:rPr>
          <w:rFonts w:cs="Times New Roman"/>
          <w:szCs w:val="20"/>
        </w:rPr>
        <w:t xml:space="preserve">. </w:t>
      </w:r>
    </w:p>
    <w:p w14:paraId="0DBB34CF" w14:textId="77777777" w:rsidR="00A34D06" w:rsidRDefault="00A34D06" w:rsidP="00A34D06">
      <w:pPr>
        <w:rPr>
          <w:rFonts w:cs="Times New Roman"/>
          <w:szCs w:val="20"/>
        </w:rPr>
      </w:pPr>
    </w:p>
    <w:p w14:paraId="2566FFEC" w14:textId="77777777" w:rsidR="00552D30" w:rsidRDefault="00A34D06" w:rsidP="00A34D06">
      <w:pPr>
        <w:rPr>
          <w:rFonts w:cs="Times New Roman"/>
          <w:szCs w:val="20"/>
        </w:rPr>
      </w:pPr>
      <w:r w:rsidRPr="00A34D06">
        <w:rPr>
          <w:rFonts w:cs="Times New Roman"/>
          <w:szCs w:val="20"/>
        </w:rPr>
        <w:t xml:space="preserve">Este estudio utiliza bases de datos de la FDA y </w:t>
      </w:r>
      <w:r>
        <w:rPr>
          <w:rFonts w:cs="Times New Roman"/>
          <w:szCs w:val="20"/>
        </w:rPr>
        <w:t xml:space="preserve">de </w:t>
      </w:r>
      <w:proofErr w:type="spellStart"/>
      <w:r>
        <w:rPr>
          <w:rFonts w:cs="Times New Roman"/>
          <w:szCs w:val="20"/>
        </w:rPr>
        <w:t>Health</w:t>
      </w:r>
      <w:proofErr w:type="spellEnd"/>
      <w:r w:rsidRPr="00A34D06">
        <w:rPr>
          <w:rFonts w:cs="Times New Roman"/>
          <w:szCs w:val="20"/>
        </w:rPr>
        <w:t xml:space="preserve"> </w:t>
      </w:r>
      <w:proofErr w:type="spellStart"/>
      <w:r w:rsidRPr="00A34D06">
        <w:rPr>
          <w:rFonts w:cs="Times New Roman"/>
          <w:szCs w:val="20"/>
        </w:rPr>
        <w:t>Canad</w:t>
      </w:r>
      <w:r>
        <w:rPr>
          <w:rFonts w:cs="Times New Roman"/>
          <w:szCs w:val="20"/>
        </w:rPr>
        <w:t>a</w:t>
      </w:r>
      <w:proofErr w:type="spellEnd"/>
      <w:r w:rsidRPr="00A34D06">
        <w:rPr>
          <w:rFonts w:cs="Times New Roman"/>
          <w:szCs w:val="20"/>
        </w:rPr>
        <w:t xml:space="preserve">, así como datos de tres agencias de evaluación de tecnologías sanitarias y un boletín de medicamentos, para proporcionar datos objetivos sobre el porcentaje de medicamentos aprobados por la FDA que también fueron aprobados por </w:t>
      </w:r>
      <w:proofErr w:type="spellStart"/>
      <w:r w:rsidR="00552D30">
        <w:rPr>
          <w:rFonts w:cs="Times New Roman"/>
          <w:szCs w:val="20"/>
        </w:rPr>
        <w:t>Health</w:t>
      </w:r>
      <w:proofErr w:type="spellEnd"/>
      <w:r w:rsidR="00552D30" w:rsidRPr="00A34D06">
        <w:rPr>
          <w:rFonts w:cs="Times New Roman"/>
          <w:szCs w:val="20"/>
        </w:rPr>
        <w:t xml:space="preserve"> </w:t>
      </w:r>
      <w:proofErr w:type="spellStart"/>
      <w:r w:rsidR="00552D30" w:rsidRPr="00A34D06">
        <w:rPr>
          <w:rFonts w:cs="Times New Roman"/>
          <w:szCs w:val="20"/>
        </w:rPr>
        <w:t>Canad</w:t>
      </w:r>
      <w:r w:rsidR="00552D30">
        <w:rPr>
          <w:rFonts w:cs="Times New Roman"/>
          <w:szCs w:val="20"/>
        </w:rPr>
        <w:t>a</w:t>
      </w:r>
      <w:proofErr w:type="spellEnd"/>
      <w:r w:rsidRPr="00A34D06">
        <w:rPr>
          <w:rFonts w:cs="Times New Roman"/>
          <w:szCs w:val="20"/>
        </w:rPr>
        <w:t xml:space="preserve">, las demoras en la aprobación canadiense y el valor terapéutico adicional de los nuevos medicamentos huérfanos. No se investigaron las decisiones sobre qué medicamentos deberían tener cobertura pública ni el tiempo que se tardó en tomar dichas decisiones. </w:t>
      </w:r>
    </w:p>
    <w:p w14:paraId="4B347F1F" w14:textId="77777777" w:rsidR="00552D30" w:rsidRDefault="00552D30" w:rsidP="00A34D06">
      <w:pPr>
        <w:rPr>
          <w:rFonts w:cs="Times New Roman"/>
          <w:szCs w:val="20"/>
        </w:rPr>
      </w:pPr>
    </w:p>
    <w:p w14:paraId="1CC8078E" w14:textId="3B726F05" w:rsidR="0009143D" w:rsidRDefault="004D63D3" w:rsidP="00A34D06">
      <w:pPr>
        <w:rPr>
          <w:rFonts w:cs="Times New Roman"/>
          <w:szCs w:val="20"/>
        </w:rPr>
      </w:pPr>
      <w:r>
        <w:rPr>
          <w:rFonts w:cs="Times New Roman"/>
          <w:szCs w:val="20"/>
        </w:rPr>
        <w:t>Entre</w:t>
      </w:r>
      <w:r w:rsidR="00A34D06" w:rsidRPr="00A34D06">
        <w:rPr>
          <w:rFonts w:cs="Times New Roman"/>
          <w:szCs w:val="20"/>
        </w:rPr>
        <w:t xml:space="preserve"> 1999 </w:t>
      </w:r>
      <w:r>
        <w:rPr>
          <w:rFonts w:cs="Times New Roman"/>
          <w:szCs w:val="20"/>
        </w:rPr>
        <w:t>y</w:t>
      </w:r>
      <w:r w:rsidR="00A34D06" w:rsidRPr="00A34D06">
        <w:rPr>
          <w:rFonts w:cs="Times New Roman"/>
          <w:szCs w:val="20"/>
        </w:rPr>
        <w:t xml:space="preserve"> 2022, la FDA aprobó 326 medicamentos </w:t>
      </w:r>
      <w:r w:rsidRPr="00A34D06">
        <w:rPr>
          <w:rFonts w:cs="Times New Roman"/>
          <w:szCs w:val="20"/>
        </w:rPr>
        <w:t xml:space="preserve">nuevos </w:t>
      </w:r>
      <w:r w:rsidR="00A34D06" w:rsidRPr="00A34D06">
        <w:rPr>
          <w:rFonts w:cs="Times New Roman"/>
          <w:szCs w:val="20"/>
        </w:rPr>
        <w:t xml:space="preserve">para una indicación huérfana y </w:t>
      </w:r>
      <w:proofErr w:type="spellStart"/>
      <w:r w:rsidR="00A34D06" w:rsidRPr="00A34D06">
        <w:rPr>
          <w:rFonts w:cs="Times New Roman"/>
          <w:szCs w:val="20"/>
        </w:rPr>
        <w:t>Health</w:t>
      </w:r>
      <w:proofErr w:type="spellEnd"/>
      <w:r w:rsidR="00A34D06" w:rsidRPr="00A34D06">
        <w:rPr>
          <w:rFonts w:cs="Times New Roman"/>
          <w:szCs w:val="20"/>
        </w:rPr>
        <w:t xml:space="preserve"> </w:t>
      </w:r>
      <w:proofErr w:type="spellStart"/>
      <w:r w:rsidR="00A34D06" w:rsidRPr="00A34D06">
        <w:rPr>
          <w:rFonts w:cs="Times New Roman"/>
          <w:szCs w:val="20"/>
        </w:rPr>
        <w:t>Canada</w:t>
      </w:r>
      <w:proofErr w:type="spellEnd"/>
      <w:r w:rsidR="00A34D06" w:rsidRPr="00A34D06">
        <w:rPr>
          <w:rFonts w:cs="Times New Roman"/>
          <w:szCs w:val="20"/>
        </w:rPr>
        <w:t xml:space="preserve"> aprobó 231 (70,9%) para la misma indicación. </w:t>
      </w:r>
      <w:r>
        <w:rPr>
          <w:rFonts w:cs="Times New Roman"/>
          <w:szCs w:val="20"/>
        </w:rPr>
        <w:t>La</w:t>
      </w:r>
      <w:r w:rsidR="00471591">
        <w:rPr>
          <w:rFonts w:cs="Times New Roman"/>
          <w:szCs w:val="20"/>
        </w:rPr>
        <w:t xml:space="preserve"> mediana</w:t>
      </w:r>
      <w:r w:rsidR="00471591">
        <w:rPr>
          <w:rStyle w:val="Refdecomentario"/>
        </w:rPr>
        <w:t xml:space="preserve"> de </w:t>
      </w:r>
      <w:r>
        <w:rPr>
          <w:rFonts w:cs="Times New Roman"/>
          <w:szCs w:val="20"/>
        </w:rPr>
        <w:t>tiempo</w:t>
      </w:r>
      <w:r w:rsidR="00A34D06" w:rsidRPr="00A34D06">
        <w:rPr>
          <w:rFonts w:cs="Times New Roman"/>
          <w:szCs w:val="20"/>
        </w:rPr>
        <w:t xml:space="preserve"> entre la aprobación de la FDA y </w:t>
      </w:r>
      <w:proofErr w:type="spellStart"/>
      <w:r w:rsidR="00A34D06" w:rsidRPr="00A34D06">
        <w:rPr>
          <w:rFonts w:cs="Times New Roman"/>
          <w:szCs w:val="20"/>
        </w:rPr>
        <w:t>Health</w:t>
      </w:r>
      <w:proofErr w:type="spellEnd"/>
      <w:r w:rsidR="00A34D06" w:rsidRPr="00A34D06">
        <w:rPr>
          <w:rFonts w:cs="Times New Roman"/>
          <w:szCs w:val="20"/>
        </w:rPr>
        <w:t xml:space="preserve"> </w:t>
      </w:r>
      <w:proofErr w:type="spellStart"/>
      <w:r w:rsidR="00A34D06" w:rsidRPr="00A34D06">
        <w:rPr>
          <w:rFonts w:cs="Times New Roman"/>
          <w:szCs w:val="20"/>
        </w:rPr>
        <w:t>Canada</w:t>
      </w:r>
      <w:proofErr w:type="spellEnd"/>
      <w:r w:rsidR="00A34D06" w:rsidRPr="00A34D06">
        <w:rPr>
          <w:rFonts w:cs="Times New Roman"/>
          <w:szCs w:val="20"/>
        </w:rPr>
        <w:t xml:space="preserve"> fue de 346 días (rango intercuartílico [RIC] 181, 785). El porcentaje de medicamentos considerados mejoras importantes disminuyó de</w:t>
      </w:r>
      <w:r w:rsidR="00552D30">
        <w:rPr>
          <w:rFonts w:cs="Times New Roman"/>
          <w:szCs w:val="20"/>
        </w:rPr>
        <w:t xml:space="preserve"> un</w:t>
      </w:r>
      <w:r w:rsidR="00A34D06" w:rsidRPr="00A34D06">
        <w:rPr>
          <w:rFonts w:cs="Times New Roman"/>
          <w:szCs w:val="20"/>
        </w:rPr>
        <w:t xml:space="preserve"> 50% del total en</w:t>
      </w:r>
      <w:r w:rsidR="00552D30">
        <w:rPr>
          <w:rFonts w:cs="Times New Roman"/>
          <w:szCs w:val="20"/>
        </w:rPr>
        <w:t xml:space="preserve"> el periodo</w:t>
      </w:r>
      <w:r w:rsidR="00A34D06" w:rsidRPr="00A34D06">
        <w:rPr>
          <w:rFonts w:cs="Times New Roman"/>
          <w:szCs w:val="20"/>
        </w:rPr>
        <w:t xml:space="preserve"> 2004-2008 a </w:t>
      </w:r>
      <w:r w:rsidR="00552D30">
        <w:rPr>
          <w:rFonts w:cs="Times New Roman"/>
          <w:szCs w:val="20"/>
        </w:rPr>
        <w:t xml:space="preserve">un </w:t>
      </w:r>
      <w:r w:rsidR="00A34D06" w:rsidRPr="00A34D06">
        <w:rPr>
          <w:rFonts w:cs="Times New Roman"/>
          <w:szCs w:val="20"/>
        </w:rPr>
        <w:t>13,6% en</w:t>
      </w:r>
      <w:r w:rsidR="00552D30">
        <w:rPr>
          <w:rFonts w:cs="Times New Roman"/>
          <w:szCs w:val="20"/>
        </w:rPr>
        <w:t xml:space="preserve"> el periodo</w:t>
      </w:r>
      <w:r w:rsidR="00A34D06" w:rsidRPr="00A34D06">
        <w:rPr>
          <w:rFonts w:cs="Times New Roman"/>
          <w:szCs w:val="20"/>
        </w:rPr>
        <w:t xml:space="preserve"> 2019-2022. </w:t>
      </w:r>
    </w:p>
    <w:p w14:paraId="0074AA67" w14:textId="77777777" w:rsidR="0009143D" w:rsidRDefault="0009143D" w:rsidP="00A34D06">
      <w:pPr>
        <w:rPr>
          <w:rFonts w:cs="Times New Roman"/>
          <w:szCs w:val="20"/>
        </w:rPr>
      </w:pPr>
    </w:p>
    <w:p w14:paraId="73045A80" w14:textId="71521215" w:rsidR="0009143D" w:rsidRDefault="00A34D06" w:rsidP="00A34D06">
      <w:pPr>
        <w:rPr>
          <w:rFonts w:cs="Times New Roman"/>
          <w:szCs w:val="20"/>
        </w:rPr>
      </w:pPr>
      <w:r w:rsidRPr="00A34D06">
        <w:rPr>
          <w:rFonts w:cs="Times New Roman"/>
          <w:szCs w:val="20"/>
        </w:rPr>
        <w:t xml:space="preserve">Estos hallazgos deben tenerse en cuenta a medida que Canadá desarrolla una política de medicamentos huérfanos y decide los criterios para financiar este grupo de medicamentos. Específicamente, cuando </w:t>
      </w:r>
      <w:r w:rsidR="004D63D3">
        <w:rPr>
          <w:rFonts w:cs="Times New Roman"/>
          <w:szCs w:val="20"/>
        </w:rPr>
        <w:t xml:space="preserve">al aprobar los medicamentos </w:t>
      </w:r>
      <w:r w:rsidRPr="00A34D06">
        <w:rPr>
          <w:rFonts w:cs="Times New Roman"/>
          <w:szCs w:val="20"/>
        </w:rPr>
        <w:t xml:space="preserve">no se dispone de evidencia de alta calidad sobre </w:t>
      </w:r>
      <w:r w:rsidR="004D63D3">
        <w:rPr>
          <w:rFonts w:cs="Times New Roman"/>
          <w:szCs w:val="20"/>
        </w:rPr>
        <w:t>el</w:t>
      </w:r>
      <w:r w:rsidRPr="00A34D06">
        <w:rPr>
          <w:rFonts w:cs="Times New Roman"/>
          <w:szCs w:val="20"/>
        </w:rPr>
        <w:t xml:space="preserve"> valor terapéutico adicional </w:t>
      </w:r>
      <w:r w:rsidR="004D63D3">
        <w:rPr>
          <w:rFonts w:cs="Times New Roman"/>
          <w:szCs w:val="20"/>
        </w:rPr>
        <w:t>que aportan</w:t>
      </w:r>
      <w:r w:rsidRPr="00A34D06">
        <w:rPr>
          <w:rFonts w:cs="Times New Roman"/>
          <w:szCs w:val="20"/>
        </w:rPr>
        <w:t xml:space="preserve">, se deben establecer acuerdos de financiación </w:t>
      </w:r>
      <w:r w:rsidR="004D63D3">
        <w:rPr>
          <w:rFonts w:cs="Times New Roman"/>
          <w:szCs w:val="20"/>
        </w:rPr>
        <w:t>de</w:t>
      </w:r>
      <w:r w:rsidR="0009143D">
        <w:rPr>
          <w:rFonts w:cs="Times New Roman"/>
          <w:szCs w:val="20"/>
        </w:rPr>
        <w:t xml:space="preserve"> </w:t>
      </w:r>
      <w:r w:rsidRPr="00A34D06">
        <w:rPr>
          <w:rFonts w:cs="Times New Roman"/>
          <w:szCs w:val="20"/>
        </w:rPr>
        <w:t xml:space="preserve">riesgo compartido con los fabricantes. </w:t>
      </w:r>
    </w:p>
    <w:p w14:paraId="64C32B01" w14:textId="77777777" w:rsidR="0009143D" w:rsidRDefault="0009143D" w:rsidP="00A34D06">
      <w:pPr>
        <w:rPr>
          <w:rFonts w:cs="Times New Roman"/>
          <w:szCs w:val="20"/>
        </w:rPr>
      </w:pPr>
    </w:p>
    <w:p w14:paraId="10DE1734" w14:textId="7EED1B65" w:rsidR="004D63D3" w:rsidRPr="00A34D06" w:rsidRDefault="00A34D06" w:rsidP="00A34D06">
      <w:pPr>
        <w:rPr>
          <w:rFonts w:cs="Times New Roman"/>
          <w:szCs w:val="20"/>
        </w:rPr>
      </w:pPr>
      <w:r w:rsidRPr="00A34D06">
        <w:rPr>
          <w:rFonts w:cs="Times New Roman"/>
          <w:szCs w:val="20"/>
        </w:rPr>
        <w:t>Los fabricantes deben comprender que</w:t>
      </w:r>
      <w:r w:rsidR="0009143D">
        <w:rPr>
          <w:rFonts w:cs="Times New Roman"/>
          <w:szCs w:val="20"/>
        </w:rPr>
        <w:t>,</w:t>
      </w:r>
      <w:r w:rsidRPr="00A34D06">
        <w:rPr>
          <w:rFonts w:cs="Times New Roman"/>
          <w:szCs w:val="20"/>
        </w:rPr>
        <w:t xml:space="preserve"> si los resultados de los ensayos posteriores a la comercialización no proporcionan</w:t>
      </w:r>
      <w:r w:rsidR="0009143D">
        <w:rPr>
          <w:rFonts w:cs="Times New Roman"/>
          <w:szCs w:val="20"/>
        </w:rPr>
        <w:t xml:space="preserve"> </w:t>
      </w:r>
      <w:r w:rsidRPr="00A34D06">
        <w:rPr>
          <w:rFonts w:cs="Times New Roman"/>
          <w:szCs w:val="20"/>
        </w:rPr>
        <w:t>evidencia convincente de valor</w:t>
      </w:r>
      <w:r w:rsidR="0009143D">
        <w:rPr>
          <w:rFonts w:cs="Times New Roman"/>
          <w:szCs w:val="20"/>
        </w:rPr>
        <w:t xml:space="preserve"> terapéutico</w:t>
      </w:r>
      <w:r w:rsidRPr="00A34D06">
        <w:rPr>
          <w:rFonts w:cs="Times New Roman"/>
          <w:szCs w:val="20"/>
        </w:rPr>
        <w:t xml:space="preserve">, se retirará la financiación. </w:t>
      </w:r>
      <w:r w:rsidR="004D63D3" w:rsidRPr="004D63D3">
        <w:rPr>
          <w:rFonts w:cs="Times New Roman"/>
          <w:szCs w:val="20"/>
        </w:rPr>
        <w:t>Por último,</w:t>
      </w:r>
      <w:r w:rsidR="004D63D3">
        <w:rPr>
          <w:rFonts w:cs="Times New Roman"/>
          <w:szCs w:val="20"/>
        </w:rPr>
        <w:t xml:space="preserve"> se debe utilizar</w:t>
      </w:r>
      <w:r w:rsidR="004D63D3" w:rsidRPr="004D63D3">
        <w:rPr>
          <w:rFonts w:cs="Times New Roman"/>
          <w:szCs w:val="20"/>
        </w:rPr>
        <w:t xml:space="preserve"> la calidad de </w:t>
      </w:r>
      <w:r w:rsidR="004D63D3">
        <w:rPr>
          <w:rFonts w:cs="Times New Roman"/>
          <w:szCs w:val="20"/>
        </w:rPr>
        <w:t>los</w:t>
      </w:r>
      <w:r w:rsidR="004D63D3" w:rsidRPr="004D63D3">
        <w:rPr>
          <w:rFonts w:cs="Times New Roman"/>
          <w:szCs w:val="20"/>
        </w:rPr>
        <w:t xml:space="preserve"> plan</w:t>
      </w:r>
      <w:r w:rsidR="004D63D3">
        <w:rPr>
          <w:rFonts w:cs="Times New Roman"/>
          <w:szCs w:val="20"/>
        </w:rPr>
        <w:t>es</w:t>
      </w:r>
      <w:r w:rsidR="004D63D3" w:rsidRPr="004D63D3">
        <w:rPr>
          <w:rFonts w:cs="Times New Roman"/>
          <w:szCs w:val="20"/>
        </w:rPr>
        <w:t xml:space="preserve"> de investigación para priorizar a los candidatos a recibir financiación federal.</w:t>
      </w:r>
    </w:p>
    <w:p w14:paraId="0C0B9EB2" w14:textId="77777777" w:rsidR="00140BE1" w:rsidRDefault="00140BE1" w:rsidP="00A34D06">
      <w:pPr>
        <w:rPr>
          <w:rFonts w:cs="Times New Roman"/>
          <w:b/>
          <w:bCs/>
          <w:szCs w:val="20"/>
        </w:rPr>
        <w:sectPr w:rsidR="00140BE1" w:rsidSect="00140BE1">
          <w:type w:val="continuous"/>
          <w:pgSz w:w="12240" w:h="15840" w:code="1"/>
          <w:pgMar w:top="720" w:right="720" w:bottom="720" w:left="720" w:header="288" w:footer="288" w:gutter="0"/>
          <w:cols w:num="2" w:space="288"/>
          <w:docGrid w:linePitch="360"/>
        </w:sectPr>
      </w:pPr>
    </w:p>
    <w:p w14:paraId="67B26FF5" w14:textId="73D34BB0" w:rsidR="00A34D06" w:rsidRPr="00A34D06" w:rsidRDefault="00A34D06" w:rsidP="00A34D06">
      <w:pPr>
        <w:rPr>
          <w:rFonts w:cs="Times New Roman"/>
          <w:b/>
          <w:bCs/>
          <w:szCs w:val="20"/>
        </w:rPr>
      </w:pPr>
    </w:p>
    <w:p w14:paraId="02872871" w14:textId="77777777" w:rsidR="00A60E54" w:rsidRDefault="00A60E54" w:rsidP="00394DB7">
      <w:pPr>
        <w:rPr>
          <w:rFonts w:eastAsia="Times New Roman" w:cs="Times New Roman"/>
          <w:color w:val="0D0D0D" w:themeColor="text1" w:themeTint="F2"/>
          <w:szCs w:val="20"/>
        </w:rPr>
      </w:pPr>
    </w:p>
    <w:p w14:paraId="66F6B8B4" w14:textId="2FF505BA" w:rsidR="004D63D3" w:rsidRPr="000E4B91" w:rsidRDefault="00E6228C" w:rsidP="00B24E0B">
      <w:pPr>
        <w:jc w:val="center"/>
        <w:rPr>
          <w:rFonts w:cs="Times New Roman"/>
          <w:b/>
          <w:bCs/>
          <w:szCs w:val="20"/>
        </w:rPr>
      </w:pPr>
      <w:r>
        <w:rPr>
          <w:rFonts w:cs="Times New Roman"/>
          <w:szCs w:val="20"/>
        </w:rPr>
        <w:t>Canadá</w:t>
      </w:r>
      <w:r w:rsidR="00A60E54" w:rsidRPr="00A60E54">
        <w:rPr>
          <w:rFonts w:cs="Times New Roman"/>
          <w:szCs w:val="20"/>
        </w:rPr>
        <w:t>.</w:t>
      </w:r>
      <w:r w:rsidR="00A60E54">
        <w:rPr>
          <w:rFonts w:cs="Times New Roman"/>
          <w:szCs w:val="20"/>
        </w:rPr>
        <w:t xml:space="preserve"> </w:t>
      </w:r>
      <w:r w:rsidR="004D63D3" w:rsidRPr="004D63D3">
        <w:rPr>
          <w:rFonts w:cs="Times New Roman"/>
          <w:b/>
          <w:bCs/>
          <w:szCs w:val="20"/>
        </w:rPr>
        <w:t xml:space="preserve">La homologación no </w:t>
      </w:r>
      <w:r w:rsidR="004D63D3">
        <w:rPr>
          <w:rFonts w:cs="Times New Roman"/>
          <w:b/>
          <w:bCs/>
          <w:szCs w:val="20"/>
        </w:rPr>
        <w:t>llena</w:t>
      </w:r>
      <w:r w:rsidR="004D63D3" w:rsidRPr="004D63D3">
        <w:rPr>
          <w:rFonts w:cs="Times New Roman"/>
          <w:b/>
          <w:bCs/>
          <w:szCs w:val="20"/>
        </w:rPr>
        <w:t xml:space="preserve"> las expectativas: depender de reguladores extranjeros apunta a la etapa equivocada del acceso a medicamentos en Canadá</w:t>
      </w:r>
    </w:p>
    <w:p w14:paraId="60D8DC33" w14:textId="5259B8D0" w:rsidR="00A60E54" w:rsidRPr="000E4B91" w:rsidRDefault="000E4B91" w:rsidP="000E4B91">
      <w:pPr>
        <w:jc w:val="center"/>
        <w:rPr>
          <w:rFonts w:cs="Times New Roman"/>
          <w:i/>
          <w:iCs/>
          <w:szCs w:val="20"/>
          <w:lang w:val="en-US"/>
        </w:rPr>
      </w:pPr>
      <w:r w:rsidRPr="000E4B91">
        <w:rPr>
          <w:rFonts w:cs="Times New Roman"/>
          <w:i/>
          <w:iCs/>
          <w:szCs w:val="20"/>
          <w:lang w:val="en-US"/>
        </w:rPr>
        <w:t>(</w:t>
      </w:r>
      <w:r w:rsidR="00A60E54" w:rsidRPr="000E4B91">
        <w:rPr>
          <w:rFonts w:cs="Times New Roman"/>
          <w:i/>
          <w:iCs/>
          <w:szCs w:val="20"/>
          <w:lang w:val="en-US"/>
        </w:rPr>
        <w:t>Deeming Doesn't Deliver: Reliance on foreign regulators targets the wrong stage of Canadian drug Access</w:t>
      </w:r>
      <w:r w:rsidRPr="000E4B91">
        <w:rPr>
          <w:rFonts w:cs="Times New Roman"/>
          <w:i/>
          <w:iCs/>
          <w:szCs w:val="20"/>
          <w:lang w:val="en-US"/>
        </w:rPr>
        <w:t>)</w:t>
      </w:r>
    </w:p>
    <w:p w14:paraId="035A33B9" w14:textId="5BE3FFFA" w:rsidR="00937508" w:rsidRPr="00937508" w:rsidRDefault="00937508" w:rsidP="00937508">
      <w:pPr>
        <w:jc w:val="center"/>
        <w:rPr>
          <w:szCs w:val="20"/>
          <w:lang w:val="en-US"/>
        </w:rPr>
      </w:pPr>
      <w:r w:rsidRPr="00937508">
        <w:rPr>
          <w:szCs w:val="20"/>
          <w:lang w:val="en-US"/>
        </w:rPr>
        <w:t xml:space="preserve">D </w:t>
      </w:r>
      <w:proofErr w:type="spellStart"/>
      <w:r w:rsidRPr="00937508">
        <w:rPr>
          <w:szCs w:val="20"/>
          <w:lang w:val="en-US"/>
        </w:rPr>
        <w:t>Eisenkraft</w:t>
      </w:r>
      <w:proofErr w:type="spellEnd"/>
      <w:r w:rsidRPr="00937508">
        <w:rPr>
          <w:szCs w:val="20"/>
          <w:lang w:val="en-US"/>
        </w:rPr>
        <w:t xml:space="preserve"> Klein</w:t>
      </w:r>
      <w:r w:rsidR="00471591">
        <w:rPr>
          <w:szCs w:val="20"/>
          <w:lang w:val="en-US"/>
        </w:rPr>
        <w:t xml:space="preserve"> y </w:t>
      </w:r>
      <w:r w:rsidRPr="00937508">
        <w:rPr>
          <w:szCs w:val="20"/>
          <w:lang w:val="en-US"/>
        </w:rPr>
        <w:t xml:space="preserve">AS </w:t>
      </w:r>
      <w:proofErr w:type="spellStart"/>
      <w:r w:rsidRPr="00937508">
        <w:rPr>
          <w:szCs w:val="20"/>
          <w:lang w:val="en-US"/>
        </w:rPr>
        <w:t>Kesselheim</w:t>
      </w:r>
      <w:proofErr w:type="spellEnd"/>
    </w:p>
    <w:p w14:paraId="2FC58E3B" w14:textId="6E247830" w:rsidR="000E4B91" w:rsidRDefault="00937508" w:rsidP="00937508">
      <w:pPr>
        <w:jc w:val="center"/>
        <w:rPr>
          <w:szCs w:val="20"/>
          <w:lang w:val="en-US"/>
        </w:rPr>
      </w:pPr>
      <w:r w:rsidRPr="00937508">
        <w:rPr>
          <w:i/>
          <w:iCs/>
          <w:szCs w:val="20"/>
          <w:lang w:val="en-US"/>
        </w:rPr>
        <w:t>Health Policy</w:t>
      </w:r>
      <w:r>
        <w:rPr>
          <w:szCs w:val="20"/>
          <w:lang w:val="en-US"/>
        </w:rPr>
        <w:t xml:space="preserve"> </w:t>
      </w:r>
      <w:r w:rsidRPr="00937508">
        <w:rPr>
          <w:szCs w:val="20"/>
          <w:lang w:val="en-US"/>
        </w:rPr>
        <w:t>2026</w:t>
      </w:r>
      <w:r>
        <w:rPr>
          <w:szCs w:val="20"/>
          <w:lang w:val="en-US"/>
        </w:rPr>
        <w:t xml:space="preserve">; 170, </w:t>
      </w:r>
      <w:r w:rsidRPr="00937508">
        <w:rPr>
          <w:szCs w:val="20"/>
          <w:lang w:val="en-US"/>
        </w:rPr>
        <w:t>105637,</w:t>
      </w:r>
      <w:r>
        <w:rPr>
          <w:szCs w:val="20"/>
          <w:lang w:val="en-US"/>
        </w:rPr>
        <w:t xml:space="preserve"> </w:t>
      </w:r>
      <w:r w:rsidRPr="00937508">
        <w:rPr>
          <w:szCs w:val="20"/>
          <w:lang w:val="en-US"/>
        </w:rPr>
        <w:t>ISSN 0168-8510</w:t>
      </w:r>
    </w:p>
    <w:p w14:paraId="73116223" w14:textId="3954F4FD" w:rsidR="000E4B91" w:rsidRDefault="00B00DA4" w:rsidP="000E4B91">
      <w:pPr>
        <w:jc w:val="center"/>
        <w:rPr>
          <w:szCs w:val="20"/>
          <w:lang w:val="en-US"/>
        </w:rPr>
      </w:pPr>
      <w:hyperlink r:id="rId85" w:history="1">
        <w:r w:rsidR="000E4B91" w:rsidRPr="001F29B1">
          <w:rPr>
            <w:rStyle w:val="Hipervnculo"/>
            <w:szCs w:val="20"/>
            <w:lang w:val="en-US"/>
          </w:rPr>
          <w:t>https://www.sciencedirect.com/science/article/abs/pii/S0168851026000746</w:t>
        </w:r>
      </w:hyperlink>
    </w:p>
    <w:p w14:paraId="465A23C4" w14:textId="73E353C3" w:rsidR="00A60E54" w:rsidRPr="000E4B91" w:rsidRDefault="000E4B91" w:rsidP="000E4B91">
      <w:pPr>
        <w:jc w:val="center"/>
        <w:rPr>
          <w:rFonts w:cs="Times New Roman"/>
          <w:szCs w:val="20"/>
        </w:rPr>
      </w:pPr>
      <w:r>
        <w:rPr>
          <w:szCs w:val="20"/>
        </w:rPr>
        <w:t>T</w:t>
      </w:r>
      <w:r w:rsidRPr="007B5A3A">
        <w:rPr>
          <w:szCs w:val="20"/>
        </w:rPr>
        <w:t>raducido por Salud y Fármacos, publicado en</w:t>
      </w:r>
      <w:r w:rsidRPr="001900D6">
        <w:rPr>
          <w:i/>
          <w:iCs/>
          <w:szCs w:val="20"/>
        </w:rPr>
        <w:t xml:space="preserve"> Boletín Fármacos: </w:t>
      </w:r>
      <w:r>
        <w:rPr>
          <w:i/>
          <w:iCs/>
          <w:szCs w:val="20"/>
        </w:rPr>
        <w:t>Agen</w:t>
      </w:r>
      <w:r w:rsidRPr="001900D6">
        <w:rPr>
          <w:i/>
          <w:iCs/>
          <w:szCs w:val="20"/>
        </w:rPr>
        <w:t xml:space="preserve">cias </w:t>
      </w:r>
      <w:r>
        <w:rPr>
          <w:i/>
          <w:iCs/>
          <w:szCs w:val="20"/>
        </w:rPr>
        <w:t>Reguladoras</w:t>
      </w:r>
      <w:r w:rsidRPr="001900D6">
        <w:rPr>
          <w:i/>
          <w:iCs/>
          <w:szCs w:val="20"/>
        </w:rPr>
        <w:t xml:space="preserve"> 2026; 29(</w:t>
      </w:r>
      <w:r>
        <w:rPr>
          <w:i/>
          <w:iCs/>
          <w:szCs w:val="20"/>
        </w:rPr>
        <w:t>3</w:t>
      </w:r>
      <w:r w:rsidRPr="001900D6">
        <w:rPr>
          <w:i/>
          <w:iCs/>
          <w:szCs w:val="20"/>
        </w:rPr>
        <w:t>)</w:t>
      </w:r>
    </w:p>
    <w:p w14:paraId="7E4338B4" w14:textId="77777777" w:rsidR="000E4B91" w:rsidRDefault="000E4B91" w:rsidP="00A60E54">
      <w:pPr>
        <w:rPr>
          <w:rFonts w:cs="Times New Roman"/>
          <w:szCs w:val="20"/>
        </w:rPr>
      </w:pPr>
    </w:p>
    <w:p w14:paraId="2FAFFF44" w14:textId="77777777" w:rsidR="00140BE1" w:rsidRDefault="00140BE1" w:rsidP="00A60E54">
      <w:pPr>
        <w:rPr>
          <w:rFonts w:cs="Times New Roman"/>
          <w:b/>
          <w:bCs/>
          <w:sz w:val="18"/>
          <w:szCs w:val="18"/>
        </w:rPr>
        <w:sectPr w:rsidR="00140BE1" w:rsidSect="00F25512">
          <w:type w:val="continuous"/>
          <w:pgSz w:w="12240" w:h="15840" w:code="1"/>
          <w:pgMar w:top="720" w:right="720" w:bottom="720" w:left="720" w:header="288" w:footer="288" w:gutter="0"/>
          <w:cols w:space="288"/>
          <w:docGrid w:linePitch="360"/>
        </w:sectPr>
      </w:pPr>
    </w:p>
    <w:p w14:paraId="3EB5705A" w14:textId="54DFFB14" w:rsidR="00A60E54" w:rsidRPr="00B74F02" w:rsidRDefault="00A60E54" w:rsidP="00A60E54">
      <w:pPr>
        <w:rPr>
          <w:rFonts w:cs="Times New Roman"/>
          <w:b/>
          <w:bCs/>
          <w:sz w:val="18"/>
          <w:szCs w:val="18"/>
        </w:rPr>
      </w:pPr>
      <w:r w:rsidRPr="00B74F02">
        <w:rPr>
          <w:rFonts w:cs="Times New Roman"/>
          <w:b/>
          <w:bCs/>
          <w:sz w:val="18"/>
          <w:szCs w:val="18"/>
        </w:rPr>
        <w:t>Tags:</w:t>
      </w:r>
      <w:r w:rsidR="00B74F02" w:rsidRPr="00B74F02">
        <w:rPr>
          <w:rFonts w:cs="Times New Roman"/>
          <w:b/>
          <w:bCs/>
          <w:sz w:val="18"/>
          <w:szCs w:val="18"/>
        </w:rPr>
        <w:t xml:space="preserve"> regulación farmacéutica, acceso a fármacos, regulación de medicamentos en Canadá</w:t>
      </w:r>
    </w:p>
    <w:p w14:paraId="148BAE0D" w14:textId="77777777" w:rsidR="00A60E54" w:rsidRDefault="00A60E54" w:rsidP="00A60E54">
      <w:pPr>
        <w:rPr>
          <w:rFonts w:cs="Times New Roman"/>
          <w:szCs w:val="20"/>
        </w:rPr>
      </w:pPr>
    </w:p>
    <w:p w14:paraId="784EFD42" w14:textId="77777777" w:rsidR="00A60E54" w:rsidRPr="00A60E54" w:rsidRDefault="00A60E54" w:rsidP="00A60E54">
      <w:pPr>
        <w:rPr>
          <w:rFonts w:eastAsia="Times New Roman" w:cs="Times New Roman"/>
          <w:b/>
          <w:bCs/>
          <w:color w:val="0D0D0D" w:themeColor="text1" w:themeTint="F2"/>
          <w:szCs w:val="20"/>
        </w:rPr>
      </w:pPr>
      <w:r w:rsidRPr="00A60E54">
        <w:rPr>
          <w:rFonts w:eastAsia="Times New Roman" w:cs="Times New Roman"/>
          <w:b/>
          <w:bCs/>
          <w:color w:val="0D0D0D" w:themeColor="text1" w:themeTint="F2"/>
          <w:szCs w:val="20"/>
        </w:rPr>
        <w:t>Resumen</w:t>
      </w:r>
    </w:p>
    <w:p w14:paraId="5C1B3CF8" w14:textId="77777777" w:rsidR="00140BE1" w:rsidRDefault="00A60E54" w:rsidP="00A60E54">
      <w:pPr>
        <w:rPr>
          <w:rFonts w:eastAsia="Times New Roman" w:cs="Times New Roman"/>
          <w:color w:val="0D0D0D" w:themeColor="text1" w:themeTint="F2"/>
          <w:szCs w:val="20"/>
        </w:rPr>
      </w:pPr>
      <w:r w:rsidRPr="00A60E54">
        <w:rPr>
          <w:rFonts w:eastAsia="Times New Roman" w:cs="Times New Roman"/>
          <w:color w:val="0D0D0D" w:themeColor="text1" w:themeTint="F2"/>
          <w:szCs w:val="20"/>
        </w:rPr>
        <w:t xml:space="preserve">El gobierno federal de Canadá propuso recientemente que </w:t>
      </w:r>
      <w:proofErr w:type="spellStart"/>
      <w:r w:rsidRPr="00DD4ADE">
        <w:rPr>
          <w:rFonts w:eastAsia="Times New Roman" w:cs="Times New Roman"/>
          <w:i/>
          <w:iCs/>
          <w:color w:val="0D0D0D" w:themeColor="text1" w:themeTint="F2"/>
          <w:szCs w:val="20"/>
        </w:rPr>
        <w:t>Health</w:t>
      </w:r>
      <w:proofErr w:type="spellEnd"/>
      <w:r w:rsidRPr="00DD4ADE">
        <w:rPr>
          <w:rFonts w:eastAsia="Times New Roman" w:cs="Times New Roman"/>
          <w:i/>
          <w:iCs/>
          <w:color w:val="0D0D0D" w:themeColor="text1" w:themeTint="F2"/>
          <w:szCs w:val="20"/>
        </w:rPr>
        <w:t xml:space="preserve"> </w:t>
      </w:r>
      <w:proofErr w:type="spellStart"/>
      <w:r w:rsidRPr="00DD4ADE">
        <w:rPr>
          <w:rFonts w:eastAsia="Times New Roman" w:cs="Times New Roman"/>
          <w:i/>
          <w:iCs/>
          <w:color w:val="0D0D0D" w:themeColor="text1" w:themeTint="F2"/>
          <w:szCs w:val="20"/>
        </w:rPr>
        <w:t>Canada</w:t>
      </w:r>
      <w:proofErr w:type="spellEnd"/>
      <w:r w:rsidRPr="00A60E54">
        <w:rPr>
          <w:rFonts w:eastAsia="Times New Roman" w:cs="Times New Roman"/>
          <w:color w:val="0D0D0D" w:themeColor="text1" w:themeTint="F2"/>
          <w:szCs w:val="20"/>
        </w:rPr>
        <w:t xml:space="preserve"> considere </w:t>
      </w:r>
      <w:r w:rsidR="004D63D3">
        <w:rPr>
          <w:rFonts w:eastAsia="Times New Roman" w:cs="Times New Roman"/>
          <w:color w:val="0D0D0D" w:themeColor="text1" w:themeTint="F2"/>
          <w:szCs w:val="20"/>
        </w:rPr>
        <w:t>que se han cumplido</w:t>
      </w:r>
      <w:r w:rsidRPr="00A60E54">
        <w:rPr>
          <w:rFonts w:eastAsia="Times New Roman" w:cs="Times New Roman"/>
          <w:color w:val="0D0D0D" w:themeColor="text1" w:themeTint="F2"/>
          <w:szCs w:val="20"/>
        </w:rPr>
        <w:t xml:space="preserve"> ciertos requisitos de </w:t>
      </w:r>
      <w:r w:rsidR="004D63D3">
        <w:rPr>
          <w:rFonts w:eastAsia="Times New Roman" w:cs="Times New Roman"/>
          <w:color w:val="0D0D0D" w:themeColor="text1" w:themeTint="F2"/>
          <w:szCs w:val="20"/>
        </w:rPr>
        <w:t xml:space="preserve">la </w:t>
      </w:r>
      <w:r w:rsidRPr="00A60E54">
        <w:rPr>
          <w:rFonts w:eastAsia="Times New Roman" w:cs="Times New Roman"/>
          <w:color w:val="0D0D0D" w:themeColor="text1" w:themeTint="F2"/>
          <w:szCs w:val="20"/>
        </w:rPr>
        <w:t xml:space="preserve">presentación de </w:t>
      </w:r>
      <w:r w:rsidR="004D63D3">
        <w:rPr>
          <w:rFonts w:eastAsia="Times New Roman" w:cs="Times New Roman"/>
          <w:color w:val="0D0D0D" w:themeColor="text1" w:themeTint="F2"/>
          <w:szCs w:val="20"/>
        </w:rPr>
        <w:t xml:space="preserve">solicitudes de comercialización de </w:t>
      </w:r>
      <w:r w:rsidRPr="00A60E54">
        <w:rPr>
          <w:rFonts w:eastAsia="Times New Roman" w:cs="Times New Roman"/>
          <w:color w:val="0D0D0D" w:themeColor="text1" w:themeTint="F2"/>
          <w:szCs w:val="20"/>
        </w:rPr>
        <w:t xml:space="preserve">medicamentos en </w:t>
      </w:r>
      <w:r w:rsidR="004D63D3">
        <w:rPr>
          <w:rFonts w:eastAsia="Times New Roman" w:cs="Times New Roman"/>
          <w:color w:val="0D0D0D" w:themeColor="text1" w:themeTint="F2"/>
          <w:szCs w:val="20"/>
        </w:rPr>
        <w:t xml:space="preserve">base a </w:t>
      </w:r>
      <w:r w:rsidR="00DD4ADE">
        <w:rPr>
          <w:rFonts w:eastAsia="Times New Roman" w:cs="Times New Roman"/>
          <w:color w:val="0D0D0D" w:themeColor="text1" w:themeTint="F2"/>
          <w:szCs w:val="20"/>
        </w:rPr>
        <w:t xml:space="preserve">las </w:t>
      </w:r>
      <w:r w:rsidRPr="00A60E54">
        <w:rPr>
          <w:rFonts w:eastAsia="Times New Roman" w:cs="Times New Roman"/>
          <w:color w:val="0D0D0D" w:themeColor="text1" w:themeTint="F2"/>
          <w:szCs w:val="20"/>
        </w:rPr>
        <w:t xml:space="preserve">decisiones de reguladores extranjeros. </w:t>
      </w:r>
    </w:p>
    <w:p w14:paraId="192B591F" w14:textId="77777777" w:rsidR="00140BE1" w:rsidRDefault="00140BE1" w:rsidP="00A60E54">
      <w:pPr>
        <w:rPr>
          <w:rFonts w:eastAsia="Times New Roman" w:cs="Times New Roman"/>
          <w:color w:val="0D0D0D" w:themeColor="text1" w:themeTint="F2"/>
          <w:szCs w:val="20"/>
        </w:rPr>
      </w:pPr>
    </w:p>
    <w:p w14:paraId="0138A7E4" w14:textId="77777777" w:rsidR="00140BE1" w:rsidRDefault="00A60E54" w:rsidP="00A60E54">
      <w:pPr>
        <w:rPr>
          <w:rFonts w:eastAsia="Times New Roman" w:cs="Times New Roman"/>
          <w:color w:val="0D0D0D" w:themeColor="text1" w:themeTint="F2"/>
          <w:szCs w:val="20"/>
        </w:rPr>
      </w:pPr>
      <w:r w:rsidRPr="00A60E54">
        <w:rPr>
          <w:rFonts w:eastAsia="Times New Roman" w:cs="Times New Roman"/>
          <w:color w:val="0D0D0D" w:themeColor="text1" w:themeTint="F2"/>
          <w:szCs w:val="20"/>
        </w:rPr>
        <w:t xml:space="preserve">Quienes apoyan esta propuesta la presentan como una solución </w:t>
      </w:r>
    </w:p>
    <w:p w14:paraId="2E3E3D98" w14:textId="24CDAB7D" w:rsidR="00140BE1" w:rsidRDefault="00A60E54" w:rsidP="00A60E54">
      <w:pPr>
        <w:rPr>
          <w:rFonts w:eastAsia="Times New Roman" w:cs="Times New Roman"/>
          <w:color w:val="0D0D0D" w:themeColor="text1" w:themeTint="F2"/>
          <w:szCs w:val="20"/>
        </w:rPr>
      </w:pPr>
      <w:r w:rsidRPr="00A60E54">
        <w:rPr>
          <w:rFonts w:eastAsia="Times New Roman" w:cs="Times New Roman"/>
          <w:color w:val="0D0D0D" w:themeColor="text1" w:themeTint="F2"/>
          <w:szCs w:val="20"/>
        </w:rPr>
        <w:t>a</w:t>
      </w:r>
      <w:r w:rsidR="004D63D3">
        <w:rPr>
          <w:rFonts w:eastAsia="Times New Roman" w:cs="Times New Roman"/>
          <w:color w:val="0D0D0D" w:themeColor="text1" w:themeTint="F2"/>
          <w:szCs w:val="20"/>
        </w:rPr>
        <w:t>l retraso</w:t>
      </w:r>
      <w:r w:rsidRPr="00A60E54">
        <w:rPr>
          <w:rFonts w:eastAsia="Times New Roman" w:cs="Times New Roman"/>
          <w:color w:val="0D0D0D" w:themeColor="text1" w:themeTint="F2"/>
          <w:szCs w:val="20"/>
        </w:rPr>
        <w:t xml:space="preserve"> en el acceso a medicamentos</w:t>
      </w:r>
      <w:r w:rsidR="004D63D3">
        <w:rPr>
          <w:rFonts w:eastAsia="Times New Roman" w:cs="Times New Roman"/>
          <w:color w:val="0D0D0D" w:themeColor="text1" w:themeTint="F2"/>
          <w:szCs w:val="20"/>
        </w:rPr>
        <w:t xml:space="preserve"> nuevos</w:t>
      </w:r>
      <w:r w:rsidRPr="00A60E54">
        <w:rPr>
          <w:rFonts w:eastAsia="Times New Roman" w:cs="Times New Roman"/>
          <w:color w:val="0D0D0D" w:themeColor="text1" w:themeTint="F2"/>
          <w:szCs w:val="20"/>
        </w:rPr>
        <w:t xml:space="preserve">. Sin embargo, los factores que </w:t>
      </w:r>
      <w:r w:rsidR="004D63D3">
        <w:rPr>
          <w:rFonts w:eastAsia="Times New Roman" w:cs="Times New Roman"/>
          <w:color w:val="0D0D0D" w:themeColor="text1" w:themeTint="F2"/>
          <w:szCs w:val="20"/>
        </w:rPr>
        <w:t xml:space="preserve">más </w:t>
      </w:r>
      <w:r w:rsidRPr="00A60E54">
        <w:rPr>
          <w:rFonts w:eastAsia="Times New Roman" w:cs="Times New Roman"/>
          <w:color w:val="0D0D0D" w:themeColor="text1" w:themeTint="F2"/>
          <w:szCs w:val="20"/>
        </w:rPr>
        <w:t xml:space="preserve">contribuyen al retraso en el acceso a nuevos medicamentos en Canadá </w:t>
      </w:r>
      <w:r w:rsidR="004D63D3">
        <w:rPr>
          <w:rFonts w:eastAsia="Times New Roman" w:cs="Times New Roman"/>
          <w:color w:val="0D0D0D" w:themeColor="text1" w:themeTint="F2"/>
          <w:szCs w:val="20"/>
        </w:rPr>
        <w:t xml:space="preserve">tienen que ver con </w:t>
      </w:r>
      <w:r w:rsidRPr="00A60E54">
        <w:rPr>
          <w:rFonts w:eastAsia="Times New Roman" w:cs="Times New Roman"/>
          <w:color w:val="0D0D0D" w:themeColor="text1" w:themeTint="F2"/>
          <w:szCs w:val="20"/>
        </w:rPr>
        <w:t xml:space="preserve">las presentaciones </w:t>
      </w:r>
      <w:r w:rsidRPr="00A60E54">
        <w:rPr>
          <w:rFonts w:eastAsia="Times New Roman" w:cs="Times New Roman"/>
          <w:color w:val="0D0D0D" w:themeColor="text1" w:themeTint="F2"/>
          <w:szCs w:val="20"/>
        </w:rPr>
        <w:t xml:space="preserve">tardías de los fabricantes y </w:t>
      </w:r>
      <w:r w:rsidR="004D63D3">
        <w:rPr>
          <w:rFonts w:eastAsia="Times New Roman" w:cs="Times New Roman"/>
          <w:color w:val="0D0D0D" w:themeColor="text1" w:themeTint="F2"/>
          <w:szCs w:val="20"/>
        </w:rPr>
        <w:t xml:space="preserve">con </w:t>
      </w:r>
      <w:r w:rsidRPr="00A60E54">
        <w:rPr>
          <w:rFonts w:eastAsia="Times New Roman" w:cs="Times New Roman"/>
          <w:color w:val="0D0D0D" w:themeColor="text1" w:themeTint="F2"/>
          <w:szCs w:val="20"/>
        </w:rPr>
        <w:t>los prolongados proceso</w:t>
      </w:r>
      <w:r w:rsidR="004D63D3">
        <w:rPr>
          <w:rFonts w:eastAsia="Times New Roman" w:cs="Times New Roman"/>
          <w:color w:val="0D0D0D" w:themeColor="text1" w:themeTint="F2"/>
          <w:szCs w:val="20"/>
        </w:rPr>
        <w:t>s para determinar el</w:t>
      </w:r>
      <w:r w:rsidRPr="00A60E54">
        <w:rPr>
          <w:rFonts w:eastAsia="Times New Roman" w:cs="Times New Roman"/>
          <w:color w:val="0D0D0D" w:themeColor="text1" w:themeTint="F2"/>
          <w:szCs w:val="20"/>
        </w:rPr>
        <w:t xml:space="preserve"> reembolso público</w:t>
      </w:r>
      <w:r w:rsidR="004D63D3">
        <w:rPr>
          <w:rFonts w:eastAsia="Times New Roman" w:cs="Times New Roman"/>
          <w:color w:val="0D0D0D" w:themeColor="text1" w:themeTint="F2"/>
          <w:szCs w:val="20"/>
        </w:rPr>
        <w:t xml:space="preserve"> de los medicamentos</w:t>
      </w:r>
      <w:r w:rsidRPr="00A60E54">
        <w:rPr>
          <w:rFonts w:eastAsia="Times New Roman" w:cs="Times New Roman"/>
          <w:color w:val="0D0D0D" w:themeColor="text1" w:themeTint="F2"/>
          <w:szCs w:val="20"/>
        </w:rPr>
        <w:t xml:space="preserve">, no </w:t>
      </w:r>
      <w:r w:rsidR="004D63D3">
        <w:rPr>
          <w:rFonts w:eastAsia="Times New Roman" w:cs="Times New Roman"/>
          <w:color w:val="0D0D0D" w:themeColor="text1" w:themeTint="F2"/>
          <w:szCs w:val="20"/>
        </w:rPr>
        <w:t xml:space="preserve">con </w:t>
      </w:r>
    </w:p>
    <w:p w14:paraId="4A0EE098" w14:textId="2F06AD97" w:rsidR="00DD4ADE" w:rsidRDefault="00A60E54" w:rsidP="00A60E54">
      <w:pPr>
        <w:rPr>
          <w:rFonts w:eastAsia="Times New Roman" w:cs="Times New Roman"/>
          <w:color w:val="0D0D0D" w:themeColor="text1" w:themeTint="F2"/>
          <w:szCs w:val="20"/>
        </w:rPr>
      </w:pPr>
      <w:r w:rsidRPr="00A60E54">
        <w:rPr>
          <w:rFonts w:eastAsia="Times New Roman" w:cs="Times New Roman"/>
          <w:color w:val="0D0D0D" w:themeColor="text1" w:themeTint="F2"/>
          <w:szCs w:val="20"/>
        </w:rPr>
        <w:t xml:space="preserve">los tiempos de revisión regulatoria. </w:t>
      </w:r>
    </w:p>
    <w:p w14:paraId="0133D6CA" w14:textId="77777777" w:rsidR="00DD4ADE" w:rsidRDefault="00DD4ADE" w:rsidP="00A60E54">
      <w:pPr>
        <w:rPr>
          <w:rFonts w:eastAsia="Times New Roman" w:cs="Times New Roman"/>
          <w:color w:val="0D0D0D" w:themeColor="text1" w:themeTint="F2"/>
          <w:szCs w:val="20"/>
        </w:rPr>
      </w:pPr>
    </w:p>
    <w:p w14:paraId="109572F3" w14:textId="77777777" w:rsidR="00140BE1" w:rsidRDefault="00A60E54" w:rsidP="00A60E54">
      <w:pPr>
        <w:rPr>
          <w:rFonts w:eastAsia="Times New Roman" w:cs="Times New Roman"/>
          <w:color w:val="0D0D0D" w:themeColor="text1" w:themeTint="F2"/>
          <w:szCs w:val="20"/>
        </w:rPr>
      </w:pPr>
      <w:r w:rsidRPr="00A60E54">
        <w:rPr>
          <w:rFonts w:eastAsia="Times New Roman" w:cs="Times New Roman"/>
          <w:color w:val="0D0D0D" w:themeColor="text1" w:themeTint="F2"/>
          <w:szCs w:val="20"/>
        </w:rPr>
        <w:t>Este comentario</w:t>
      </w:r>
      <w:r w:rsidR="00DD4ADE">
        <w:rPr>
          <w:rFonts w:eastAsia="Times New Roman" w:cs="Times New Roman"/>
          <w:color w:val="0D0D0D" w:themeColor="text1" w:themeTint="F2"/>
          <w:szCs w:val="20"/>
        </w:rPr>
        <w:t xml:space="preserve"> [sobre la regulación</w:t>
      </w:r>
      <w:r w:rsidR="00781FF0">
        <w:rPr>
          <w:rFonts w:eastAsia="Times New Roman" w:cs="Times New Roman"/>
          <w:color w:val="0D0D0D" w:themeColor="text1" w:themeTint="F2"/>
          <w:szCs w:val="20"/>
        </w:rPr>
        <w:t xml:space="preserve"> farmacéutica canadiense</w:t>
      </w:r>
      <w:r w:rsidR="00DD4ADE">
        <w:rPr>
          <w:rFonts w:eastAsia="Times New Roman" w:cs="Times New Roman"/>
          <w:color w:val="0D0D0D" w:themeColor="text1" w:themeTint="F2"/>
          <w:szCs w:val="20"/>
        </w:rPr>
        <w:t>]</w:t>
      </w:r>
      <w:r w:rsidRPr="00A60E54">
        <w:rPr>
          <w:rFonts w:eastAsia="Times New Roman" w:cs="Times New Roman"/>
          <w:color w:val="0D0D0D" w:themeColor="text1" w:themeTint="F2"/>
          <w:szCs w:val="20"/>
        </w:rPr>
        <w:t xml:space="preserve"> argumenta que la propuesta apunta a la etapa equivocada </w:t>
      </w:r>
      <w:r w:rsidR="004D63D3">
        <w:rPr>
          <w:rFonts w:eastAsia="Times New Roman" w:cs="Times New Roman"/>
          <w:color w:val="0D0D0D" w:themeColor="text1" w:themeTint="F2"/>
          <w:szCs w:val="20"/>
        </w:rPr>
        <w:t xml:space="preserve">en </w:t>
      </w:r>
      <w:r w:rsidRPr="00A60E54">
        <w:rPr>
          <w:rFonts w:eastAsia="Times New Roman" w:cs="Times New Roman"/>
          <w:color w:val="0D0D0D" w:themeColor="text1" w:themeTint="F2"/>
          <w:szCs w:val="20"/>
        </w:rPr>
        <w:t>el proceso</w:t>
      </w:r>
      <w:r w:rsidR="004D63D3">
        <w:rPr>
          <w:rFonts w:eastAsia="Times New Roman" w:cs="Times New Roman"/>
          <w:color w:val="0D0D0D" w:themeColor="text1" w:themeTint="F2"/>
          <w:szCs w:val="20"/>
        </w:rPr>
        <w:t xml:space="preserve"> para lograr el</w:t>
      </w:r>
      <w:r w:rsidRPr="00A60E54">
        <w:rPr>
          <w:rFonts w:eastAsia="Times New Roman" w:cs="Times New Roman"/>
          <w:color w:val="0D0D0D" w:themeColor="text1" w:themeTint="F2"/>
          <w:szCs w:val="20"/>
        </w:rPr>
        <w:t xml:space="preserve"> acceso. </w:t>
      </w:r>
    </w:p>
    <w:p w14:paraId="2D2EFB8A" w14:textId="77777777" w:rsidR="00140BE1" w:rsidRDefault="00140BE1" w:rsidP="00A60E54">
      <w:pPr>
        <w:rPr>
          <w:rFonts w:eastAsia="Times New Roman" w:cs="Times New Roman"/>
          <w:color w:val="0D0D0D" w:themeColor="text1" w:themeTint="F2"/>
          <w:szCs w:val="20"/>
        </w:rPr>
      </w:pPr>
    </w:p>
    <w:p w14:paraId="24A883DF" w14:textId="50677CE3" w:rsidR="00A60E54" w:rsidRPr="00A60E54" w:rsidRDefault="00A60E54" w:rsidP="00A60E54">
      <w:pPr>
        <w:rPr>
          <w:rFonts w:eastAsia="Times New Roman" w:cs="Times New Roman"/>
          <w:color w:val="0D0D0D" w:themeColor="text1" w:themeTint="F2"/>
          <w:szCs w:val="20"/>
        </w:rPr>
      </w:pPr>
      <w:r w:rsidRPr="00A60E54">
        <w:rPr>
          <w:rFonts w:eastAsia="Times New Roman" w:cs="Times New Roman"/>
          <w:color w:val="0D0D0D" w:themeColor="text1" w:themeTint="F2"/>
          <w:szCs w:val="20"/>
        </w:rPr>
        <w:t xml:space="preserve">Proponemos alternativas viables </w:t>
      </w:r>
      <w:r w:rsidR="00DD4ADE">
        <w:rPr>
          <w:rFonts w:eastAsia="Times New Roman" w:cs="Times New Roman"/>
          <w:color w:val="0D0D0D" w:themeColor="text1" w:themeTint="F2"/>
          <w:szCs w:val="20"/>
        </w:rPr>
        <w:t>(</w:t>
      </w:r>
      <w:r w:rsidRPr="00A60E54">
        <w:rPr>
          <w:rFonts w:eastAsia="Times New Roman" w:cs="Times New Roman"/>
          <w:color w:val="0D0D0D" w:themeColor="text1" w:themeTint="F2"/>
          <w:szCs w:val="20"/>
        </w:rPr>
        <w:t>incentivos para la presentación temprana</w:t>
      </w:r>
      <w:r w:rsidR="004D63D3">
        <w:rPr>
          <w:rFonts w:eastAsia="Times New Roman" w:cs="Times New Roman"/>
          <w:color w:val="0D0D0D" w:themeColor="text1" w:themeTint="F2"/>
          <w:szCs w:val="20"/>
        </w:rPr>
        <w:t xml:space="preserve"> de las solicitudes de comercialización</w:t>
      </w:r>
      <w:r w:rsidRPr="00A60E54">
        <w:rPr>
          <w:rFonts w:eastAsia="Times New Roman" w:cs="Times New Roman"/>
          <w:color w:val="0D0D0D" w:themeColor="text1" w:themeTint="F2"/>
          <w:szCs w:val="20"/>
        </w:rPr>
        <w:t>, plazos de reembolso exigibles y una lista predeterminada a nivel nacional</w:t>
      </w:r>
      <w:r w:rsidR="00781FF0">
        <w:rPr>
          <w:rFonts w:eastAsia="Times New Roman" w:cs="Times New Roman"/>
          <w:color w:val="0D0D0D" w:themeColor="text1" w:themeTint="F2"/>
          <w:szCs w:val="20"/>
        </w:rPr>
        <w:t>),</w:t>
      </w:r>
      <w:r w:rsidRPr="00A60E54">
        <w:rPr>
          <w:rFonts w:eastAsia="Times New Roman" w:cs="Times New Roman"/>
          <w:color w:val="0D0D0D" w:themeColor="text1" w:themeTint="F2"/>
          <w:szCs w:val="20"/>
        </w:rPr>
        <w:t xml:space="preserve"> que acelerarían significativamente el acceso de los pacientes a nuevas terapias en Canadá.</w:t>
      </w:r>
    </w:p>
    <w:p w14:paraId="7BB709F9" w14:textId="77777777" w:rsidR="00140BE1" w:rsidRDefault="00140BE1" w:rsidP="00A60E54">
      <w:pPr>
        <w:rPr>
          <w:rFonts w:eastAsia="Times New Roman" w:cs="Times New Roman"/>
          <w:color w:val="0D0D0D" w:themeColor="text1" w:themeTint="F2"/>
          <w:szCs w:val="20"/>
        </w:rPr>
        <w:sectPr w:rsidR="00140BE1" w:rsidSect="00140BE1">
          <w:type w:val="continuous"/>
          <w:pgSz w:w="12240" w:h="15840" w:code="1"/>
          <w:pgMar w:top="720" w:right="720" w:bottom="720" w:left="720" w:header="288" w:footer="288" w:gutter="0"/>
          <w:cols w:num="2" w:space="288"/>
          <w:docGrid w:linePitch="360"/>
        </w:sectPr>
      </w:pPr>
    </w:p>
    <w:p w14:paraId="0C7D33F6" w14:textId="0DE094BF" w:rsidR="00A60E54" w:rsidRPr="00A60E54" w:rsidRDefault="00A60E54" w:rsidP="00A60E54">
      <w:pPr>
        <w:rPr>
          <w:rFonts w:eastAsia="Times New Roman" w:cs="Times New Roman"/>
          <w:color w:val="0D0D0D" w:themeColor="text1" w:themeTint="F2"/>
          <w:szCs w:val="20"/>
        </w:rPr>
      </w:pPr>
    </w:p>
    <w:p w14:paraId="60BC0B18" w14:textId="359D0497" w:rsidR="00A60E54" w:rsidRDefault="00A60E54" w:rsidP="00B24E0B">
      <w:pPr>
        <w:jc w:val="center"/>
        <w:rPr>
          <w:rFonts w:eastAsia="Times New Roman" w:cs="Times New Roman"/>
          <w:color w:val="0D0D0D" w:themeColor="text1" w:themeTint="F2"/>
          <w:szCs w:val="20"/>
        </w:rPr>
      </w:pPr>
    </w:p>
    <w:p w14:paraId="63C5D7D7" w14:textId="37F63BC8" w:rsidR="00140BE1" w:rsidRDefault="00140BE1" w:rsidP="00B24E0B">
      <w:pPr>
        <w:jc w:val="center"/>
        <w:rPr>
          <w:rFonts w:eastAsia="Times New Roman" w:cs="Times New Roman"/>
          <w:color w:val="0D0D0D" w:themeColor="text1" w:themeTint="F2"/>
          <w:szCs w:val="20"/>
        </w:rPr>
      </w:pPr>
    </w:p>
    <w:p w14:paraId="7C6037FA" w14:textId="1250673C" w:rsidR="00140BE1" w:rsidRDefault="00140BE1" w:rsidP="00B24E0B">
      <w:pPr>
        <w:jc w:val="center"/>
        <w:rPr>
          <w:rFonts w:eastAsia="Times New Roman" w:cs="Times New Roman"/>
          <w:color w:val="0D0D0D" w:themeColor="text1" w:themeTint="F2"/>
          <w:szCs w:val="20"/>
        </w:rPr>
      </w:pPr>
    </w:p>
    <w:p w14:paraId="3195348D" w14:textId="440DD133" w:rsidR="00140BE1" w:rsidRDefault="00140BE1" w:rsidP="00B24E0B">
      <w:pPr>
        <w:jc w:val="center"/>
        <w:rPr>
          <w:rFonts w:eastAsia="Times New Roman" w:cs="Times New Roman"/>
          <w:color w:val="0D0D0D" w:themeColor="text1" w:themeTint="F2"/>
          <w:szCs w:val="20"/>
        </w:rPr>
      </w:pPr>
    </w:p>
    <w:p w14:paraId="611F7268" w14:textId="0E74FAAB" w:rsidR="00140BE1" w:rsidRDefault="00140BE1" w:rsidP="00B24E0B">
      <w:pPr>
        <w:jc w:val="center"/>
        <w:rPr>
          <w:rFonts w:eastAsia="Times New Roman" w:cs="Times New Roman"/>
          <w:color w:val="0D0D0D" w:themeColor="text1" w:themeTint="F2"/>
          <w:szCs w:val="20"/>
        </w:rPr>
      </w:pPr>
    </w:p>
    <w:p w14:paraId="68FCDD20" w14:textId="77777777" w:rsidR="00140BE1" w:rsidRPr="00A60E54" w:rsidRDefault="00140BE1" w:rsidP="00B24E0B">
      <w:pPr>
        <w:jc w:val="center"/>
        <w:rPr>
          <w:rFonts w:eastAsia="Times New Roman" w:cs="Times New Roman"/>
          <w:color w:val="0D0D0D" w:themeColor="text1" w:themeTint="F2"/>
          <w:szCs w:val="20"/>
        </w:rPr>
      </w:pPr>
    </w:p>
    <w:p w14:paraId="49C91DA5" w14:textId="3BC4A171" w:rsidR="000F1CD4" w:rsidRPr="006C75A6" w:rsidRDefault="000F1CD4" w:rsidP="00B24E0B">
      <w:pPr>
        <w:jc w:val="center"/>
        <w:rPr>
          <w:rFonts w:eastAsia="Times New Roman" w:cs="Times New Roman"/>
          <w:b/>
          <w:bCs/>
          <w:color w:val="0D0D0D" w:themeColor="text1" w:themeTint="F2"/>
          <w:szCs w:val="20"/>
        </w:rPr>
      </w:pPr>
      <w:r>
        <w:rPr>
          <w:rFonts w:eastAsia="Times New Roman" w:cs="Times New Roman"/>
          <w:color w:val="0D0D0D" w:themeColor="text1" w:themeTint="F2"/>
          <w:szCs w:val="20"/>
        </w:rPr>
        <w:lastRenderedPageBreak/>
        <w:t xml:space="preserve">Canadá. </w:t>
      </w:r>
      <w:r w:rsidR="006C75A6" w:rsidRPr="006C75A6">
        <w:rPr>
          <w:rFonts w:eastAsia="Times New Roman" w:cs="Times New Roman"/>
          <w:b/>
          <w:bCs/>
          <w:color w:val="0D0D0D" w:themeColor="text1" w:themeTint="F2"/>
          <w:szCs w:val="20"/>
        </w:rPr>
        <w:t xml:space="preserve">Informes de </w:t>
      </w:r>
      <w:proofErr w:type="spellStart"/>
      <w:r w:rsidR="006C75A6" w:rsidRPr="006C75A6">
        <w:rPr>
          <w:rFonts w:eastAsia="Times New Roman" w:cs="Times New Roman"/>
          <w:b/>
          <w:bCs/>
          <w:color w:val="0D0D0D" w:themeColor="text1" w:themeTint="F2"/>
          <w:szCs w:val="20"/>
        </w:rPr>
        <w:t>Health</w:t>
      </w:r>
      <w:proofErr w:type="spellEnd"/>
      <w:r w:rsidR="006C75A6" w:rsidRPr="006C75A6">
        <w:rPr>
          <w:rFonts w:eastAsia="Times New Roman" w:cs="Times New Roman"/>
          <w:b/>
          <w:bCs/>
          <w:color w:val="0D0D0D" w:themeColor="text1" w:themeTint="F2"/>
          <w:szCs w:val="20"/>
        </w:rPr>
        <w:t xml:space="preserve"> </w:t>
      </w:r>
      <w:proofErr w:type="spellStart"/>
      <w:r w:rsidR="006C75A6" w:rsidRPr="006C75A6">
        <w:rPr>
          <w:rFonts w:eastAsia="Times New Roman" w:cs="Times New Roman"/>
          <w:b/>
          <w:bCs/>
          <w:color w:val="0D0D0D" w:themeColor="text1" w:themeTint="F2"/>
          <w:szCs w:val="20"/>
        </w:rPr>
        <w:t>Canada</w:t>
      </w:r>
      <w:proofErr w:type="spellEnd"/>
      <w:r w:rsidR="006C75A6" w:rsidRPr="006C75A6">
        <w:rPr>
          <w:rFonts w:eastAsia="Times New Roman" w:cs="Times New Roman"/>
          <w:b/>
          <w:bCs/>
          <w:color w:val="0D0D0D" w:themeColor="text1" w:themeTint="F2"/>
          <w:szCs w:val="20"/>
        </w:rPr>
        <w:t xml:space="preserve"> sobre la calidad de vida en relación con los medicamentos oncológicos</w:t>
      </w:r>
    </w:p>
    <w:p w14:paraId="0109A53D" w14:textId="5EB6F4F6" w:rsidR="000F1CD4" w:rsidRDefault="000F1CD4" w:rsidP="006C75A6">
      <w:pPr>
        <w:jc w:val="center"/>
        <w:rPr>
          <w:rFonts w:eastAsia="Times New Roman" w:cs="Times New Roman"/>
          <w:i/>
          <w:iCs/>
          <w:color w:val="0D0D0D" w:themeColor="text1" w:themeTint="F2"/>
          <w:szCs w:val="20"/>
          <w:lang w:val="en-US"/>
        </w:rPr>
      </w:pPr>
      <w:r w:rsidRPr="006C75A6">
        <w:rPr>
          <w:rFonts w:eastAsia="Times New Roman" w:cs="Times New Roman"/>
          <w:i/>
          <w:iCs/>
          <w:color w:val="0D0D0D" w:themeColor="text1" w:themeTint="F2"/>
          <w:szCs w:val="20"/>
          <w:lang w:val="en-US"/>
        </w:rPr>
        <w:t>(Health Canada reporting on quality of life for oncology drugs)</w:t>
      </w:r>
    </w:p>
    <w:p w14:paraId="2F96E67D" w14:textId="478432C8" w:rsidR="00003E6E" w:rsidRPr="00965958" w:rsidRDefault="00003E6E" w:rsidP="00965958">
      <w:pPr>
        <w:jc w:val="center"/>
        <w:rPr>
          <w:rFonts w:cs="Times New Roman"/>
          <w:szCs w:val="20"/>
          <w:lang w:val="en-US"/>
        </w:rPr>
      </w:pPr>
      <w:r w:rsidRPr="003712A0">
        <w:rPr>
          <w:rFonts w:cs="Times New Roman"/>
          <w:szCs w:val="20"/>
          <w:lang w:val="en-US"/>
        </w:rPr>
        <w:t xml:space="preserve">J </w:t>
      </w:r>
      <w:proofErr w:type="spellStart"/>
      <w:r w:rsidRPr="003712A0">
        <w:rPr>
          <w:rFonts w:cs="Times New Roman"/>
          <w:szCs w:val="20"/>
          <w:lang w:val="en-US"/>
        </w:rPr>
        <w:t>Lexchin</w:t>
      </w:r>
      <w:proofErr w:type="spellEnd"/>
    </w:p>
    <w:p w14:paraId="3FA2E8EE" w14:textId="2F7B5096" w:rsidR="00003E6E" w:rsidRPr="00231582" w:rsidRDefault="00003E6E" w:rsidP="00BB42F5">
      <w:pPr>
        <w:jc w:val="center"/>
        <w:rPr>
          <w:rFonts w:eastAsia="Times New Roman" w:cs="Times New Roman"/>
          <w:i/>
          <w:iCs/>
          <w:color w:val="0D0D0D" w:themeColor="text1" w:themeTint="F2"/>
          <w:szCs w:val="20"/>
          <w:lang w:val="en-US"/>
        </w:rPr>
      </w:pPr>
      <w:r w:rsidRPr="00231582">
        <w:rPr>
          <w:rFonts w:eastAsia="Times New Roman" w:cs="Times New Roman"/>
          <w:i/>
          <w:iCs/>
          <w:color w:val="0D0D0D" w:themeColor="text1" w:themeTint="F2"/>
          <w:szCs w:val="20"/>
          <w:lang w:val="en-US"/>
        </w:rPr>
        <w:t>Journal of Cancer Policy 2025</w:t>
      </w:r>
      <w:r w:rsidR="00C45E5B" w:rsidRPr="00231582">
        <w:rPr>
          <w:rFonts w:eastAsia="Times New Roman" w:cs="Times New Roman"/>
          <w:i/>
          <w:iCs/>
          <w:color w:val="0D0D0D" w:themeColor="text1" w:themeTint="F2"/>
          <w:szCs w:val="20"/>
          <w:lang w:val="en-US"/>
        </w:rPr>
        <w:t>; 44,</w:t>
      </w:r>
      <w:r w:rsidRPr="00231582">
        <w:rPr>
          <w:rFonts w:eastAsia="Times New Roman" w:cs="Times New Roman"/>
          <w:i/>
          <w:iCs/>
          <w:color w:val="0D0D0D" w:themeColor="text1" w:themeTint="F2"/>
          <w:szCs w:val="20"/>
          <w:lang w:val="en-US"/>
        </w:rPr>
        <w:t xml:space="preserve"> 100594</w:t>
      </w:r>
      <w:r w:rsidR="00C45E5B" w:rsidRPr="00231582">
        <w:rPr>
          <w:rFonts w:eastAsia="Times New Roman" w:cs="Times New Roman"/>
          <w:i/>
          <w:iCs/>
          <w:color w:val="0D0D0D" w:themeColor="text1" w:themeTint="F2"/>
          <w:szCs w:val="20"/>
          <w:lang w:val="en-US"/>
        </w:rPr>
        <w:t xml:space="preserve"> </w:t>
      </w:r>
    </w:p>
    <w:p w14:paraId="664D2902" w14:textId="35F2D35A" w:rsidR="00BB42F5" w:rsidRPr="000E4B91" w:rsidRDefault="00BB42F5" w:rsidP="00BB42F5">
      <w:pPr>
        <w:jc w:val="center"/>
        <w:rPr>
          <w:rFonts w:cs="Times New Roman"/>
          <w:szCs w:val="20"/>
        </w:rPr>
      </w:pPr>
      <w:r>
        <w:rPr>
          <w:szCs w:val="20"/>
        </w:rPr>
        <w:t>T</w:t>
      </w:r>
      <w:r w:rsidRPr="007B5A3A">
        <w:rPr>
          <w:szCs w:val="20"/>
        </w:rPr>
        <w:t>raducido por Salud y Fármacos, publicado en</w:t>
      </w:r>
      <w:r w:rsidRPr="001900D6">
        <w:rPr>
          <w:i/>
          <w:iCs/>
          <w:szCs w:val="20"/>
        </w:rPr>
        <w:t xml:space="preserve"> Boletín Fármacos: </w:t>
      </w:r>
      <w:r>
        <w:rPr>
          <w:i/>
          <w:iCs/>
          <w:szCs w:val="20"/>
        </w:rPr>
        <w:t>Agen</w:t>
      </w:r>
      <w:r w:rsidRPr="001900D6">
        <w:rPr>
          <w:i/>
          <w:iCs/>
          <w:szCs w:val="20"/>
        </w:rPr>
        <w:t xml:space="preserve">cias </w:t>
      </w:r>
      <w:r>
        <w:rPr>
          <w:i/>
          <w:iCs/>
          <w:szCs w:val="20"/>
        </w:rPr>
        <w:t>Reguladoras</w:t>
      </w:r>
      <w:r w:rsidRPr="001900D6">
        <w:rPr>
          <w:i/>
          <w:iCs/>
          <w:szCs w:val="20"/>
        </w:rPr>
        <w:t xml:space="preserve"> 2026; 29(</w:t>
      </w:r>
      <w:r>
        <w:rPr>
          <w:i/>
          <w:iCs/>
          <w:szCs w:val="20"/>
        </w:rPr>
        <w:t>3</w:t>
      </w:r>
      <w:r w:rsidRPr="001900D6">
        <w:rPr>
          <w:i/>
          <w:iCs/>
          <w:szCs w:val="20"/>
        </w:rPr>
        <w:t>)</w:t>
      </w:r>
    </w:p>
    <w:p w14:paraId="70E95EBE" w14:textId="77777777" w:rsidR="00BB42F5" w:rsidRDefault="00BB42F5" w:rsidP="00BB42F5">
      <w:pPr>
        <w:jc w:val="center"/>
        <w:rPr>
          <w:rFonts w:eastAsia="Times New Roman" w:cs="Times New Roman"/>
          <w:b/>
          <w:bCs/>
          <w:color w:val="0D0D0D" w:themeColor="text1" w:themeTint="F2"/>
          <w:sz w:val="18"/>
          <w:szCs w:val="18"/>
        </w:rPr>
      </w:pPr>
    </w:p>
    <w:p w14:paraId="50CB132A" w14:textId="77777777" w:rsidR="00140BE1" w:rsidRDefault="00140BE1" w:rsidP="000F1CD4">
      <w:pPr>
        <w:rPr>
          <w:rFonts w:eastAsia="Times New Roman" w:cs="Times New Roman"/>
          <w:b/>
          <w:bCs/>
          <w:color w:val="0D0D0D" w:themeColor="text1" w:themeTint="F2"/>
          <w:sz w:val="18"/>
          <w:szCs w:val="18"/>
        </w:rPr>
        <w:sectPr w:rsidR="00140BE1" w:rsidSect="00F25512">
          <w:type w:val="continuous"/>
          <w:pgSz w:w="12240" w:h="15840" w:code="1"/>
          <w:pgMar w:top="720" w:right="720" w:bottom="720" w:left="720" w:header="288" w:footer="288" w:gutter="0"/>
          <w:cols w:space="288"/>
          <w:docGrid w:linePitch="360"/>
        </w:sectPr>
      </w:pPr>
    </w:p>
    <w:p w14:paraId="6A14D020" w14:textId="758D8242" w:rsidR="000F1CD4" w:rsidRPr="00BB42F5" w:rsidRDefault="00BB42F5" w:rsidP="000F1CD4">
      <w:pPr>
        <w:rPr>
          <w:rFonts w:eastAsia="Times New Roman" w:cs="Times New Roman"/>
          <w:b/>
          <w:bCs/>
          <w:color w:val="0D0D0D" w:themeColor="text1" w:themeTint="F2"/>
          <w:sz w:val="18"/>
          <w:szCs w:val="18"/>
        </w:rPr>
      </w:pPr>
      <w:r w:rsidRPr="00BB42F5">
        <w:rPr>
          <w:rFonts w:eastAsia="Times New Roman" w:cs="Times New Roman"/>
          <w:b/>
          <w:bCs/>
          <w:color w:val="0D0D0D" w:themeColor="text1" w:themeTint="F2"/>
          <w:sz w:val="18"/>
          <w:szCs w:val="18"/>
        </w:rPr>
        <w:t>Tags: calidad de vida y medicamentos oncológicos, aprobación de antineoplásicos, calidad de vida y fármacos contra el cáncer</w:t>
      </w:r>
    </w:p>
    <w:p w14:paraId="64E950BF" w14:textId="77777777" w:rsidR="00BB42F5" w:rsidRPr="00BB42F5" w:rsidRDefault="00BB42F5" w:rsidP="000F1CD4">
      <w:pPr>
        <w:rPr>
          <w:rFonts w:eastAsia="Times New Roman" w:cs="Times New Roman"/>
          <w:color w:val="0D0D0D" w:themeColor="text1" w:themeTint="F2"/>
          <w:szCs w:val="20"/>
        </w:rPr>
      </w:pPr>
    </w:p>
    <w:p w14:paraId="5953A13B" w14:textId="77777777" w:rsidR="00140BE1" w:rsidRDefault="00E758A8" w:rsidP="000F1CD4">
      <w:pPr>
        <w:rPr>
          <w:rFonts w:eastAsia="Times New Roman" w:cs="Times New Roman"/>
          <w:color w:val="0D0D0D" w:themeColor="text1" w:themeTint="F2"/>
          <w:szCs w:val="20"/>
        </w:rPr>
      </w:pPr>
      <w:r w:rsidRPr="00E758A8">
        <w:rPr>
          <w:rFonts w:eastAsia="Times New Roman" w:cs="Times New Roman"/>
          <w:b/>
          <w:bCs/>
          <w:color w:val="0D0D0D" w:themeColor="text1" w:themeTint="F2"/>
          <w:szCs w:val="20"/>
        </w:rPr>
        <w:t>Introducción:</w:t>
      </w:r>
      <w:r w:rsidRPr="00E758A8">
        <w:rPr>
          <w:rFonts w:eastAsia="Times New Roman" w:cs="Times New Roman"/>
          <w:color w:val="0D0D0D" w:themeColor="text1" w:themeTint="F2"/>
          <w:szCs w:val="20"/>
        </w:rPr>
        <w:t xml:space="preserve"> La información sobre la calidad de vida (</w:t>
      </w:r>
      <w:proofErr w:type="spellStart"/>
      <w:r w:rsidRPr="00E758A8">
        <w:rPr>
          <w:rFonts w:eastAsia="Times New Roman" w:cs="Times New Roman"/>
          <w:color w:val="0D0D0D" w:themeColor="text1" w:themeTint="F2"/>
          <w:szCs w:val="20"/>
        </w:rPr>
        <w:t>CdV</w:t>
      </w:r>
      <w:proofErr w:type="spellEnd"/>
      <w:r w:rsidRPr="00E758A8">
        <w:rPr>
          <w:rFonts w:eastAsia="Times New Roman" w:cs="Times New Roman"/>
          <w:color w:val="0D0D0D" w:themeColor="text1" w:themeTint="F2"/>
          <w:szCs w:val="20"/>
        </w:rPr>
        <w:t xml:space="preserve">) </w:t>
      </w:r>
    </w:p>
    <w:p w14:paraId="2AA53B04" w14:textId="77777777" w:rsidR="00140BE1" w:rsidRDefault="00E758A8" w:rsidP="000F1CD4">
      <w:pPr>
        <w:rPr>
          <w:rFonts w:eastAsia="Times New Roman" w:cs="Times New Roman"/>
          <w:color w:val="0D0D0D" w:themeColor="text1" w:themeTint="F2"/>
          <w:szCs w:val="20"/>
        </w:rPr>
      </w:pPr>
      <w:r w:rsidRPr="00E758A8">
        <w:rPr>
          <w:rFonts w:eastAsia="Times New Roman" w:cs="Times New Roman"/>
          <w:color w:val="0D0D0D" w:themeColor="text1" w:themeTint="F2"/>
          <w:szCs w:val="20"/>
        </w:rPr>
        <w:t xml:space="preserve">en relación con los medicamentos oncológicos es importante </w:t>
      </w:r>
    </w:p>
    <w:p w14:paraId="2999083D" w14:textId="785D341D" w:rsidR="00140BE1" w:rsidRDefault="00E758A8" w:rsidP="000F1CD4">
      <w:pPr>
        <w:rPr>
          <w:rFonts w:eastAsia="Times New Roman" w:cs="Times New Roman"/>
          <w:color w:val="0D0D0D" w:themeColor="text1" w:themeTint="F2"/>
          <w:szCs w:val="20"/>
        </w:rPr>
      </w:pPr>
      <w:r w:rsidRPr="00E758A8">
        <w:rPr>
          <w:rFonts w:eastAsia="Times New Roman" w:cs="Times New Roman"/>
          <w:color w:val="0D0D0D" w:themeColor="text1" w:themeTint="F2"/>
          <w:szCs w:val="20"/>
        </w:rPr>
        <w:t xml:space="preserve">para los pacientes, especialmente para aquellos que reciben tratamiento para el control de los síntomas y no con fines curativos. </w:t>
      </w:r>
      <w:r w:rsidR="004D63D3">
        <w:rPr>
          <w:rFonts w:eastAsia="Times New Roman" w:cs="Times New Roman"/>
          <w:color w:val="0D0D0D" w:themeColor="text1" w:themeTint="F2"/>
          <w:szCs w:val="20"/>
        </w:rPr>
        <w:t xml:space="preserve"> </w:t>
      </w:r>
    </w:p>
    <w:p w14:paraId="4EAE43A0" w14:textId="77777777" w:rsidR="00140BE1" w:rsidRDefault="00140BE1" w:rsidP="000F1CD4">
      <w:pPr>
        <w:rPr>
          <w:rFonts w:eastAsia="Times New Roman" w:cs="Times New Roman"/>
          <w:color w:val="0D0D0D" w:themeColor="text1" w:themeTint="F2"/>
          <w:szCs w:val="20"/>
        </w:rPr>
      </w:pPr>
    </w:p>
    <w:p w14:paraId="5DBAF850" w14:textId="6EDDD12B" w:rsidR="00E758A8" w:rsidRPr="00E758A8" w:rsidRDefault="00E758A8" w:rsidP="000F1CD4">
      <w:pPr>
        <w:rPr>
          <w:rFonts w:eastAsia="Times New Roman" w:cs="Times New Roman"/>
          <w:color w:val="0D0D0D" w:themeColor="text1" w:themeTint="F2"/>
          <w:szCs w:val="20"/>
        </w:rPr>
      </w:pPr>
      <w:r w:rsidRPr="00E758A8">
        <w:rPr>
          <w:rFonts w:eastAsia="Times New Roman" w:cs="Times New Roman"/>
          <w:color w:val="0D0D0D" w:themeColor="text1" w:themeTint="F2"/>
          <w:szCs w:val="20"/>
        </w:rPr>
        <w:t xml:space="preserve">Los documentos de orientación de </w:t>
      </w:r>
      <w:proofErr w:type="spellStart"/>
      <w:r w:rsidRPr="00E758A8">
        <w:rPr>
          <w:rFonts w:eastAsia="Times New Roman" w:cs="Times New Roman"/>
          <w:i/>
          <w:iCs/>
          <w:color w:val="0D0D0D" w:themeColor="text1" w:themeTint="F2"/>
          <w:szCs w:val="20"/>
        </w:rPr>
        <w:t>Health</w:t>
      </w:r>
      <w:proofErr w:type="spellEnd"/>
      <w:r w:rsidRPr="00E758A8">
        <w:rPr>
          <w:rFonts w:eastAsia="Times New Roman" w:cs="Times New Roman"/>
          <w:i/>
          <w:iCs/>
          <w:color w:val="0D0D0D" w:themeColor="text1" w:themeTint="F2"/>
          <w:szCs w:val="20"/>
        </w:rPr>
        <w:t xml:space="preserve"> </w:t>
      </w:r>
      <w:proofErr w:type="spellStart"/>
      <w:r w:rsidRPr="00E758A8">
        <w:rPr>
          <w:rFonts w:eastAsia="Times New Roman" w:cs="Times New Roman"/>
          <w:i/>
          <w:iCs/>
          <w:color w:val="0D0D0D" w:themeColor="text1" w:themeTint="F2"/>
          <w:szCs w:val="20"/>
        </w:rPr>
        <w:t>Canada</w:t>
      </w:r>
      <w:proofErr w:type="spellEnd"/>
      <w:r w:rsidRPr="00E758A8">
        <w:rPr>
          <w:rFonts w:eastAsia="Times New Roman" w:cs="Times New Roman"/>
          <w:color w:val="0D0D0D" w:themeColor="text1" w:themeTint="F2"/>
          <w:szCs w:val="20"/>
        </w:rPr>
        <w:t xml:space="preserve"> no describen cómo debe </w:t>
      </w:r>
      <w:r>
        <w:rPr>
          <w:rFonts w:eastAsia="Times New Roman" w:cs="Times New Roman"/>
          <w:color w:val="0D0D0D" w:themeColor="text1" w:themeTint="F2"/>
          <w:szCs w:val="20"/>
        </w:rPr>
        <w:t>d</w:t>
      </w:r>
      <w:r w:rsidRPr="00E758A8">
        <w:rPr>
          <w:rFonts w:eastAsia="Times New Roman" w:cs="Times New Roman"/>
          <w:color w:val="0D0D0D" w:themeColor="text1" w:themeTint="F2"/>
          <w:szCs w:val="20"/>
        </w:rPr>
        <w:t xml:space="preserve">arse la información sobre la </w:t>
      </w:r>
      <w:proofErr w:type="spellStart"/>
      <w:r w:rsidRPr="00E758A8">
        <w:rPr>
          <w:rFonts w:eastAsia="Times New Roman" w:cs="Times New Roman"/>
          <w:color w:val="0D0D0D" w:themeColor="text1" w:themeTint="F2"/>
          <w:szCs w:val="20"/>
        </w:rPr>
        <w:t>CdV</w:t>
      </w:r>
      <w:proofErr w:type="spellEnd"/>
      <w:r w:rsidRPr="00E758A8">
        <w:rPr>
          <w:rFonts w:eastAsia="Times New Roman" w:cs="Times New Roman"/>
          <w:color w:val="0D0D0D" w:themeColor="text1" w:themeTint="F2"/>
          <w:szCs w:val="20"/>
        </w:rPr>
        <w:t xml:space="preserve">. </w:t>
      </w:r>
      <w:r w:rsidR="004D63D3">
        <w:rPr>
          <w:rFonts w:eastAsia="Times New Roman" w:cs="Times New Roman"/>
          <w:color w:val="0D0D0D" w:themeColor="text1" w:themeTint="F2"/>
          <w:szCs w:val="20"/>
        </w:rPr>
        <w:t xml:space="preserve"> </w:t>
      </w:r>
      <w:r w:rsidRPr="00E758A8">
        <w:rPr>
          <w:rFonts w:eastAsia="Times New Roman" w:cs="Times New Roman"/>
          <w:color w:val="0D0D0D" w:themeColor="text1" w:themeTint="F2"/>
          <w:szCs w:val="20"/>
        </w:rPr>
        <w:t>Este estudio e</w:t>
      </w:r>
      <w:r>
        <w:rPr>
          <w:rFonts w:eastAsia="Times New Roman" w:cs="Times New Roman"/>
          <w:color w:val="0D0D0D" w:themeColor="text1" w:themeTint="F2"/>
          <w:szCs w:val="20"/>
        </w:rPr>
        <w:t>valú</w:t>
      </w:r>
      <w:r w:rsidRPr="00E758A8">
        <w:rPr>
          <w:rFonts w:eastAsia="Times New Roman" w:cs="Times New Roman"/>
          <w:color w:val="0D0D0D" w:themeColor="text1" w:themeTint="F2"/>
          <w:szCs w:val="20"/>
        </w:rPr>
        <w:t xml:space="preserve">a cómo </w:t>
      </w:r>
      <w:proofErr w:type="spellStart"/>
      <w:r w:rsidRPr="00E758A8">
        <w:rPr>
          <w:rFonts w:eastAsia="Times New Roman" w:cs="Times New Roman"/>
          <w:i/>
          <w:iCs/>
          <w:color w:val="0D0D0D" w:themeColor="text1" w:themeTint="F2"/>
          <w:szCs w:val="20"/>
        </w:rPr>
        <w:t>Health</w:t>
      </w:r>
      <w:proofErr w:type="spellEnd"/>
      <w:r w:rsidRPr="00E758A8">
        <w:rPr>
          <w:rFonts w:eastAsia="Times New Roman" w:cs="Times New Roman"/>
          <w:i/>
          <w:iCs/>
          <w:color w:val="0D0D0D" w:themeColor="text1" w:themeTint="F2"/>
          <w:szCs w:val="20"/>
        </w:rPr>
        <w:t xml:space="preserve"> </w:t>
      </w:r>
      <w:proofErr w:type="spellStart"/>
      <w:r w:rsidRPr="00E758A8">
        <w:rPr>
          <w:rFonts w:eastAsia="Times New Roman" w:cs="Times New Roman"/>
          <w:i/>
          <w:iCs/>
          <w:color w:val="0D0D0D" w:themeColor="text1" w:themeTint="F2"/>
          <w:szCs w:val="20"/>
        </w:rPr>
        <w:t>Canada</w:t>
      </w:r>
      <w:proofErr w:type="spellEnd"/>
      <w:r w:rsidRPr="00E758A8">
        <w:rPr>
          <w:rFonts w:eastAsia="Times New Roman" w:cs="Times New Roman"/>
          <w:color w:val="0D0D0D" w:themeColor="text1" w:themeTint="F2"/>
          <w:szCs w:val="20"/>
        </w:rPr>
        <w:t xml:space="preserve"> informa </w:t>
      </w:r>
      <w:r w:rsidR="004D63D3" w:rsidRPr="00E758A8">
        <w:rPr>
          <w:rFonts w:eastAsia="Times New Roman" w:cs="Times New Roman"/>
          <w:color w:val="0D0D0D" w:themeColor="text1" w:themeTint="F2"/>
          <w:szCs w:val="20"/>
        </w:rPr>
        <w:t xml:space="preserve">sobre la </w:t>
      </w:r>
      <w:proofErr w:type="spellStart"/>
      <w:r w:rsidR="004D63D3" w:rsidRPr="00E758A8">
        <w:rPr>
          <w:rFonts w:eastAsia="Times New Roman" w:cs="Times New Roman"/>
          <w:color w:val="0D0D0D" w:themeColor="text1" w:themeTint="F2"/>
          <w:szCs w:val="20"/>
        </w:rPr>
        <w:t>CdV</w:t>
      </w:r>
      <w:proofErr w:type="spellEnd"/>
      <w:r w:rsidR="004D63D3" w:rsidRPr="00E758A8">
        <w:rPr>
          <w:rFonts w:eastAsia="Times New Roman" w:cs="Times New Roman"/>
          <w:color w:val="0D0D0D" w:themeColor="text1" w:themeTint="F2"/>
          <w:szCs w:val="20"/>
        </w:rPr>
        <w:t xml:space="preserve"> </w:t>
      </w:r>
      <w:r w:rsidRPr="00E758A8">
        <w:rPr>
          <w:rFonts w:eastAsia="Times New Roman" w:cs="Times New Roman"/>
          <w:color w:val="0D0D0D" w:themeColor="text1" w:themeTint="F2"/>
          <w:szCs w:val="20"/>
        </w:rPr>
        <w:t>en los documentos rela</w:t>
      </w:r>
      <w:r>
        <w:rPr>
          <w:rFonts w:eastAsia="Times New Roman" w:cs="Times New Roman"/>
          <w:color w:val="0D0D0D" w:themeColor="text1" w:themeTint="F2"/>
          <w:szCs w:val="20"/>
        </w:rPr>
        <w:t>cionad</w:t>
      </w:r>
      <w:r w:rsidRPr="00E758A8">
        <w:rPr>
          <w:rFonts w:eastAsia="Times New Roman" w:cs="Times New Roman"/>
          <w:color w:val="0D0D0D" w:themeColor="text1" w:themeTint="F2"/>
          <w:szCs w:val="20"/>
        </w:rPr>
        <w:t xml:space="preserve">os a la decisión de aprobar </w:t>
      </w:r>
      <w:r w:rsidR="004D63D3">
        <w:rPr>
          <w:rFonts w:eastAsia="Times New Roman" w:cs="Times New Roman"/>
          <w:color w:val="0D0D0D" w:themeColor="text1" w:themeTint="F2"/>
          <w:szCs w:val="20"/>
        </w:rPr>
        <w:t xml:space="preserve">la comercialización </w:t>
      </w:r>
      <w:r w:rsidRPr="00E758A8">
        <w:rPr>
          <w:rFonts w:eastAsia="Times New Roman" w:cs="Times New Roman"/>
          <w:color w:val="0D0D0D" w:themeColor="text1" w:themeTint="F2"/>
          <w:szCs w:val="20"/>
        </w:rPr>
        <w:t>y</w:t>
      </w:r>
      <w:r>
        <w:rPr>
          <w:rFonts w:eastAsia="Times New Roman" w:cs="Times New Roman"/>
          <w:color w:val="0D0D0D" w:themeColor="text1" w:themeTint="F2"/>
          <w:szCs w:val="20"/>
        </w:rPr>
        <w:t xml:space="preserve"> </w:t>
      </w:r>
      <w:r w:rsidRPr="00E758A8">
        <w:rPr>
          <w:rFonts w:eastAsia="Times New Roman" w:cs="Times New Roman"/>
          <w:color w:val="0D0D0D" w:themeColor="text1" w:themeTint="F2"/>
          <w:szCs w:val="20"/>
        </w:rPr>
        <w:t>las indicaciones de nuevos medicamentos oncológicos.</w:t>
      </w:r>
    </w:p>
    <w:p w14:paraId="1D2CC048" w14:textId="77777777" w:rsidR="00E758A8" w:rsidRPr="00E758A8" w:rsidRDefault="00E758A8" w:rsidP="000F1CD4">
      <w:pPr>
        <w:rPr>
          <w:rFonts w:eastAsia="Times New Roman" w:cs="Times New Roman"/>
          <w:color w:val="EE0000"/>
          <w:szCs w:val="20"/>
        </w:rPr>
      </w:pPr>
    </w:p>
    <w:p w14:paraId="691842C8" w14:textId="77777777" w:rsidR="00140BE1" w:rsidRDefault="00E758A8" w:rsidP="000F1CD4">
      <w:pPr>
        <w:rPr>
          <w:rFonts w:eastAsia="Times New Roman" w:cs="Times New Roman"/>
          <w:color w:val="0D0D0D" w:themeColor="text1" w:themeTint="F2"/>
          <w:szCs w:val="20"/>
        </w:rPr>
      </w:pPr>
      <w:r w:rsidRPr="00E758A8">
        <w:rPr>
          <w:rFonts w:eastAsia="Times New Roman" w:cs="Times New Roman"/>
          <w:b/>
          <w:bCs/>
          <w:color w:val="0D0D0D" w:themeColor="text1" w:themeTint="F2"/>
          <w:szCs w:val="20"/>
        </w:rPr>
        <w:t>Métodos:</w:t>
      </w:r>
      <w:r w:rsidRPr="00E758A8">
        <w:rPr>
          <w:rFonts w:eastAsia="Times New Roman" w:cs="Times New Roman"/>
          <w:color w:val="0D0D0D" w:themeColor="text1" w:themeTint="F2"/>
          <w:szCs w:val="20"/>
        </w:rPr>
        <w:t xml:space="preserve"> Se creó una lista de todos los medicamentos oncológicos aprobados por </w:t>
      </w:r>
      <w:proofErr w:type="spellStart"/>
      <w:r w:rsidRPr="00E03F53">
        <w:rPr>
          <w:rFonts w:eastAsia="Times New Roman" w:cs="Times New Roman"/>
          <w:i/>
          <w:iCs/>
          <w:color w:val="0D0D0D" w:themeColor="text1" w:themeTint="F2"/>
          <w:szCs w:val="20"/>
        </w:rPr>
        <w:t>Health</w:t>
      </w:r>
      <w:proofErr w:type="spellEnd"/>
      <w:r w:rsidRPr="00E03F53">
        <w:rPr>
          <w:rFonts w:eastAsia="Times New Roman" w:cs="Times New Roman"/>
          <w:i/>
          <w:iCs/>
          <w:color w:val="0D0D0D" w:themeColor="text1" w:themeTint="F2"/>
          <w:szCs w:val="20"/>
        </w:rPr>
        <w:t xml:space="preserve"> </w:t>
      </w:r>
      <w:proofErr w:type="spellStart"/>
      <w:r w:rsidRPr="00E03F53">
        <w:rPr>
          <w:rFonts w:eastAsia="Times New Roman" w:cs="Times New Roman"/>
          <w:i/>
          <w:iCs/>
          <w:color w:val="0D0D0D" w:themeColor="text1" w:themeTint="F2"/>
          <w:szCs w:val="20"/>
        </w:rPr>
        <w:t>Canada</w:t>
      </w:r>
      <w:proofErr w:type="spellEnd"/>
      <w:r w:rsidRPr="00E758A8">
        <w:rPr>
          <w:rFonts w:eastAsia="Times New Roman" w:cs="Times New Roman"/>
          <w:color w:val="0D0D0D" w:themeColor="text1" w:themeTint="F2"/>
          <w:szCs w:val="20"/>
        </w:rPr>
        <w:t xml:space="preserve"> entre 2019 y 2023 utilizando un sitio web de </w:t>
      </w:r>
      <w:proofErr w:type="spellStart"/>
      <w:r w:rsidRPr="00E03F53">
        <w:rPr>
          <w:rFonts w:eastAsia="Times New Roman" w:cs="Times New Roman"/>
          <w:i/>
          <w:iCs/>
          <w:color w:val="0D0D0D" w:themeColor="text1" w:themeTint="F2"/>
          <w:szCs w:val="20"/>
        </w:rPr>
        <w:t>Health</w:t>
      </w:r>
      <w:proofErr w:type="spellEnd"/>
      <w:r w:rsidRPr="00E03F53">
        <w:rPr>
          <w:rFonts w:eastAsia="Times New Roman" w:cs="Times New Roman"/>
          <w:i/>
          <w:iCs/>
          <w:color w:val="0D0D0D" w:themeColor="text1" w:themeTint="F2"/>
          <w:szCs w:val="20"/>
        </w:rPr>
        <w:t xml:space="preserve"> </w:t>
      </w:r>
      <w:proofErr w:type="spellStart"/>
      <w:r w:rsidRPr="00E03F53">
        <w:rPr>
          <w:rFonts w:eastAsia="Times New Roman" w:cs="Times New Roman"/>
          <w:i/>
          <w:iCs/>
          <w:color w:val="0D0D0D" w:themeColor="text1" w:themeTint="F2"/>
          <w:szCs w:val="20"/>
        </w:rPr>
        <w:t>Canada</w:t>
      </w:r>
      <w:proofErr w:type="spellEnd"/>
      <w:r w:rsidRPr="00E758A8">
        <w:rPr>
          <w:rFonts w:eastAsia="Times New Roman" w:cs="Times New Roman"/>
          <w:color w:val="0D0D0D" w:themeColor="text1" w:themeTint="F2"/>
          <w:szCs w:val="20"/>
        </w:rPr>
        <w:t xml:space="preserve">. </w:t>
      </w:r>
      <w:r w:rsidR="004D63D3">
        <w:rPr>
          <w:rFonts w:eastAsia="Times New Roman" w:cs="Times New Roman"/>
          <w:color w:val="0D0D0D" w:themeColor="text1" w:themeTint="F2"/>
          <w:szCs w:val="20"/>
        </w:rPr>
        <w:t>Se</w:t>
      </w:r>
      <w:r w:rsidR="004D63D3" w:rsidRPr="00E758A8">
        <w:rPr>
          <w:rFonts w:eastAsia="Times New Roman" w:cs="Times New Roman"/>
          <w:color w:val="0D0D0D" w:themeColor="text1" w:themeTint="F2"/>
          <w:szCs w:val="20"/>
        </w:rPr>
        <w:t xml:space="preserve"> </w:t>
      </w:r>
      <w:r w:rsidR="004D63D3">
        <w:rPr>
          <w:rFonts w:eastAsia="Times New Roman" w:cs="Times New Roman"/>
          <w:color w:val="0D0D0D" w:themeColor="text1" w:themeTint="F2"/>
          <w:szCs w:val="20"/>
        </w:rPr>
        <w:t xml:space="preserve">hicieron búsquedas en los </w:t>
      </w:r>
      <w:r w:rsidR="004D63D3" w:rsidRPr="00E758A8">
        <w:rPr>
          <w:rFonts w:eastAsia="Times New Roman" w:cs="Times New Roman"/>
          <w:color w:val="0D0D0D" w:themeColor="text1" w:themeTint="F2"/>
          <w:szCs w:val="20"/>
        </w:rPr>
        <w:t>documentos</w:t>
      </w:r>
      <w:r w:rsidR="004D63D3">
        <w:rPr>
          <w:rFonts w:eastAsia="Times New Roman" w:cs="Times New Roman"/>
          <w:color w:val="0D0D0D" w:themeColor="text1" w:themeTint="F2"/>
          <w:szCs w:val="20"/>
        </w:rPr>
        <w:t>,</w:t>
      </w:r>
      <w:r w:rsidR="004D63D3" w:rsidRPr="00E758A8">
        <w:rPr>
          <w:rFonts w:eastAsia="Times New Roman" w:cs="Times New Roman"/>
          <w:color w:val="0D0D0D" w:themeColor="text1" w:themeTint="F2"/>
          <w:szCs w:val="20"/>
        </w:rPr>
        <w:t xml:space="preserve"> </w:t>
      </w:r>
      <w:r w:rsidR="004D63D3">
        <w:rPr>
          <w:rFonts w:eastAsia="Times New Roman" w:cs="Times New Roman"/>
          <w:color w:val="0D0D0D" w:themeColor="text1" w:themeTint="F2"/>
          <w:szCs w:val="20"/>
        </w:rPr>
        <w:t>u</w:t>
      </w:r>
      <w:r w:rsidR="004D63D3" w:rsidRPr="00E758A8">
        <w:rPr>
          <w:rFonts w:eastAsia="Times New Roman" w:cs="Times New Roman"/>
          <w:color w:val="0D0D0D" w:themeColor="text1" w:themeTint="F2"/>
          <w:szCs w:val="20"/>
        </w:rPr>
        <w:t>tilizando el término «Calidad de Vida»</w:t>
      </w:r>
      <w:r w:rsidR="004D63D3">
        <w:rPr>
          <w:rFonts w:eastAsia="Times New Roman" w:cs="Times New Roman"/>
          <w:color w:val="0D0D0D" w:themeColor="text1" w:themeTint="F2"/>
          <w:szCs w:val="20"/>
        </w:rPr>
        <w:t xml:space="preserve">, para identificar </w:t>
      </w:r>
      <w:r w:rsidRPr="00E758A8">
        <w:rPr>
          <w:rFonts w:eastAsia="Times New Roman" w:cs="Times New Roman"/>
          <w:color w:val="0D0D0D" w:themeColor="text1" w:themeTint="F2"/>
          <w:szCs w:val="20"/>
        </w:rPr>
        <w:t xml:space="preserve">los motivos de la decisión de aprobar un nuevo medicamento y cómo la </w:t>
      </w:r>
      <w:proofErr w:type="spellStart"/>
      <w:r w:rsidRPr="00E758A8">
        <w:rPr>
          <w:rFonts w:eastAsia="Times New Roman" w:cs="Times New Roman"/>
          <w:color w:val="0D0D0D" w:themeColor="text1" w:themeTint="F2"/>
          <w:szCs w:val="20"/>
        </w:rPr>
        <w:t>CdV</w:t>
      </w:r>
      <w:proofErr w:type="spellEnd"/>
      <w:r w:rsidRPr="00E758A8">
        <w:rPr>
          <w:rFonts w:eastAsia="Times New Roman" w:cs="Times New Roman"/>
          <w:color w:val="0D0D0D" w:themeColor="text1" w:themeTint="F2"/>
          <w:szCs w:val="20"/>
        </w:rPr>
        <w:t xml:space="preserve"> influyó en </w:t>
      </w:r>
      <w:r w:rsidR="004D63D3">
        <w:rPr>
          <w:rFonts w:eastAsia="Times New Roman" w:cs="Times New Roman"/>
          <w:color w:val="0D0D0D" w:themeColor="text1" w:themeTint="F2"/>
          <w:szCs w:val="20"/>
        </w:rPr>
        <w:t>sus</w:t>
      </w:r>
      <w:r w:rsidRPr="00E758A8">
        <w:rPr>
          <w:rFonts w:eastAsia="Times New Roman" w:cs="Times New Roman"/>
          <w:color w:val="0D0D0D" w:themeColor="text1" w:themeTint="F2"/>
          <w:szCs w:val="20"/>
        </w:rPr>
        <w:t xml:space="preserve"> indicaciones</w:t>
      </w:r>
      <w:r w:rsidR="004D63D3">
        <w:rPr>
          <w:rFonts w:eastAsia="Times New Roman" w:cs="Times New Roman"/>
          <w:color w:val="0D0D0D" w:themeColor="text1" w:themeTint="F2"/>
          <w:szCs w:val="20"/>
        </w:rPr>
        <w:t>.</w:t>
      </w:r>
      <w:r w:rsidRPr="00E758A8">
        <w:rPr>
          <w:rFonts w:eastAsia="Times New Roman" w:cs="Times New Roman"/>
          <w:color w:val="0D0D0D" w:themeColor="text1" w:themeTint="F2"/>
          <w:szCs w:val="20"/>
        </w:rPr>
        <w:t xml:space="preserve"> </w:t>
      </w:r>
    </w:p>
    <w:p w14:paraId="1523343F" w14:textId="1FD5D34F" w:rsidR="00E758A8" w:rsidRPr="00231582" w:rsidRDefault="00E758A8" w:rsidP="000F1CD4">
      <w:pPr>
        <w:rPr>
          <w:rFonts w:eastAsia="Times New Roman" w:cs="Times New Roman"/>
          <w:color w:val="0D0D0D" w:themeColor="text1" w:themeTint="F2"/>
          <w:szCs w:val="20"/>
        </w:rPr>
      </w:pPr>
      <w:r w:rsidRPr="00231582">
        <w:rPr>
          <w:rFonts w:eastAsia="Times New Roman" w:cs="Times New Roman"/>
          <w:color w:val="0D0D0D" w:themeColor="text1" w:themeTint="F2"/>
          <w:szCs w:val="20"/>
        </w:rPr>
        <w:t>Se transcribieron textualmente l</w:t>
      </w:r>
      <w:r w:rsidR="004D63D3">
        <w:rPr>
          <w:rFonts w:eastAsia="Times New Roman" w:cs="Times New Roman"/>
          <w:color w:val="0D0D0D" w:themeColor="text1" w:themeTint="F2"/>
          <w:szCs w:val="20"/>
        </w:rPr>
        <w:t>as partes</w:t>
      </w:r>
      <w:r w:rsidRPr="00231582">
        <w:rPr>
          <w:rFonts w:eastAsia="Times New Roman" w:cs="Times New Roman"/>
          <w:color w:val="0D0D0D" w:themeColor="text1" w:themeTint="F2"/>
          <w:szCs w:val="20"/>
        </w:rPr>
        <w:t xml:space="preserve"> relevantes.</w:t>
      </w:r>
    </w:p>
    <w:p w14:paraId="0CB17065" w14:textId="77777777" w:rsidR="00E758A8" w:rsidRPr="00231582" w:rsidRDefault="00E758A8" w:rsidP="000F1CD4">
      <w:pPr>
        <w:rPr>
          <w:rFonts w:eastAsia="Times New Roman" w:cs="Times New Roman"/>
          <w:color w:val="EE0000"/>
          <w:szCs w:val="20"/>
        </w:rPr>
      </w:pPr>
    </w:p>
    <w:p w14:paraId="02579684" w14:textId="77777777" w:rsidR="00140BE1" w:rsidRDefault="00E03F53" w:rsidP="00E03F53">
      <w:pPr>
        <w:rPr>
          <w:rFonts w:eastAsia="Times New Roman" w:cs="Times New Roman"/>
          <w:color w:val="0D0D0D" w:themeColor="text1" w:themeTint="F2"/>
          <w:szCs w:val="20"/>
        </w:rPr>
      </w:pPr>
      <w:r w:rsidRPr="00372FCE">
        <w:rPr>
          <w:rFonts w:eastAsia="Times New Roman" w:cs="Times New Roman"/>
          <w:b/>
          <w:bCs/>
          <w:color w:val="0D0D0D" w:themeColor="text1" w:themeTint="F2"/>
          <w:szCs w:val="20"/>
        </w:rPr>
        <w:t>Resultados:</w:t>
      </w:r>
      <w:r w:rsidRPr="00E03F53">
        <w:rPr>
          <w:rFonts w:eastAsia="Times New Roman" w:cs="Times New Roman"/>
          <w:color w:val="0D0D0D" w:themeColor="text1" w:themeTint="F2"/>
          <w:szCs w:val="20"/>
        </w:rPr>
        <w:t xml:space="preserve"> </w:t>
      </w:r>
      <w:proofErr w:type="spellStart"/>
      <w:r w:rsidRPr="00372FCE">
        <w:rPr>
          <w:rFonts w:eastAsia="Times New Roman" w:cs="Times New Roman"/>
          <w:i/>
          <w:iCs/>
          <w:color w:val="0D0D0D" w:themeColor="text1" w:themeTint="F2"/>
          <w:szCs w:val="20"/>
        </w:rPr>
        <w:t>Health</w:t>
      </w:r>
      <w:proofErr w:type="spellEnd"/>
      <w:r w:rsidRPr="00372FCE">
        <w:rPr>
          <w:rFonts w:eastAsia="Times New Roman" w:cs="Times New Roman"/>
          <w:i/>
          <w:iCs/>
          <w:color w:val="0D0D0D" w:themeColor="text1" w:themeTint="F2"/>
          <w:szCs w:val="20"/>
        </w:rPr>
        <w:t xml:space="preserve"> </w:t>
      </w:r>
      <w:proofErr w:type="spellStart"/>
      <w:r w:rsidRPr="00372FCE">
        <w:rPr>
          <w:rFonts w:eastAsia="Times New Roman" w:cs="Times New Roman"/>
          <w:i/>
          <w:iCs/>
          <w:color w:val="0D0D0D" w:themeColor="text1" w:themeTint="F2"/>
          <w:szCs w:val="20"/>
        </w:rPr>
        <w:t>Canada</w:t>
      </w:r>
      <w:proofErr w:type="spellEnd"/>
      <w:r w:rsidRPr="00E03F53">
        <w:rPr>
          <w:rFonts w:eastAsia="Times New Roman" w:cs="Times New Roman"/>
          <w:color w:val="0D0D0D" w:themeColor="text1" w:themeTint="F2"/>
          <w:szCs w:val="20"/>
        </w:rPr>
        <w:t xml:space="preserve"> aprobó 60 medicamentos oncológicos. La </w:t>
      </w:r>
      <w:proofErr w:type="spellStart"/>
      <w:r w:rsidR="00471591">
        <w:rPr>
          <w:rFonts w:eastAsia="Times New Roman" w:cs="Times New Roman"/>
          <w:color w:val="0D0D0D" w:themeColor="text1" w:themeTint="F2"/>
          <w:szCs w:val="20"/>
        </w:rPr>
        <w:t>caidad</w:t>
      </w:r>
      <w:proofErr w:type="spellEnd"/>
      <w:r w:rsidR="00471591">
        <w:rPr>
          <w:rFonts w:eastAsia="Times New Roman" w:cs="Times New Roman"/>
          <w:color w:val="0D0D0D" w:themeColor="text1" w:themeTint="F2"/>
          <w:szCs w:val="20"/>
        </w:rPr>
        <w:t xml:space="preserve"> de vida</w:t>
      </w:r>
      <w:r w:rsidRPr="00E03F53">
        <w:rPr>
          <w:rFonts w:eastAsia="Times New Roman" w:cs="Times New Roman"/>
          <w:color w:val="0D0D0D" w:themeColor="text1" w:themeTint="F2"/>
          <w:szCs w:val="20"/>
        </w:rPr>
        <w:t xml:space="preserve"> solo influyó en la aprobación </w:t>
      </w:r>
    </w:p>
    <w:p w14:paraId="413CF1F0" w14:textId="62C6DEA0" w:rsidR="00E03F53" w:rsidRDefault="004D63D3" w:rsidP="00E03F53">
      <w:pPr>
        <w:rPr>
          <w:rFonts w:eastAsia="Times New Roman" w:cs="Times New Roman"/>
          <w:color w:val="0D0D0D" w:themeColor="text1" w:themeTint="F2"/>
          <w:szCs w:val="20"/>
        </w:rPr>
      </w:pPr>
      <w:r>
        <w:rPr>
          <w:rFonts w:eastAsia="Times New Roman" w:cs="Times New Roman"/>
          <w:color w:val="0D0D0D" w:themeColor="text1" w:themeTint="F2"/>
          <w:szCs w:val="20"/>
        </w:rPr>
        <w:t>de un medicamento,</w:t>
      </w:r>
      <w:r w:rsidR="00E03F53" w:rsidRPr="00E03F53">
        <w:rPr>
          <w:rFonts w:eastAsia="Times New Roman" w:cs="Times New Roman"/>
          <w:color w:val="0D0D0D" w:themeColor="text1" w:themeTint="F2"/>
          <w:szCs w:val="20"/>
        </w:rPr>
        <w:t xml:space="preserve"> y solo </w:t>
      </w:r>
      <w:r w:rsidR="00BB42F5" w:rsidRPr="00E03F53">
        <w:rPr>
          <w:rFonts w:eastAsia="Times New Roman" w:cs="Times New Roman"/>
          <w:color w:val="0D0D0D" w:themeColor="text1" w:themeTint="F2"/>
          <w:szCs w:val="20"/>
        </w:rPr>
        <w:t xml:space="preserve">en tres casos </w:t>
      </w:r>
      <w:r w:rsidR="00E03F53" w:rsidRPr="00E03F53">
        <w:rPr>
          <w:rFonts w:eastAsia="Times New Roman" w:cs="Times New Roman"/>
          <w:color w:val="0D0D0D" w:themeColor="text1" w:themeTint="F2"/>
          <w:szCs w:val="20"/>
        </w:rPr>
        <w:t>se mencionó en la indicación del medicamento.</w:t>
      </w:r>
    </w:p>
    <w:p w14:paraId="25CE8A4E" w14:textId="77777777" w:rsidR="004D63D3" w:rsidRPr="00E03F53" w:rsidRDefault="004D63D3" w:rsidP="00E03F53">
      <w:pPr>
        <w:rPr>
          <w:rFonts w:eastAsia="Times New Roman" w:cs="Times New Roman"/>
          <w:color w:val="0D0D0D" w:themeColor="text1" w:themeTint="F2"/>
          <w:szCs w:val="20"/>
        </w:rPr>
      </w:pPr>
    </w:p>
    <w:p w14:paraId="54351325" w14:textId="77777777" w:rsidR="00140BE1" w:rsidRDefault="00E03F53" w:rsidP="00E03F53">
      <w:pPr>
        <w:rPr>
          <w:rFonts w:eastAsia="Times New Roman" w:cs="Times New Roman"/>
          <w:color w:val="0D0D0D" w:themeColor="text1" w:themeTint="F2"/>
          <w:szCs w:val="20"/>
        </w:rPr>
        <w:sectPr w:rsidR="00140BE1" w:rsidSect="00140BE1">
          <w:type w:val="continuous"/>
          <w:pgSz w:w="12240" w:h="15840" w:code="1"/>
          <w:pgMar w:top="720" w:right="720" w:bottom="720" w:left="720" w:header="288" w:footer="288" w:gutter="0"/>
          <w:cols w:num="2" w:space="288"/>
          <w:docGrid w:linePitch="360"/>
        </w:sectPr>
      </w:pPr>
      <w:r w:rsidRPr="00E03F53">
        <w:rPr>
          <w:rFonts w:eastAsia="Times New Roman" w:cs="Times New Roman"/>
          <w:b/>
          <w:bCs/>
          <w:color w:val="0D0D0D" w:themeColor="text1" w:themeTint="F2"/>
          <w:szCs w:val="20"/>
        </w:rPr>
        <w:t>Conclusión:</w:t>
      </w:r>
      <w:r w:rsidR="00BB42F5">
        <w:rPr>
          <w:rFonts w:eastAsia="Times New Roman" w:cs="Times New Roman"/>
          <w:b/>
          <w:bCs/>
          <w:color w:val="0D0D0D" w:themeColor="text1" w:themeTint="F2"/>
          <w:szCs w:val="20"/>
        </w:rPr>
        <w:t xml:space="preserve"> </w:t>
      </w:r>
      <w:proofErr w:type="spellStart"/>
      <w:r w:rsidRPr="00372FCE">
        <w:rPr>
          <w:rFonts w:eastAsia="Times New Roman" w:cs="Times New Roman"/>
          <w:i/>
          <w:iCs/>
          <w:color w:val="0D0D0D" w:themeColor="text1" w:themeTint="F2"/>
          <w:szCs w:val="20"/>
        </w:rPr>
        <w:t>Health</w:t>
      </w:r>
      <w:proofErr w:type="spellEnd"/>
      <w:r w:rsidRPr="00372FCE">
        <w:rPr>
          <w:rFonts w:eastAsia="Times New Roman" w:cs="Times New Roman"/>
          <w:i/>
          <w:iCs/>
          <w:color w:val="0D0D0D" w:themeColor="text1" w:themeTint="F2"/>
          <w:szCs w:val="20"/>
        </w:rPr>
        <w:t xml:space="preserve"> </w:t>
      </w:r>
      <w:proofErr w:type="spellStart"/>
      <w:r w:rsidRPr="00372FCE">
        <w:rPr>
          <w:rFonts w:eastAsia="Times New Roman" w:cs="Times New Roman"/>
          <w:i/>
          <w:iCs/>
          <w:color w:val="0D0D0D" w:themeColor="text1" w:themeTint="F2"/>
          <w:szCs w:val="20"/>
        </w:rPr>
        <w:t>Canada</w:t>
      </w:r>
      <w:proofErr w:type="spellEnd"/>
      <w:r w:rsidRPr="00E03F53">
        <w:rPr>
          <w:rFonts w:eastAsia="Times New Roman" w:cs="Times New Roman"/>
          <w:color w:val="0D0D0D" w:themeColor="text1" w:themeTint="F2"/>
          <w:szCs w:val="20"/>
        </w:rPr>
        <w:t xml:space="preserve"> publica información sobre la calidad de vida </w:t>
      </w:r>
      <w:r w:rsidR="00BB42F5">
        <w:rPr>
          <w:rFonts w:eastAsia="Times New Roman" w:cs="Times New Roman"/>
          <w:color w:val="0D0D0D" w:themeColor="text1" w:themeTint="F2"/>
          <w:szCs w:val="20"/>
        </w:rPr>
        <w:t>[</w:t>
      </w:r>
      <w:r w:rsidRPr="00E03F53">
        <w:rPr>
          <w:rFonts w:eastAsia="Times New Roman" w:cs="Times New Roman"/>
          <w:color w:val="0D0D0D" w:themeColor="text1" w:themeTint="F2"/>
          <w:szCs w:val="20"/>
        </w:rPr>
        <w:t>e</w:t>
      </w:r>
      <w:r w:rsidR="00BB42F5">
        <w:rPr>
          <w:rFonts w:eastAsia="Times New Roman" w:cs="Times New Roman"/>
          <w:color w:val="0D0D0D" w:themeColor="text1" w:themeTint="F2"/>
          <w:szCs w:val="20"/>
        </w:rPr>
        <w:t>n relación con]</w:t>
      </w:r>
      <w:r w:rsidRPr="00E03F53">
        <w:rPr>
          <w:rFonts w:eastAsia="Times New Roman" w:cs="Times New Roman"/>
          <w:color w:val="0D0D0D" w:themeColor="text1" w:themeTint="F2"/>
          <w:szCs w:val="20"/>
        </w:rPr>
        <w:t xml:space="preserve"> los medicamentos oncológicos</w:t>
      </w:r>
      <w:r w:rsidR="00BB42F5">
        <w:rPr>
          <w:rFonts w:eastAsia="Times New Roman" w:cs="Times New Roman"/>
          <w:color w:val="0D0D0D" w:themeColor="text1" w:themeTint="F2"/>
          <w:szCs w:val="20"/>
        </w:rPr>
        <w:t xml:space="preserve"> aprobados</w:t>
      </w:r>
      <w:r w:rsidR="004D63D3" w:rsidRPr="004D63D3">
        <w:rPr>
          <w:rFonts w:eastAsia="Times New Roman" w:cs="Times New Roman"/>
          <w:color w:val="0D0D0D" w:themeColor="text1" w:themeTint="F2"/>
          <w:szCs w:val="20"/>
        </w:rPr>
        <w:t xml:space="preserve"> </w:t>
      </w:r>
      <w:r w:rsidR="004D63D3">
        <w:rPr>
          <w:rFonts w:eastAsia="Times New Roman" w:cs="Times New Roman"/>
          <w:color w:val="0D0D0D" w:themeColor="text1" w:themeTint="F2"/>
          <w:szCs w:val="20"/>
        </w:rPr>
        <w:t>c</w:t>
      </w:r>
      <w:r w:rsidR="004D63D3" w:rsidRPr="00E03F53">
        <w:rPr>
          <w:rFonts w:eastAsia="Times New Roman" w:cs="Times New Roman"/>
          <w:color w:val="0D0D0D" w:themeColor="text1" w:themeTint="F2"/>
          <w:szCs w:val="20"/>
        </w:rPr>
        <w:t>on muy poca frecuencia</w:t>
      </w:r>
      <w:r w:rsidRPr="00E03F53">
        <w:rPr>
          <w:rFonts w:eastAsia="Times New Roman" w:cs="Times New Roman"/>
          <w:color w:val="0D0D0D" w:themeColor="text1" w:themeTint="F2"/>
          <w:szCs w:val="20"/>
        </w:rPr>
        <w:t>.</w:t>
      </w:r>
    </w:p>
    <w:p w14:paraId="3FB04290" w14:textId="19AB1AEF" w:rsidR="00E03F53" w:rsidRPr="00E03F53" w:rsidRDefault="00E03F53" w:rsidP="00E03F53">
      <w:pPr>
        <w:rPr>
          <w:rFonts w:eastAsia="Times New Roman" w:cs="Times New Roman"/>
          <w:color w:val="0D0D0D" w:themeColor="text1" w:themeTint="F2"/>
          <w:szCs w:val="20"/>
        </w:rPr>
      </w:pPr>
    </w:p>
    <w:p w14:paraId="6A43767E" w14:textId="42C5D21C" w:rsidR="000F1CD4" w:rsidRDefault="000F1CD4" w:rsidP="00140BE1">
      <w:pPr>
        <w:rPr>
          <w:rFonts w:eastAsia="Times New Roman" w:cs="Times New Roman"/>
          <w:color w:val="0D0D0D" w:themeColor="text1" w:themeTint="F2"/>
          <w:szCs w:val="20"/>
        </w:rPr>
      </w:pPr>
    </w:p>
    <w:p w14:paraId="02CA3431" w14:textId="77777777" w:rsidR="00FE3E51" w:rsidRPr="0042686B" w:rsidRDefault="00FE3E51" w:rsidP="00FE3E51">
      <w:pPr>
        <w:contextualSpacing/>
        <w:jc w:val="center"/>
        <w:rPr>
          <w:rFonts w:eastAsia="Times New Roman" w:cs="Times New Roman"/>
          <w:color w:val="FF0000"/>
          <w:szCs w:val="20"/>
        </w:rPr>
      </w:pPr>
      <w:r w:rsidRPr="00EA71DA">
        <w:rPr>
          <w:rFonts w:eastAsia="Times New Roman" w:cs="Times New Roman"/>
          <w:color w:val="0D0D0D" w:themeColor="text1" w:themeTint="F2"/>
          <w:szCs w:val="20"/>
        </w:rPr>
        <w:t xml:space="preserve">EE UU. </w:t>
      </w:r>
      <w:r w:rsidRPr="00EA71DA">
        <w:rPr>
          <w:rFonts w:eastAsia="Times New Roman" w:cs="Times New Roman"/>
          <w:b/>
          <w:bCs/>
          <w:color w:val="0D0D0D" w:themeColor="text1" w:themeTint="F2"/>
          <w:szCs w:val="20"/>
        </w:rPr>
        <w:t xml:space="preserve">Solicitud de </w:t>
      </w:r>
      <w:proofErr w:type="spellStart"/>
      <w:r w:rsidRPr="00EA71DA">
        <w:rPr>
          <w:rFonts w:eastAsia="Times New Roman" w:cs="Times New Roman"/>
          <w:b/>
          <w:bCs/>
          <w:color w:val="0D0D0D" w:themeColor="text1" w:themeTint="F2"/>
          <w:szCs w:val="20"/>
        </w:rPr>
        <w:t>prespuesto</w:t>
      </w:r>
      <w:proofErr w:type="spellEnd"/>
      <w:r w:rsidRPr="00EA71DA">
        <w:rPr>
          <w:rFonts w:eastAsia="Times New Roman" w:cs="Times New Roman"/>
          <w:b/>
          <w:bCs/>
          <w:color w:val="0D0D0D" w:themeColor="text1" w:themeTint="F2"/>
          <w:szCs w:val="20"/>
        </w:rPr>
        <w:t xml:space="preserve"> y de modificaciones regulatorias para la FDA</w:t>
      </w:r>
    </w:p>
    <w:p w14:paraId="22410036" w14:textId="77777777" w:rsidR="00FE3E51" w:rsidRPr="00D65481" w:rsidRDefault="00FE3E51" w:rsidP="00FE3E51">
      <w:pPr>
        <w:contextualSpacing/>
        <w:jc w:val="center"/>
        <w:rPr>
          <w:rFonts w:eastAsia="Times New Roman" w:cs="Times New Roman"/>
          <w:color w:val="0D0D0D" w:themeColor="text1" w:themeTint="F2"/>
          <w:szCs w:val="20"/>
        </w:rPr>
      </w:pPr>
      <w:r w:rsidRPr="00D65481">
        <w:rPr>
          <w:rFonts w:eastAsia="Times New Roman" w:cs="Times New Roman"/>
          <w:color w:val="0D0D0D" w:themeColor="text1" w:themeTint="F2"/>
          <w:szCs w:val="20"/>
        </w:rPr>
        <w:t>Salud y Fármacos</w:t>
      </w:r>
    </w:p>
    <w:p w14:paraId="32B1EB3E" w14:textId="77777777" w:rsidR="00FE3E51" w:rsidRPr="00A21F37" w:rsidRDefault="00FE3E51" w:rsidP="00FE3E51">
      <w:pPr>
        <w:jc w:val="center"/>
        <w:rPr>
          <w:lang w:val="es-ES"/>
        </w:rPr>
      </w:pPr>
      <w:r w:rsidRPr="00CA0441">
        <w:rPr>
          <w:rFonts w:cs="Times New Roman"/>
          <w:i/>
          <w:iCs/>
          <w:szCs w:val="20"/>
          <w:lang w:val="es-ES"/>
        </w:rPr>
        <w:t xml:space="preserve">Boletín Fármacos: </w:t>
      </w:r>
      <w:r>
        <w:rPr>
          <w:rFonts w:eastAsia="Times New Roman" w:cs="Times New Roman"/>
          <w:bCs/>
          <w:i/>
          <w:iCs/>
          <w:color w:val="000000" w:themeColor="text1"/>
          <w:szCs w:val="16"/>
          <w:lang w:val="es-ES"/>
        </w:rPr>
        <w:t>Age</w:t>
      </w:r>
      <w:r w:rsidRPr="00A21F37">
        <w:rPr>
          <w:rFonts w:eastAsia="Times New Roman" w:cs="Times New Roman"/>
          <w:bCs/>
          <w:i/>
          <w:iCs/>
          <w:color w:val="000000" w:themeColor="text1"/>
          <w:szCs w:val="16"/>
          <w:lang w:val="es-ES"/>
        </w:rPr>
        <w:t>ncia</w:t>
      </w:r>
      <w:r>
        <w:rPr>
          <w:rFonts w:eastAsia="Times New Roman" w:cs="Times New Roman"/>
          <w:bCs/>
          <w:i/>
          <w:iCs/>
          <w:color w:val="000000" w:themeColor="text1"/>
          <w:szCs w:val="16"/>
          <w:lang w:val="es-ES"/>
        </w:rPr>
        <w:t>s Reguladoras</w:t>
      </w:r>
      <w:r w:rsidRPr="00A21F37">
        <w:rPr>
          <w:rFonts w:eastAsia="Times New Roman" w:cs="Times New Roman"/>
          <w:bCs/>
          <w:i/>
          <w:iCs/>
          <w:color w:val="000000" w:themeColor="text1"/>
          <w:szCs w:val="16"/>
          <w:lang w:val="es-ES"/>
        </w:rPr>
        <w:t xml:space="preserve"> 2026; 29(</w:t>
      </w:r>
      <w:r>
        <w:rPr>
          <w:rFonts w:eastAsia="Times New Roman" w:cs="Times New Roman"/>
          <w:bCs/>
          <w:i/>
          <w:iCs/>
          <w:color w:val="000000" w:themeColor="text1"/>
          <w:szCs w:val="16"/>
          <w:lang w:val="es-ES"/>
        </w:rPr>
        <w:t>3</w:t>
      </w:r>
      <w:r w:rsidRPr="00A21F37">
        <w:rPr>
          <w:rFonts w:eastAsia="Times New Roman" w:cs="Times New Roman"/>
          <w:bCs/>
          <w:i/>
          <w:iCs/>
          <w:color w:val="000000" w:themeColor="text1"/>
          <w:szCs w:val="16"/>
          <w:lang w:val="es-ES"/>
        </w:rPr>
        <w:t>)</w:t>
      </w:r>
    </w:p>
    <w:p w14:paraId="6E9A68E9" w14:textId="77777777" w:rsidR="00FE3E51" w:rsidRPr="00564D6D" w:rsidRDefault="00FE3E51" w:rsidP="00FE3E51">
      <w:pPr>
        <w:contextualSpacing/>
        <w:jc w:val="center"/>
        <w:rPr>
          <w:rFonts w:eastAsia="Times New Roman" w:cs="Times New Roman"/>
          <w:color w:val="0D0D0D" w:themeColor="text1" w:themeTint="F2"/>
          <w:szCs w:val="20"/>
        </w:rPr>
      </w:pPr>
    </w:p>
    <w:p w14:paraId="32A34327" w14:textId="77777777" w:rsidR="00140BE1" w:rsidRDefault="00140BE1" w:rsidP="00FE3E51">
      <w:pPr>
        <w:contextualSpacing/>
        <w:rPr>
          <w:rFonts w:eastAsia="Times New Roman" w:cs="Times New Roman"/>
          <w:b/>
          <w:bCs/>
          <w:color w:val="0D0D0D" w:themeColor="text1" w:themeTint="F2"/>
          <w:sz w:val="18"/>
          <w:szCs w:val="18"/>
        </w:rPr>
        <w:sectPr w:rsidR="00140BE1" w:rsidSect="00F25512">
          <w:type w:val="continuous"/>
          <w:pgSz w:w="12240" w:h="15840" w:code="1"/>
          <w:pgMar w:top="720" w:right="720" w:bottom="720" w:left="720" w:header="288" w:footer="288" w:gutter="0"/>
          <w:cols w:space="288"/>
          <w:docGrid w:linePitch="360"/>
        </w:sectPr>
      </w:pPr>
    </w:p>
    <w:p w14:paraId="34B7A61C" w14:textId="7535F920" w:rsidR="00FE3E51" w:rsidRPr="00D65481" w:rsidRDefault="00FE3E51" w:rsidP="00FE3E51">
      <w:pPr>
        <w:contextualSpacing/>
        <w:rPr>
          <w:rFonts w:eastAsia="Times New Roman" w:cs="Times New Roman"/>
          <w:b/>
          <w:bCs/>
          <w:color w:val="0D0D0D" w:themeColor="text1" w:themeTint="F2"/>
          <w:sz w:val="18"/>
          <w:szCs w:val="18"/>
        </w:rPr>
      </w:pPr>
      <w:r w:rsidRPr="00D65481">
        <w:rPr>
          <w:rFonts w:eastAsia="Times New Roman" w:cs="Times New Roman"/>
          <w:b/>
          <w:bCs/>
          <w:color w:val="0D0D0D" w:themeColor="text1" w:themeTint="F2"/>
          <w:sz w:val="18"/>
          <w:szCs w:val="18"/>
        </w:rPr>
        <w:t>Tags: propuestas legislativas FDA 2027, regulación FDA 2027, cambios del financiamiento FDA, presupuesto FDA año fiscal 2027</w:t>
      </w:r>
    </w:p>
    <w:p w14:paraId="046C5691" w14:textId="77777777" w:rsidR="00FE3E51" w:rsidRPr="00D65481" w:rsidRDefault="00FE3E51" w:rsidP="00FE3E51">
      <w:pPr>
        <w:contextualSpacing/>
        <w:rPr>
          <w:rFonts w:eastAsia="Times New Roman" w:cs="Times New Roman"/>
          <w:color w:val="0D0D0D" w:themeColor="text1" w:themeTint="F2"/>
          <w:szCs w:val="20"/>
        </w:rPr>
      </w:pPr>
    </w:p>
    <w:p w14:paraId="4B41BCB6" w14:textId="77777777" w:rsidR="00FE3E51" w:rsidRDefault="00FE3E51" w:rsidP="00FE3E51">
      <w:pPr>
        <w:contextualSpacing/>
        <w:rPr>
          <w:rFonts w:eastAsia="Times New Roman" w:cs="Times New Roman"/>
          <w:color w:val="0D0D0D" w:themeColor="text1" w:themeTint="F2"/>
          <w:szCs w:val="20"/>
        </w:rPr>
      </w:pPr>
      <w:r>
        <w:rPr>
          <w:rFonts w:eastAsia="Times New Roman" w:cs="Times New Roman"/>
          <w:color w:val="0D0D0D" w:themeColor="text1" w:themeTint="F2"/>
          <w:szCs w:val="20"/>
        </w:rPr>
        <w:t xml:space="preserve">Barret y Megan escribieron un artículo [1] sobre los aspectos del Presupuesto que el presidente de EE UU ha solicitado al Congreso para 2027 que afectan a la FDA. En concreto, articulo describe: </w:t>
      </w:r>
      <w:r w:rsidRPr="0042686B">
        <w:rPr>
          <w:rFonts w:eastAsia="Times New Roman" w:cs="Times New Roman"/>
          <w:color w:val="0D0D0D" w:themeColor="text1" w:themeTint="F2"/>
          <w:szCs w:val="20"/>
        </w:rPr>
        <w:t xml:space="preserve">(1) </w:t>
      </w:r>
      <w:r>
        <w:rPr>
          <w:rFonts w:eastAsia="Times New Roman" w:cs="Times New Roman"/>
          <w:color w:val="0D0D0D" w:themeColor="text1" w:themeTint="F2"/>
          <w:szCs w:val="20"/>
        </w:rPr>
        <w:t>el</w:t>
      </w:r>
      <w:r w:rsidRPr="0042686B">
        <w:rPr>
          <w:rFonts w:eastAsia="Times New Roman" w:cs="Times New Roman"/>
          <w:color w:val="0D0D0D" w:themeColor="text1" w:themeTint="F2"/>
          <w:szCs w:val="20"/>
        </w:rPr>
        <w:t xml:space="preserve"> </w:t>
      </w:r>
      <w:r>
        <w:rPr>
          <w:rFonts w:eastAsia="Times New Roman" w:cs="Times New Roman"/>
          <w:color w:val="0D0D0D" w:themeColor="text1" w:themeTint="F2"/>
          <w:szCs w:val="20"/>
        </w:rPr>
        <w:t xml:space="preserve">monto de </w:t>
      </w:r>
      <w:r w:rsidRPr="0042686B">
        <w:rPr>
          <w:rFonts w:eastAsia="Times New Roman" w:cs="Times New Roman"/>
          <w:color w:val="0D0D0D" w:themeColor="text1" w:themeTint="F2"/>
          <w:szCs w:val="20"/>
        </w:rPr>
        <w:t xml:space="preserve">financiación </w:t>
      </w:r>
      <w:r>
        <w:rPr>
          <w:rFonts w:eastAsia="Times New Roman" w:cs="Times New Roman"/>
          <w:color w:val="0D0D0D" w:themeColor="text1" w:themeTint="F2"/>
          <w:szCs w:val="20"/>
        </w:rPr>
        <w:t xml:space="preserve">que se solicita para </w:t>
      </w:r>
      <w:r w:rsidRPr="0042686B">
        <w:rPr>
          <w:rFonts w:eastAsia="Times New Roman" w:cs="Times New Roman"/>
          <w:color w:val="0D0D0D" w:themeColor="text1" w:themeTint="F2"/>
          <w:szCs w:val="20"/>
        </w:rPr>
        <w:t xml:space="preserve">la FDA para el año fiscal 2027 y </w:t>
      </w:r>
      <w:r>
        <w:rPr>
          <w:rFonts w:eastAsia="Times New Roman" w:cs="Times New Roman"/>
          <w:color w:val="0D0D0D" w:themeColor="text1" w:themeTint="F2"/>
          <w:szCs w:val="20"/>
        </w:rPr>
        <w:t>lo compara</w:t>
      </w:r>
      <w:r w:rsidRPr="0042686B">
        <w:rPr>
          <w:rFonts w:eastAsia="Times New Roman" w:cs="Times New Roman"/>
          <w:color w:val="0D0D0D" w:themeColor="text1" w:themeTint="F2"/>
          <w:szCs w:val="20"/>
        </w:rPr>
        <w:t xml:space="preserve"> con el presupuesto actual y </w:t>
      </w:r>
      <w:r>
        <w:rPr>
          <w:rFonts w:eastAsia="Times New Roman" w:cs="Times New Roman"/>
          <w:color w:val="0D0D0D" w:themeColor="text1" w:themeTint="F2"/>
          <w:szCs w:val="20"/>
        </w:rPr>
        <w:t>los</w:t>
      </w:r>
      <w:r w:rsidRPr="0042686B">
        <w:rPr>
          <w:rFonts w:eastAsia="Times New Roman" w:cs="Times New Roman"/>
          <w:color w:val="0D0D0D" w:themeColor="text1" w:themeTint="F2"/>
          <w:szCs w:val="20"/>
        </w:rPr>
        <w:t xml:space="preserve"> años anteriores; </w:t>
      </w:r>
      <w:r>
        <w:rPr>
          <w:rFonts w:eastAsia="Times New Roman" w:cs="Times New Roman"/>
          <w:color w:val="0D0D0D" w:themeColor="text1" w:themeTint="F2"/>
          <w:szCs w:val="20"/>
        </w:rPr>
        <w:t xml:space="preserve">y </w:t>
      </w:r>
      <w:r w:rsidRPr="0042686B">
        <w:rPr>
          <w:rFonts w:eastAsia="Times New Roman" w:cs="Times New Roman"/>
          <w:color w:val="0D0D0D" w:themeColor="text1" w:themeTint="F2"/>
          <w:szCs w:val="20"/>
        </w:rPr>
        <w:t xml:space="preserve">(2) las propuestas </w:t>
      </w:r>
      <w:r>
        <w:rPr>
          <w:rFonts w:eastAsia="Times New Roman" w:cs="Times New Roman"/>
          <w:color w:val="0D0D0D" w:themeColor="text1" w:themeTint="F2"/>
          <w:szCs w:val="20"/>
        </w:rPr>
        <w:t xml:space="preserve">legislativas/ </w:t>
      </w:r>
      <w:r w:rsidRPr="0042686B">
        <w:rPr>
          <w:rFonts w:eastAsia="Times New Roman" w:cs="Times New Roman"/>
          <w:color w:val="0D0D0D" w:themeColor="text1" w:themeTint="F2"/>
          <w:szCs w:val="20"/>
        </w:rPr>
        <w:t>normativas que la administración Trump ha incluido en este presupuesto.</w:t>
      </w:r>
      <w:r>
        <w:rPr>
          <w:rFonts w:eastAsia="Times New Roman" w:cs="Times New Roman"/>
          <w:color w:val="0D0D0D" w:themeColor="text1" w:themeTint="F2"/>
          <w:szCs w:val="20"/>
        </w:rPr>
        <w:t xml:space="preserve"> </w:t>
      </w:r>
    </w:p>
    <w:p w14:paraId="33F16943" w14:textId="77777777" w:rsidR="00FE3E51" w:rsidRDefault="00FE3E51" w:rsidP="00FE3E51">
      <w:pPr>
        <w:contextualSpacing/>
        <w:rPr>
          <w:rFonts w:eastAsia="Times New Roman" w:cs="Times New Roman"/>
          <w:color w:val="0D0D0D" w:themeColor="text1" w:themeTint="F2"/>
          <w:szCs w:val="20"/>
        </w:rPr>
      </w:pPr>
    </w:p>
    <w:p w14:paraId="4F5FEC55" w14:textId="77777777" w:rsidR="00FE3E51" w:rsidRDefault="00FE3E51" w:rsidP="00FE3E51">
      <w:pPr>
        <w:contextualSpacing/>
        <w:rPr>
          <w:rFonts w:eastAsia="Times New Roman" w:cs="Times New Roman"/>
          <w:color w:val="0D0D0D" w:themeColor="text1" w:themeTint="F2"/>
          <w:szCs w:val="20"/>
        </w:rPr>
      </w:pPr>
      <w:r>
        <w:rPr>
          <w:rFonts w:eastAsia="Times New Roman" w:cs="Times New Roman"/>
          <w:color w:val="0D0D0D" w:themeColor="text1" w:themeTint="F2"/>
          <w:szCs w:val="20"/>
        </w:rPr>
        <w:t xml:space="preserve">En términos de financiación para la FDA </w:t>
      </w:r>
      <w:r w:rsidRPr="001E6BEB">
        <w:rPr>
          <w:rFonts w:eastAsia="Times New Roman" w:cs="Times New Roman"/>
          <w:color w:val="0D0D0D" w:themeColor="text1" w:themeTint="F2"/>
          <w:szCs w:val="20"/>
        </w:rPr>
        <w:t>para el año fiscal 2027</w:t>
      </w:r>
      <w:r>
        <w:rPr>
          <w:rFonts w:eastAsia="Times New Roman" w:cs="Times New Roman"/>
          <w:color w:val="0D0D0D" w:themeColor="text1" w:themeTint="F2"/>
          <w:szCs w:val="20"/>
        </w:rPr>
        <w:t>, el presupuesto</w:t>
      </w:r>
      <w:r w:rsidRPr="001E6BEB">
        <w:rPr>
          <w:rFonts w:eastAsia="Times New Roman" w:cs="Times New Roman"/>
          <w:color w:val="0D0D0D" w:themeColor="text1" w:themeTint="F2"/>
          <w:szCs w:val="20"/>
        </w:rPr>
        <w:t xml:space="preserve"> incluye </w:t>
      </w:r>
      <w:r>
        <w:rPr>
          <w:rFonts w:eastAsia="Times New Roman" w:cs="Times New Roman"/>
          <w:color w:val="0D0D0D" w:themeColor="text1" w:themeTint="F2"/>
          <w:szCs w:val="20"/>
        </w:rPr>
        <w:t>US$</w:t>
      </w:r>
      <w:r w:rsidRPr="001E6BEB">
        <w:rPr>
          <w:rFonts w:eastAsia="Times New Roman" w:cs="Times New Roman"/>
          <w:color w:val="0D0D0D" w:themeColor="text1" w:themeTint="F2"/>
          <w:szCs w:val="20"/>
        </w:rPr>
        <w:t>3</w:t>
      </w:r>
      <w:r>
        <w:rPr>
          <w:rFonts w:eastAsia="Times New Roman" w:cs="Times New Roman"/>
          <w:color w:val="0D0D0D" w:themeColor="text1" w:themeTint="F2"/>
          <w:szCs w:val="20"/>
        </w:rPr>
        <w:t>.</w:t>
      </w:r>
      <w:r w:rsidRPr="001E6BEB">
        <w:rPr>
          <w:rFonts w:eastAsia="Times New Roman" w:cs="Times New Roman"/>
          <w:color w:val="0D0D0D" w:themeColor="text1" w:themeTint="F2"/>
          <w:szCs w:val="20"/>
        </w:rPr>
        <w:t xml:space="preserve">300 millones en presupuesto discrecional y </w:t>
      </w:r>
      <w:r>
        <w:rPr>
          <w:rFonts w:eastAsia="Times New Roman" w:cs="Times New Roman"/>
          <w:color w:val="0D0D0D" w:themeColor="text1" w:themeTint="F2"/>
          <w:szCs w:val="20"/>
        </w:rPr>
        <w:t>US$</w:t>
      </w:r>
      <w:r w:rsidRPr="001E6BEB">
        <w:rPr>
          <w:rFonts w:eastAsia="Times New Roman" w:cs="Times New Roman"/>
          <w:color w:val="0D0D0D" w:themeColor="text1" w:themeTint="F2"/>
          <w:szCs w:val="20"/>
        </w:rPr>
        <w:t>3</w:t>
      </w:r>
      <w:r>
        <w:rPr>
          <w:rFonts w:eastAsia="Times New Roman" w:cs="Times New Roman"/>
          <w:color w:val="0D0D0D" w:themeColor="text1" w:themeTint="F2"/>
          <w:szCs w:val="20"/>
        </w:rPr>
        <w:t>.</w:t>
      </w:r>
      <w:r w:rsidRPr="001E6BEB">
        <w:rPr>
          <w:rFonts w:eastAsia="Times New Roman" w:cs="Times New Roman"/>
          <w:color w:val="0D0D0D" w:themeColor="text1" w:themeTint="F2"/>
          <w:szCs w:val="20"/>
        </w:rPr>
        <w:t xml:space="preserve">900 millones en tarifas de usuario, </w:t>
      </w:r>
      <w:r>
        <w:rPr>
          <w:rFonts w:eastAsia="Times New Roman" w:cs="Times New Roman"/>
          <w:color w:val="0D0D0D" w:themeColor="text1" w:themeTint="F2"/>
          <w:szCs w:val="20"/>
        </w:rPr>
        <w:t>es decir US$</w:t>
      </w:r>
      <w:r w:rsidRPr="001E6BEB">
        <w:rPr>
          <w:rFonts w:eastAsia="Times New Roman" w:cs="Times New Roman"/>
          <w:color w:val="0D0D0D" w:themeColor="text1" w:themeTint="F2"/>
          <w:szCs w:val="20"/>
        </w:rPr>
        <w:t>7</w:t>
      </w:r>
      <w:r>
        <w:rPr>
          <w:rFonts w:eastAsia="Times New Roman" w:cs="Times New Roman"/>
          <w:color w:val="0D0D0D" w:themeColor="text1" w:themeTint="F2"/>
          <w:szCs w:val="20"/>
        </w:rPr>
        <w:t>.</w:t>
      </w:r>
      <w:r w:rsidRPr="001E6BEB">
        <w:rPr>
          <w:rFonts w:eastAsia="Times New Roman" w:cs="Times New Roman"/>
          <w:color w:val="0D0D0D" w:themeColor="text1" w:themeTint="F2"/>
          <w:szCs w:val="20"/>
        </w:rPr>
        <w:t>200 en total</w:t>
      </w:r>
      <w:r>
        <w:rPr>
          <w:rFonts w:eastAsia="Times New Roman" w:cs="Times New Roman"/>
          <w:color w:val="0D0D0D" w:themeColor="text1" w:themeTint="F2"/>
          <w:szCs w:val="20"/>
        </w:rPr>
        <w:t>,</w:t>
      </w:r>
      <w:r w:rsidRPr="001E6BEB">
        <w:rPr>
          <w:rFonts w:eastAsia="Times New Roman" w:cs="Times New Roman"/>
          <w:color w:val="0D0D0D" w:themeColor="text1" w:themeTint="F2"/>
          <w:szCs w:val="20"/>
        </w:rPr>
        <w:t xml:space="preserve"> lo que representa un modesto aumento </w:t>
      </w:r>
      <w:r>
        <w:rPr>
          <w:rFonts w:eastAsia="Times New Roman" w:cs="Times New Roman"/>
          <w:color w:val="0D0D0D" w:themeColor="text1" w:themeTint="F2"/>
          <w:szCs w:val="20"/>
        </w:rPr>
        <w:t>respecto al presupuesto vigente (US$6.900 millones), y</w:t>
      </w:r>
      <w:r w:rsidRPr="001E6BEB">
        <w:rPr>
          <w:rFonts w:eastAsia="Times New Roman" w:cs="Times New Roman"/>
          <w:color w:val="0D0D0D" w:themeColor="text1" w:themeTint="F2"/>
          <w:szCs w:val="20"/>
        </w:rPr>
        <w:t xml:space="preserve"> contrasta con la propuesta de implementar recortes significativos a otras </w:t>
      </w:r>
      <w:r>
        <w:rPr>
          <w:rFonts w:eastAsia="Times New Roman" w:cs="Times New Roman"/>
          <w:color w:val="0D0D0D" w:themeColor="text1" w:themeTint="F2"/>
          <w:szCs w:val="20"/>
        </w:rPr>
        <w:t>dependenci</w:t>
      </w:r>
      <w:r w:rsidRPr="001E6BEB">
        <w:rPr>
          <w:rFonts w:eastAsia="Times New Roman" w:cs="Times New Roman"/>
          <w:color w:val="0D0D0D" w:themeColor="text1" w:themeTint="F2"/>
          <w:szCs w:val="20"/>
        </w:rPr>
        <w:t>as dentro del Departamento de Salud y Servicios Humanos.</w:t>
      </w:r>
    </w:p>
    <w:p w14:paraId="2DFA4D2D" w14:textId="77777777" w:rsidR="00FE3E51" w:rsidRDefault="00FE3E51" w:rsidP="00FE3E51">
      <w:pPr>
        <w:contextualSpacing/>
        <w:rPr>
          <w:rFonts w:eastAsia="Times New Roman" w:cs="Times New Roman"/>
          <w:color w:val="0D0D0D" w:themeColor="text1" w:themeTint="F2"/>
          <w:szCs w:val="20"/>
        </w:rPr>
      </w:pPr>
    </w:p>
    <w:p w14:paraId="766F7815" w14:textId="77777777" w:rsidR="00FE3E51" w:rsidRPr="0042686B" w:rsidRDefault="00FE3E51" w:rsidP="00FE3E51">
      <w:pPr>
        <w:contextualSpacing/>
        <w:rPr>
          <w:rFonts w:eastAsia="Times New Roman" w:cs="Times New Roman"/>
          <w:b/>
          <w:color w:val="FF0000"/>
          <w:szCs w:val="20"/>
        </w:rPr>
      </w:pPr>
      <w:r w:rsidRPr="0042686B">
        <w:rPr>
          <w:rFonts w:eastAsia="Times New Roman" w:cs="Times New Roman"/>
          <w:b/>
          <w:color w:val="0D0D0D" w:themeColor="text1" w:themeTint="F2"/>
          <w:szCs w:val="20"/>
        </w:rPr>
        <w:t>Propuestas normativas/legislativas:</w:t>
      </w:r>
    </w:p>
    <w:p w14:paraId="2D5EBB6F" w14:textId="77777777" w:rsidR="00FE3E51" w:rsidRDefault="00FE3E51" w:rsidP="00FE3E51">
      <w:pPr>
        <w:contextualSpacing/>
        <w:rPr>
          <w:rFonts w:eastAsia="Times New Roman" w:cs="Times New Roman"/>
          <w:color w:val="0D0D0D" w:themeColor="text1" w:themeTint="F2"/>
          <w:szCs w:val="20"/>
        </w:rPr>
      </w:pPr>
    </w:p>
    <w:p w14:paraId="26496A44" w14:textId="77777777" w:rsidR="00FE3E51" w:rsidRPr="0042686B" w:rsidRDefault="00FE3E51" w:rsidP="00FE3E51">
      <w:pPr>
        <w:contextualSpacing/>
        <w:rPr>
          <w:rFonts w:eastAsia="Times New Roman" w:cs="Times New Roman"/>
          <w:b/>
          <w:color w:val="0D0D0D" w:themeColor="text1" w:themeTint="F2"/>
          <w:szCs w:val="20"/>
        </w:rPr>
      </w:pPr>
      <w:r w:rsidRPr="0042686B">
        <w:rPr>
          <w:rFonts w:eastAsia="Times New Roman" w:cs="Times New Roman"/>
          <w:b/>
          <w:color w:val="0D0D0D" w:themeColor="text1" w:themeTint="F2"/>
          <w:szCs w:val="20"/>
        </w:rPr>
        <w:t>Acelera</w:t>
      </w:r>
      <w:r>
        <w:rPr>
          <w:rFonts w:eastAsia="Times New Roman" w:cs="Times New Roman"/>
          <w:b/>
          <w:color w:val="0D0D0D" w:themeColor="text1" w:themeTint="F2"/>
          <w:szCs w:val="20"/>
        </w:rPr>
        <w:t>r</w:t>
      </w:r>
      <w:r w:rsidRPr="0042686B">
        <w:rPr>
          <w:rFonts w:eastAsia="Times New Roman" w:cs="Times New Roman"/>
          <w:b/>
          <w:color w:val="0D0D0D" w:themeColor="text1" w:themeTint="F2"/>
          <w:szCs w:val="20"/>
        </w:rPr>
        <w:t xml:space="preserve"> los plazos de revisión e incentivo</w:t>
      </w:r>
      <w:r>
        <w:rPr>
          <w:rFonts w:eastAsia="Times New Roman" w:cs="Times New Roman"/>
          <w:b/>
          <w:color w:val="0D0D0D" w:themeColor="text1" w:themeTint="F2"/>
          <w:szCs w:val="20"/>
        </w:rPr>
        <w:t>s</w:t>
      </w:r>
      <w:r w:rsidRPr="0042686B">
        <w:rPr>
          <w:rFonts w:eastAsia="Times New Roman" w:cs="Times New Roman"/>
          <w:b/>
          <w:color w:val="0D0D0D" w:themeColor="text1" w:themeTint="F2"/>
          <w:szCs w:val="20"/>
        </w:rPr>
        <w:t xml:space="preserve"> para el desarrollo de nuevos fármacos</w:t>
      </w:r>
    </w:p>
    <w:p w14:paraId="697E7D7B" w14:textId="77777777" w:rsidR="00FE3E51" w:rsidRPr="0042686B" w:rsidRDefault="00FE3E51" w:rsidP="002478D5">
      <w:pPr>
        <w:pStyle w:val="Prrafodelista"/>
        <w:numPr>
          <w:ilvl w:val="0"/>
          <w:numId w:val="33"/>
        </w:numPr>
        <w:ind w:left="180" w:hanging="180"/>
        <w:rPr>
          <w:rFonts w:eastAsia="Times New Roman" w:cs="Times New Roman"/>
          <w:color w:val="0D0D0D" w:themeColor="text1" w:themeTint="F2"/>
          <w:szCs w:val="20"/>
        </w:rPr>
      </w:pPr>
      <w:r w:rsidRPr="0042686B">
        <w:rPr>
          <w:rFonts w:eastAsia="Times New Roman" w:cs="Times New Roman"/>
          <w:color w:val="0D0D0D" w:themeColor="text1" w:themeTint="F2"/>
          <w:szCs w:val="20"/>
        </w:rPr>
        <w:t>Crear una vía acelerada para la aprobación de ensayos clínicos basada en el riesgo, como alternativa al proceso tradicional de Nuevo Fármaco en Investigación (IND).</w:t>
      </w:r>
    </w:p>
    <w:p w14:paraId="34A0BC2A" w14:textId="77777777" w:rsidR="00FE3E51" w:rsidRPr="0042686B" w:rsidRDefault="00FE3E51" w:rsidP="00FE3E51">
      <w:pPr>
        <w:ind w:left="180" w:hanging="180"/>
        <w:contextualSpacing/>
        <w:rPr>
          <w:rFonts w:eastAsia="Times New Roman" w:cs="Times New Roman"/>
          <w:color w:val="0D0D0D" w:themeColor="text1" w:themeTint="F2"/>
          <w:szCs w:val="20"/>
        </w:rPr>
      </w:pPr>
    </w:p>
    <w:p w14:paraId="155F60FD" w14:textId="77777777" w:rsidR="00FE3E51" w:rsidRPr="0042686B" w:rsidRDefault="00FE3E51" w:rsidP="002478D5">
      <w:pPr>
        <w:pStyle w:val="Prrafodelista"/>
        <w:numPr>
          <w:ilvl w:val="0"/>
          <w:numId w:val="33"/>
        </w:numPr>
        <w:ind w:left="180" w:hanging="180"/>
        <w:rPr>
          <w:rFonts w:eastAsia="Times New Roman" w:cs="Times New Roman"/>
          <w:color w:val="0D0D0D" w:themeColor="text1" w:themeTint="F2"/>
          <w:szCs w:val="20"/>
        </w:rPr>
      </w:pPr>
      <w:r w:rsidRPr="0042686B">
        <w:rPr>
          <w:rFonts w:eastAsia="Times New Roman" w:cs="Times New Roman"/>
          <w:color w:val="0D0D0D" w:themeColor="text1" w:themeTint="F2"/>
          <w:szCs w:val="20"/>
        </w:rPr>
        <w:t>Establecer una vía de autorización abreviada para ciertos productos biológicos, conceptualmente similar a la vía 505(b)(2) para fármacos.</w:t>
      </w:r>
    </w:p>
    <w:p w14:paraId="07189990" w14:textId="77777777" w:rsidR="00FE3E51" w:rsidRPr="0042686B" w:rsidRDefault="00FE3E51" w:rsidP="00FE3E51">
      <w:pPr>
        <w:ind w:left="180" w:hanging="180"/>
        <w:contextualSpacing/>
        <w:rPr>
          <w:rFonts w:eastAsia="Times New Roman" w:cs="Times New Roman"/>
          <w:color w:val="0D0D0D" w:themeColor="text1" w:themeTint="F2"/>
          <w:szCs w:val="20"/>
        </w:rPr>
      </w:pPr>
    </w:p>
    <w:p w14:paraId="55C7E002" w14:textId="77777777" w:rsidR="00FE3E51" w:rsidRPr="0042686B" w:rsidRDefault="00FE3E51" w:rsidP="002478D5">
      <w:pPr>
        <w:pStyle w:val="Prrafodelista"/>
        <w:numPr>
          <w:ilvl w:val="0"/>
          <w:numId w:val="33"/>
        </w:numPr>
        <w:ind w:left="180" w:hanging="180"/>
        <w:rPr>
          <w:rFonts w:eastAsia="Times New Roman" w:cs="Times New Roman"/>
          <w:color w:val="0D0D0D" w:themeColor="text1" w:themeTint="F2"/>
          <w:szCs w:val="20"/>
        </w:rPr>
      </w:pPr>
      <w:r w:rsidRPr="0042686B">
        <w:rPr>
          <w:rFonts w:eastAsia="Times New Roman" w:cs="Times New Roman"/>
          <w:color w:val="0D0D0D" w:themeColor="text1" w:themeTint="F2"/>
          <w:szCs w:val="20"/>
        </w:rPr>
        <w:t>Reautorizar de forma permanente el programa de vales de revisión prioritaria para enfermedades pediátricas raras.</w:t>
      </w:r>
    </w:p>
    <w:p w14:paraId="6FE99D7E" w14:textId="77777777" w:rsidR="00FE3E51" w:rsidRPr="0042686B" w:rsidRDefault="00FE3E51" w:rsidP="00FE3E51">
      <w:pPr>
        <w:contextualSpacing/>
        <w:rPr>
          <w:rFonts w:eastAsia="Times New Roman" w:cs="Times New Roman"/>
          <w:color w:val="0D0D0D" w:themeColor="text1" w:themeTint="F2"/>
          <w:szCs w:val="20"/>
        </w:rPr>
      </w:pPr>
    </w:p>
    <w:p w14:paraId="704BD2C5" w14:textId="77777777" w:rsidR="00FE3E51" w:rsidRPr="0042686B" w:rsidRDefault="00FE3E51" w:rsidP="00FE3E51">
      <w:pPr>
        <w:contextualSpacing/>
        <w:rPr>
          <w:rFonts w:eastAsia="Times New Roman" w:cs="Times New Roman"/>
          <w:b/>
          <w:color w:val="0D0D0D" w:themeColor="text1" w:themeTint="F2"/>
          <w:szCs w:val="20"/>
        </w:rPr>
      </w:pPr>
      <w:r w:rsidRPr="0042686B">
        <w:rPr>
          <w:rFonts w:eastAsia="Times New Roman" w:cs="Times New Roman"/>
          <w:b/>
          <w:color w:val="0D0D0D" w:themeColor="text1" w:themeTint="F2"/>
          <w:szCs w:val="20"/>
        </w:rPr>
        <w:t xml:space="preserve">Autoridad e inspecciones </w:t>
      </w:r>
      <w:proofErr w:type="spellStart"/>
      <w:r w:rsidRPr="0042686B">
        <w:rPr>
          <w:rFonts w:eastAsia="Times New Roman" w:cs="Times New Roman"/>
          <w:b/>
          <w:color w:val="0D0D0D" w:themeColor="text1" w:themeTint="F2"/>
          <w:szCs w:val="20"/>
        </w:rPr>
        <w:t>poscomercialización</w:t>
      </w:r>
      <w:proofErr w:type="spellEnd"/>
    </w:p>
    <w:p w14:paraId="27E1D444" w14:textId="77777777" w:rsidR="00FE3E51" w:rsidRPr="0042686B" w:rsidRDefault="00FE3E51" w:rsidP="002478D5">
      <w:pPr>
        <w:pStyle w:val="Prrafodelista"/>
        <w:numPr>
          <w:ilvl w:val="0"/>
          <w:numId w:val="34"/>
        </w:numPr>
        <w:ind w:left="180" w:hanging="180"/>
        <w:rPr>
          <w:rFonts w:eastAsia="Times New Roman" w:cs="Times New Roman"/>
          <w:color w:val="0D0D0D" w:themeColor="text1" w:themeTint="F2"/>
          <w:szCs w:val="20"/>
        </w:rPr>
      </w:pPr>
      <w:r w:rsidRPr="0042686B">
        <w:rPr>
          <w:rFonts w:eastAsia="Times New Roman" w:cs="Times New Roman"/>
          <w:color w:val="0D0D0D" w:themeColor="text1" w:themeTint="F2"/>
          <w:szCs w:val="20"/>
        </w:rPr>
        <w:t>Codificar los requisitos relacionados con el "</w:t>
      </w:r>
      <w:r w:rsidRPr="0042686B">
        <w:rPr>
          <w:rFonts w:eastAsia="Times New Roman" w:cs="Times New Roman"/>
          <w:i/>
          <w:color w:val="0D0D0D" w:themeColor="text1" w:themeTint="F2"/>
          <w:szCs w:val="20"/>
        </w:rPr>
        <w:t>equilibrio justo</w:t>
      </w:r>
      <w:r w:rsidRPr="0042686B">
        <w:rPr>
          <w:rFonts w:eastAsia="Times New Roman" w:cs="Times New Roman"/>
          <w:color w:val="0D0D0D" w:themeColor="text1" w:themeTint="F2"/>
          <w:szCs w:val="20"/>
        </w:rPr>
        <w:t>"</w:t>
      </w:r>
      <w:r>
        <w:rPr>
          <w:rFonts w:eastAsia="Times New Roman" w:cs="Times New Roman"/>
          <w:color w:val="0D0D0D" w:themeColor="text1" w:themeTint="F2"/>
          <w:szCs w:val="20"/>
        </w:rPr>
        <w:t>,</w:t>
      </w:r>
      <w:r w:rsidRPr="0042686B">
        <w:rPr>
          <w:rFonts w:eastAsia="Times New Roman" w:cs="Times New Roman"/>
          <w:color w:val="0D0D0D" w:themeColor="text1" w:themeTint="F2"/>
          <w:szCs w:val="20"/>
        </w:rPr>
        <w:t xml:space="preserve"> y </w:t>
      </w:r>
      <w:r>
        <w:rPr>
          <w:rFonts w:eastAsia="Times New Roman" w:cs="Times New Roman"/>
          <w:color w:val="0D0D0D" w:themeColor="text1" w:themeTint="F2"/>
          <w:szCs w:val="20"/>
        </w:rPr>
        <w:t xml:space="preserve">con </w:t>
      </w:r>
      <w:r w:rsidRPr="0042686B">
        <w:rPr>
          <w:rFonts w:eastAsia="Times New Roman" w:cs="Times New Roman"/>
          <w:color w:val="0D0D0D" w:themeColor="text1" w:themeTint="F2"/>
          <w:szCs w:val="20"/>
        </w:rPr>
        <w:t xml:space="preserve">la publicidad </w:t>
      </w:r>
      <w:r>
        <w:rPr>
          <w:rFonts w:eastAsia="Times New Roman" w:cs="Times New Roman"/>
          <w:color w:val="0D0D0D" w:themeColor="text1" w:themeTint="F2"/>
          <w:szCs w:val="20"/>
        </w:rPr>
        <w:t xml:space="preserve">engañosa </w:t>
      </w:r>
      <w:r w:rsidRPr="0042686B">
        <w:rPr>
          <w:rFonts w:eastAsia="Times New Roman" w:cs="Times New Roman"/>
          <w:color w:val="0D0D0D" w:themeColor="text1" w:themeTint="F2"/>
          <w:szCs w:val="20"/>
        </w:rPr>
        <w:t xml:space="preserve">de fármacos, </w:t>
      </w:r>
      <w:r>
        <w:rPr>
          <w:rFonts w:eastAsia="Times New Roman" w:cs="Times New Roman"/>
          <w:color w:val="0D0D0D" w:themeColor="text1" w:themeTint="F2"/>
          <w:szCs w:val="20"/>
        </w:rPr>
        <w:t>y</w:t>
      </w:r>
      <w:r w:rsidRPr="0042686B">
        <w:rPr>
          <w:rFonts w:eastAsia="Times New Roman" w:cs="Times New Roman"/>
          <w:color w:val="0D0D0D" w:themeColor="text1" w:themeTint="F2"/>
          <w:szCs w:val="20"/>
        </w:rPr>
        <w:t xml:space="preserve"> establecer nuevos requisitos para la publicidad de medicamentos preparados por farmacias de formulación magistral.</w:t>
      </w:r>
    </w:p>
    <w:p w14:paraId="1D99028E" w14:textId="77777777" w:rsidR="00FE3E51" w:rsidRPr="0042686B" w:rsidRDefault="00FE3E51" w:rsidP="00FE3E51">
      <w:pPr>
        <w:ind w:left="180" w:hanging="180"/>
        <w:contextualSpacing/>
        <w:rPr>
          <w:rFonts w:eastAsia="Times New Roman" w:cs="Times New Roman"/>
          <w:color w:val="0D0D0D" w:themeColor="text1" w:themeTint="F2"/>
          <w:szCs w:val="20"/>
        </w:rPr>
      </w:pPr>
    </w:p>
    <w:p w14:paraId="1203D0DD" w14:textId="77777777" w:rsidR="00FE3E51" w:rsidRPr="0042686B" w:rsidRDefault="00FE3E51" w:rsidP="002478D5">
      <w:pPr>
        <w:pStyle w:val="Prrafodelista"/>
        <w:numPr>
          <w:ilvl w:val="0"/>
          <w:numId w:val="34"/>
        </w:numPr>
        <w:ind w:left="180" w:hanging="180"/>
        <w:rPr>
          <w:rFonts w:eastAsia="Times New Roman" w:cs="Times New Roman"/>
          <w:color w:val="0D0D0D" w:themeColor="text1" w:themeTint="F2"/>
          <w:szCs w:val="20"/>
        </w:rPr>
      </w:pPr>
      <w:r w:rsidRPr="0042686B">
        <w:rPr>
          <w:rFonts w:eastAsia="Times New Roman" w:cs="Times New Roman"/>
          <w:color w:val="0D0D0D" w:themeColor="text1" w:themeTint="F2"/>
          <w:szCs w:val="20"/>
        </w:rPr>
        <w:t>Otorgar nuevas facultades a la FDA relacionadas con</w:t>
      </w:r>
      <w:r>
        <w:rPr>
          <w:rFonts w:eastAsia="Times New Roman" w:cs="Times New Roman"/>
          <w:color w:val="0D0D0D" w:themeColor="text1" w:themeTint="F2"/>
          <w:szCs w:val="20"/>
        </w:rPr>
        <w:t xml:space="preserve"> la calidad de los productos</w:t>
      </w:r>
      <w:r w:rsidRPr="0042686B">
        <w:rPr>
          <w:rFonts w:eastAsia="Times New Roman" w:cs="Times New Roman"/>
          <w:color w:val="0D0D0D" w:themeColor="text1" w:themeTint="F2"/>
          <w:szCs w:val="20"/>
        </w:rPr>
        <w:t xml:space="preserve">: </w:t>
      </w:r>
      <w:r>
        <w:rPr>
          <w:rFonts w:eastAsia="Times New Roman" w:cs="Times New Roman"/>
          <w:color w:val="0D0D0D" w:themeColor="text1" w:themeTint="F2"/>
          <w:szCs w:val="20"/>
        </w:rPr>
        <w:t>exigir</w:t>
      </w:r>
      <w:r w:rsidRPr="0042686B">
        <w:rPr>
          <w:rFonts w:eastAsia="Times New Roman" w:cs="Times New Roman"/>
          <w:color w:val="0D0D0D" w:themeColor="text1" w:themeTint="F2"/>
          <w:szCs w:val="20"/>
        </w:rPr>
        <w:t xml:space="preserve"> actualizaciones </w:t>
      </w:r>
      <w:r>
        <w:rPr>
          <w:rFonts w:eastAsia="Times New Roman" w:cs="Times New Roman"/>
          <w:color w:val="0D0D0D" w:themeColor="text1" w:themeTint="F2"/>
          <w:szCs w:val="20"/>
        </w:rPr>
        <w:t>sobre la</w:t>
      </w:r>
      <w:r w:rsidRPr="0042686B">
        <w:rPr>
          <w:rFonts w:eastAsia="Times New Roman" w:cs="Times New Roman"/>
          <w:color w:val="0D0D0D" w:themeColor="text1" w:themeTint="F2"/>
          <w:szCs w:val="20"/>
        </w:rPr>
        <w:t xml:space="preserve"> calidad tras la aprobación</w:t>
      </w:r>
      <w:r>
        <w:rPr>
          <w:rFonts w:eastAsia="Times New Roman" w:cs="Times New Roman"/>
          <w:color w:val="0D0D0D" w:themeColor="text1" w:themeTint="F2"/>
          <w:szCs w:val="20"/>
        </w:rPr>
        <w:t xml:space="preserve"> y </w:t>
      </w:r>
      <w:r w:rsidRPr="0042686B">
        <w:rPr>
          <w:rFonts w:eastAsia="Times New Roman" w:cs="Times New Roman"/>
          <w:color w:val="0D0D0D" w:themeColor="text1" w:themeTint="F2"/>
          <w:szCs w:val="20"/>
        </w:rPr>
        <w:t>la divulg</w:t>
      </w:r>
      <w:r>
        <w:rPr>
          <w:rFonts w:eastAsia="Times New Roman" w:cs="Times New Roman"/>
          <w:color w:val="0D0D0D" w:themeColor="text1" w:themeTint="F2"/>
          <w:szCs w:val="20"/>
        </w:rPr>
        <w:t xml:space="preserve">ación de </w:t>
      </w:r>
      <w:r w:rsidRPr="0042686B">
        <w:rPr>
          <w:rFonts w:eastAsia="Times New Roman" w:cs="Times New Roman"/>
          <w:color w:val="0D0D0D" w:themeColor="text1" w:themeTint="F2"/>
          <w:szCs w:val="20"/>
        </w:rPr>
        <w:t xml:space="preserve">información sobre </w:t>
      </w:r>
      <w:r>
        <w:rPr>
          <w:rFonts w:eastAsia="Times New Roman" w:cs="Times New Roman"/>
          <w:color w:val="0D0D0D" w:themeColor="text1" w:themeTint="F2"/>
          <w:szCs w:val="20"/>
        </w:rPr>
        <w:t>las</w:t>
      </w:r>
      <w:r w:rsidRPr="0042686B">
        <w:rPr>
          <w:rFonts w:eastAsia="Times New Roman" w:cs="Times New Roman"/>
          <w:color w:val="0D0D0D" w:themeColor="text1" w:themeTint="F2"/>
          <w:szCs w:val="20"/>
        </w:rPr>
        <w:t xml:space="preserve"> impurezas que supongan riesgos para la salud humana o animal; las sanciones por no facilitar datos sobre los volúmenes de fabricación de ingredientes farmacéuticos activos (IFA); y la conservación de registros y datos de productos médicos.</w:t>
      </w:r>
    </w:p>
    <w:p w14:paraId="37706881" w14:textId="77777777" w:rsidR="00FE3E51" w:rsidRPr="0042686B" w:rsidRDefault="00FE3E51" w:rsidP="00FE3E51">
      <w:pPr>
        <w:ind w:left="180" w:hanging="180"/>
        <w:contextualSpacing/>
        <w:rPr>
          <w:rFonts w:eastAsia="Times New Roman" w:cs="Times New Roman"/>
          <w:color w:val="0D0D0D" w:themeColor="text1" w:themeTint="F2"/>
          <w:szCs w:val="20"/>
        </w:rPr>
      </w:pPr>
    </w:p>
    <w:p w14:paraId="6E65FBDF" w14:textId="77777777" w:rsidR="00FE3E51" w:rsidRPr="0042686B" w:rsidRDefault="00FE3E51" w:rsidP="002478D5">
      <w:pPr>
        <w:pStyle w:val="Prrafodelista"/>
        <w:numPr>
          <w:ilvl w:val="0"/>
          <w:numId w:val="34"/>
        </w:numPr>
        <w:ind w:left="180" w:hanging="180"/>
        <w:rPr>
          <w:rFonts w:eastAsia="Times New Roman" w:cs="Times New Roman"/>
          <w:color w:val="0D0D0D" w:themeColor="text1" w:themeTint="F2"/>
          <w:szCs w:val="20"/>
        </w:rPr>
      </w:pPr>
      <w:r w:rsidRPr="0042686B">
        <w:rPr>
          <w:rFonts w:eastAsia="Times New Roman" w:cs="Times New Roman"/>
          <w:color w:val="0D0D0D" w:themeColor="text1" w:themeTint="F2"/>
          <w:szCs w:val="20"/>
        </w:rPr>
        <w:t>Clarificar la capacidad de la FDA para hacer cumplir los requisitos relacionados con cambios en la fabricación de fármacos y productos biológicos.</w:t>
      </w:r>
    </w:p>
    <w:p w14:paraId="597C8023" w14:textId="77777777" w:rsidR="00FE3E51" w:rsidRPr="0042686B" w:rsidRDefault="00FE3E51" w:rsidP="00FE3E51">
      <w:pPr>
        <w:ind w:left="180" w:hanging="180"/>
        <w:contextualSpacing/>
        <w:rPr>
          <w:rFonts w:eastAsia="Times New Roman" w:cs="Times New Roman"/>
          <w:color w:val="0D0D0D" w:themeColor="text1" w:themeTint="F2"/>
          <w:szCs w:val="20"/>
        </w:rPr>
      </w:pPr>
    </w:p>
    <w:p w14:paraId="184CAEBC" w14:textId="77777777" w:rsidR="00FE3E51" w:rsidRPr="0042686B" w:rsidRDefault="00FE3E51" w:rsidP="002478D5">
      <w:pPr>
        <w:pStyle w:val="Prrafodelista"/>
        <w:numPr>
          <w:ilvl w:val="0"/>
          <w:numId w:val="34"/>
        </w:numPr>
        <w:ind w:left="180" w:hanging="180"/>
        <w:rPr>
          <w:rFonts w:eastAsia="Times New Roman" w:cs="Times New Roman"/>
          <w:color w:val="0D0D0D" w:themeColor="text1" w:themeTint="F2"/>
          <w:szCs w:val="20"/>
        </w:rPr>
      </w:pPr>
      <w:r w:rsidRPr="0042686B">
        <w:rPr>
          <w:rFonts w:eastAsia="Times New Roman" w:cs="Times New Roman"/>
          <w:color w:val="0D0D0D" w:themeColor="text1" w:themeTint="F2"/>
          <w:szCs w:val="20"/>
        </w:rPr>
        <w:t>Eliminar las obligaciones de la FDA rela</w:t>
      </w:r>
      <w:r>
        <w:rPr>
          <w:rFonts w:eastAsia="Times New Roman" w:cs="Times New Roman"/>
          <w:color w:val="0D0D0D" w:themeColor="text1" w:themeTint="F2"/>
          <w:szCs w:val="20"/>
        </w:rPr>
        <w:t>cionadas</w:t>
      </w:r>
      <w:r w:rsidRPr="0042686B">
        <w:rPr>
          <w:rFonts w:eastAsia="Times New Roman" w:cs="Times New Roman"/>
          <w:color w:val="0D0D0D" w:themeColor="text1" w:themeTint="F2"/>
          <w:szCs w:val="20"/>
        </w:rPr>
        <w:t xml:space="preserve"> </w:t>
      </w:r>
      <w:r>
        <w:rPr>
          <w:rFonts w:eastAsia="Times New Roman" w:cs="Times New Roman"/>
          <w:color w:val="0D0D0D" w:themeColor="text1" w:themeTint="F2"/>
          <w:szCs w:val="20"/>
        </w:rPr>
        <w:t>con</w:t>
      </w:r>
      <w:r w:rsidRPr="0042686B">
        <w:rPr>
          <w:rFonts w:eastAsia="Times New Roman" w:cs="Times New Roman"/>
          <w:color w:val="0D0D0D" w:themeColor="text1" w:themeTint="F2"/>
          <w:szCs w:val="20"/>
        </w:rPr>
        <w:t xml:space="preserve"> la notificación de seguridad pediátrica </w:t>
      </w:r>
      <w:proofErr w:type="spellStart"/>
      <w:r w:rsidRPr="0042686B">
        <w:rPr>
          <w:rFonts w:eastAsia="Times New Roman" w:cs="Times New Roman"/>
          <w:color w:val="0D0D0D" w:themeColor="text1" w:themeTint="F2"/>
          <w:szCs w:val="20"/>
        </w:rPr>
        <w:t>poscomercialización</w:t>
      </w:r>
      <w:proofErr w:type="spellEnd"/>
      <w:r w:rsidRPr="0042686B">
        <w:rPr>
          <w:rFonts w:eastAsia="Times New Roman" w:cs="Times New Roman"/>
          <w:color w:val="0D0D0D" w:themeColor="text1" w:themeTint="F2"/>
          <w:szCs w:val="20"/>
        </w:rPr>
        <w:t xml:space="preserve">, a fin de </w:t>
      </w:r>
      <w:r>
        <w:rPr>
          <w:rFonts w:eastAsia="Times New Roman" w:cs="Times New Roman"/>
          <w:color w:val="0D0D0D" w:themeColor="text1" w:themeTint="F2"/>
          <w:szCs w:val="20"/>
        </w:rPr>
        <w:t xml:space="preserve">que tenga </w:t>
      </w:r>
      <w:r w:rsidRPr="0042686B">
        <w:rPr>
          <w:rFonts w:eastAsia="Times New Roman" w:cs="Times New Roman"/>
          <w:color w:val="0D0D0D" w:themeColor="text1" w:themeTint="F2"/>
          <w:szCs w:val="20"/>
        </w:rPr>
        <w:t>mayor flexibilidad para adoptar un enfoque basado en el riesgo.</w:t>
      </w:r>
    </w:p>
    <w:p w14:paraId="50D82AFA" w14:textId="77777777" w:rsidR="00FE3E51" w:rsidRPr="0042686B" w:rsidRDefault="00FE3E51" w:rsidP="00FE3E51">
      <w:pPr>
        <w:ind w:left="180" w:hanging="180"/>
        <w:contextualSpacing/>
        <w:rPr>
          <w:rFonts w:eastAsia="Times New Roman" w:cs="Times New Roman"/>
          <w:color w:val="0D0D0D" w:themeColor="text1" w:themeTint="F2"/>
          <w:szCs w:val="20"/>
        </w:rPr>
      </w:pPr>
    </w:p>
    <w:p w14:paraId="0FF59A01" w14:textId="77777777" w:rsidR="00FE3E51" w:rsidRPr="0042686B" w:rsidRDefault="00FE3E51" w:rsidP="002478D5">
      <w:pPr>
        <w:pStyle w:val="Prrafodelista"/>
        <w:numPr>
          <w:ilvl w:val="0"/>
          <w:numId w:val="34"/>
        </w:numPr>
        <w:ind w:left="180" w:hanging="180"/>
        <w:rPr>
          <w:rFonts w:eastAsia="Times New Roman" w:cs="Times New Roman"/>
          <w:color w:val="0D0D0D" w:themeColor="text1" w:themeTint="F2"/>
          <w:szCs w:val="20"/>
        </w:rPr>
      </w:pPr>
      <w:r w:rsidRPr="0042686B">
        <w:rPr>
          <w:rFonts w:eastAsia="Times New Roman" w:cs="Times New Roman"/>
          <w:color w:val="0D0D0D" w:themeColor="text1" w:themeTint="F2"/>
          <w:szCs w:val="20"/>
        </w:rPr>
        <w:t>Ampliar la autoridad de la FDA en materia de reconocimiento mutuo</w:t>
      </w:r>
      <w:r>
        <w:rPr>
          <w:rFonts w:eastAsia="Times New Roman" w:cs="Times New Roman"/>
          <w:color w:val="0D0D0D" w:themeColor="text1" w:themeTint="F2"/>
          <w:szCs w:val="20"/>
        </w:rPr>
        <w:t>,</w:t>
      </w:r>
      <w:r w:rsidRPr="0042686B">
        <w:rPr>
          <w:rFonts w:eastAsia="Times New Roman" w:cs="Times New Roman"/>
          <w:color w:val="0D0D0D" w:themeColor="text1" w:themeTint="F2"/>
          <w:szCs w:val="20"/>
        </w:rPr>
        <w:t xml:space="preserve"> para incluir las inspecciones de supervisión de investigación biológica realizadas por organismos reguladores extranjeros.</w:t>
      </w:r>
    </w:p>
    <w:p w14:paraId="5C21E264" w14:textId="77777777" w:rsidR="00FE3E51" w:rsidRPr="0042686B" w:rsidRDefault="00FE3E51" w:rsidP="00FE3E51">
      <w:pPr>
        <w:ind w:left="180" w:hanging="180"/>
        <w:contextualSpacing/>
        <w:rPr>
          <w:rFonts w:eastAsia="Times New Roman" w:cs="Times New Roman"/>
          <w:color w:val="0D0D0D" w:themeColor="text1" w:themeTint="F2"/>
          <w:szCs w:val="20"/>
        </w:rPr>
      </w:pPr>
    </w:p>
    <w:p w14:paraId="1AF701DA" w14:textId="77777777" w:rsidR="00FE3E51" w:rsidRPr="0042686B" w:rsidRDefault="00FE3E51" w:rsidP="002478D5">
      <w:pPr>
        <w:pStyle w:val="Prrafodelista"/>
        <w:numPr>
          <w:ilvl w:val="0"/>
          <w:numId w:val="34"/>
        </w:numPr>
        <w:ind w:left="180" w:hanging="180"/>
        <w:rPr>
          <w:rFonts w:eastAsia="Times New Roman" w:cs="Times New Roman"/>
          <w:color w:val="0D0D0D" w:themeColor="text1" w:themeTint="F2"/>
          <w:szCs w:val="20"/>
        </w:rPr>
      </w:pPr>
      <w:r w:rsidRPr="0042686B">
        <w:rPr>
          <w:rFonts w:eastAsia="Times New Roman" w:cs="Times New Roman"/>
          <w:color w:val="0D0D0D" w:themeColor="text1" w:themeTint="F2"/>
          <w:szCs w:val="20"/>
        </w:rPr>
        <w:t>Ampliar la facultad de la FDA para exigir la destrucción de artículos cuya entrada en EE UU haya sido denegada y que representen un riesgo significativo para la salud pública.</w:t>
      </w:r>
    </w:p>
    <w:p w14:paraId="110ED4C6" w14:textId="77777777" w:rsidR="00FE3E51" w:rsidRPr="0042686B" w:rsidRDefault="00FE3E51" w:rsidP="00FE3E51">
      <w:pPr>
        <w:contextualSpacing/>
        <w:rPr>
          <w:rFonts w:eastAsia="Times New Roman" w:cs="Times New Roman"/>
          <w:color w:val="0D0D0D" w:themeColor="text1" w:themeTint="F2"/>
          <w:szCs w:val="20"/>
        </w:rPr>
      </w:pPr>
    </w:p>
    <w:p w14:paraId="01057BD6" w14:textId="77777777" w:rsidR="00FE3E51" w:rsidRPr="0042686B" w:rsidRDefault="00FE3E51" w:rsidP="00FE3E51">
      <w:pPr>
        <w:contextualSpacing/>
        <w:rPr>
          <w:rFonts w:eastAsia="Times New Roman" w:cs="Times New Roman"/>
          <w:b/>
          <w:color w:val="0D0D0D" w:themeColor="text1" w:themeTint="F2"/>
          <w:szCs w:val="20"/>
        </w:rPr>
      </w:pPr>
      <w:r w:rsidRPr="0042686B">
        <w:rPr>
          <w:rFonts w:eastAsia="Times New Roman" w:cs="Times New Roman"/>
          <w:b/>
          <w:color w:val="0D0D0D" w:themeColor="text1" w:themeTint="F2"/>
          <w:szCs w:val="20"/>
        </w:rPr>
        <w:lastRenderedPageBreak/>
        <w:t>Transparencia y proceso de revisión</w:t>
      </w:r>
    </w:p>
    <w:p w14:paraId="4A6C744B" w14:textId="77777777" w:rsidR="00FE3E51" w:rsidRPr="0042686B" w:rsidRDefault="00FE3E51" w:rsidP="002478D5">
      <w:pPr>
        <w:pStyle w:val="Prrafodelista"/>
        <w:numPr>
          <w:ilvl w:val="0"/>
          <w:numId w:val="35"/>
        </w:numPr>
        <w:tabs>
          <w:tab w:val="left" w:pos="540"/>
        </w:tabs>
        <w:ind w:left="180" w:hanging="180"/>
        <w:rPr>
          <w:rFonts w:eastAsia="Times New Roman" w:cs="Times New Roman"/>
          <w:color w:val="0D0D0D" w:themeColor="text1" w:themeTint="F2"/>
          <w:szCs w:val="20"/>
        </w:rPr>
      </w:pPr>
      <w:r w:rsidRPr="0042686B">
        <w:rPr>
          <w:rFonts w:eastAsia="Times New Roman" w:cs="Times New Roman"/>
          <w:color w:val="0D0D0D" w:themeColor="text1" w:themeTint="F2"/>
          <w:szCs w:val="20"/>
        </w:rPr>
        <w:t>Autorizar explícitamente la divulgación de cierta información contenida en las Cartas de Respuesta Completa (CRL), con el objetivo de mejorar la eficiencia en el desarrollo de fármacos.</w:t>
      </w:r>
    </w:p>
    <w:p w14:paraId="3DB639E3" w14:textId="77777777" w:rsidR="00FE3E51" w:rsidRPr="0042686B" w:rsidRDefault="00FE3E51" w:rsidP="00FE3E51">
      <w:pPr>
        <w:tabs>
          <w:tab w:val="left" w:pos="540"/>
        </w:tabs>
        <w:ind w:left="180" w:hanging="180"/>
        <w:contextualSpacing/>
        <w:rPr>
          <w:rFonts w:eastAsia="Times New Roman" w:cs="Times New Roman"/>
          <w:color w:val="0D0D0D" w:themeColor="text1" w:themeTint="F2"/>
          <w:szCs w:val="20"/>
        </w:rPr>
      </w:pPr>
    </w:p>
    <w:p w14:paraId="12D79A33" w14:textId="77777777" w:rsidR="00FE3E51" w:rsidRPr="0042686B" w:rsidRDefault="00FE3E51" w:rsidP="002478D5">
      <w:pPr>
        <w:pStyle w:val="Prrafodelista"/>
        <w:numPr>
          <w:ilvl w:val="0"/>
          <w:numId w:val="35"/>
        </w:numPr>
        <w:tabs>
          <w:tab w:val="left" w:pos="540"/>
        </w:tabs>
        <w:ind w:left="180" w:hanging="180"/>
        <w:rPr>
          <w:rFonts w:eastAsia="Times New Roman" w:cs="Times New Roman"/>
          <w:color w:val="0D0D0D" w:themeColor="text1" w:themeTint="F2"/>
          <w:szCs w:val="20"/>
        </w:rPr>
      </w:pPr>
      <w:r w:rsidRPr="0042686B">
        <w:rPr>
          <w:rFonts w:eastAsia="Times New Roman" w:cs="Times New Roman"/>
          <w:color w:val="0D0D0D" w:themeColor="text1" w:themeTint="F2"/>
          <w:szCs w:val="20"/>
        </w:rPr>
        <w:t>Aumentar la flexibilidad de la FDA respecto al uso y la composición de los comités asesores, incluyendo la posibilidad de no nombrar representantes de los consumidores ni de la industria en dichos comités y de eliminar, potencialmente, los requisitos sobre la celebración de un número mínimo de reuniones.</w:t>
      </w:r>
    </w:p>
    <w:p w14:paraId="74435D1B" w14:textId="77777777" w:rsidR="00FE3E51" w:rsidRPr="0042686B" w:rsidRDefault="00FE3E51" w:rsidP="00FE3E51">
      <w:pPr>
        <w:tabs>
          <w:tab w:val="left" w:pos="540"/>
        </w:tabs>
        <w:ind w:left="180" w:hanging="180"/>
        <w:contextualSpacing/>
        <w:rPr>
          <w:rFonts w:eastAsia="Times New Roman" w:cs="Times New Roman"/>
          <w:color w:val="0D0D0D" w:themeColor="text1" w:themeTint="F2"/>
          <w:szCs w:val="20"/>
        </w:rPr>
      </w:pPr>
    </w:p>
    <w:p w14:paraId="5757D90E" w14:textId="77777777" w:rsidR="00FE3E51" w:rsidRPr="0042686B" w:rsidRDefault="00FE3E51" w:rsidP="002478D5">
      <w:pPr>
        <w:pStyle w:val="Prrafodelista"/>
        <w:numPr>
          <w:ilvl w:val="0"/>
          <w:numId w:val="35"/>
        </w:numPr>
        <w:tabs>
          <w:tab w:val="left" w:pos="540"/>
        </w:tabs>
        <w:ind w:left="180" w:hanging="180"/>
        <w:rPr>
          <w:rFonts w:eastAsia="Times New Roman" w:cs="Times New Roman"/>
          <w:color w:val="0D0D0D" w:themeColor="text1" w:themeTint="F2"/>
          <w:szCs w:val="20"/>
        </w:rPr>
      </w:pPr>
      <w:r w:rsidRPr="0042686B">
        <w:rPr>
          <w:rFonts w:eastAsia="Times New Roman" w:cs="Times New Roman"/>
          <w:color w:val="0D0D0D" w:themeColor="text1" w:themeTint="F2"/>
          <w:szCs w:val="20"/>
        </w:rPr>
        <w:t xml:space="preserve">Eliminar el plazo legal actual de 180 días para la revisión de solicitudes de </w:t>
      </w:r>
      <w:r>
        <w:rPr>
          <w:rFonts w:eastAsia="Times New Roman" w:cs="Times New Roman"/>
          <w:color w:val="0D0D0D" w:themeColor="text1" w:themeTint="F2"/>
          <w:szCs w:val="20"/>
        </w:rPr>
        <w:t xml:space="preserve">comercialización de </w:t>
      </w:r>
      <w:r w:rsidRPr="0042686B">
        <w:rPr>
          <w:rFonts w:eastAsia="Times New Roman" w:cs="Times New Roman"/>
          <w:color w:val="0D0D0D" w:themeColor="text1" w:themeTint="F2"/>
          <w:szCs w:val="20"/>
        </w:rPr>
        <w:t xml:space="preserve">nuevos fármacos (NDA) y solicitudes abreviadas de nuevos fármacos (ANDA), con el fin de codificar los procedimientos de revisión de solicitudes vigentes desde hace tiempo bajo los programas de tasas de usuario; asimismo, modificar los procesos de audiencia para las decisiones relativas a las solicitudes, sustituyéndolos por procesos de apelación basados en los procedimientos de aprobación acelerada. </w:t>
      </w:r>
    </w:p>
    <w:p w14:paraId="602EDEDA" w14:textId="77777777" w:rsidR="00FE3E51" w:rsidRDefault="00FE3E51" w:rsidP="00FE3E51">
      <w:pPr>
        <w:contextualSpacing/>
        <w:rPr>
          <w:rFonts w:eastAsia="Times New Roman" w:cs="Times New Roman"/>
          <w:color w:val="0D0D0D" w:themeColor="text1" w:themeTint="F2"/>
          <w:szCs w:val="20"/>
        </w:rPr>
      </w:pPr>
    </w:p>
    <w:p w14:paraId="01283933" w14:textId="77777777" w:rsidR="00FE3E51" w:rsidRPr="0042686B" w:rsidRDefault="00FE3E51" w:rsidP="00FE3E51">
      <w:pPr>
        <w:contextualSpacing/>
        <w:rPr>
          <w:rFonts w:eastAsia="Times New Roman" w:cs="Times New Roman"/>
          <w:b/>
          <w:color w:val="0D0D0D" w:themeColor="text1" w:themeTint="F2"/>
          <w:szCs w:val="20"/>
        </w:rPr>
      </w:pPr>
      <w:r w:rsidRPr="0042686B">
        <w:rPr>
          <w:rFonts w:eastAsia="Times New Roman" w:cs="Times New Roman"/>
          <w:b/>
          <w:color w:val="0D0D0D" w:themeColor="text1" w:themeTint="F2"/>
          <w:szCs w:val="20"/>
        </w:rPr>
        <w:t>Biosimilares y genéricos</w:t>
      </w:r>
    </w:p>
    <w:p w14:paraId="7F27117F" w14:textId="77777777" w:rsidR="00FE3E51" w:rsidRPr="0042686B" w:rsidRDefault="00FE3E51" w:rsidP="002478D5">
      <w:pPr>
        <w:pStyle w:val="Prrafodelista"/>
        <w:numPr>
          <w:ilvl w:val="0"/>
          <w:numId w:val="37"/>
        </w:numPr>
        <w:ind w:left="180" w:hanging="180"/>
        <w:rPr>
          <w:rFonts w:eastAsia="Times New Roman" w:cs="Times New Roman"/>
          <w:color w:val="0D0D0D" w:themeColor="text1" w:themeTint="F2"/>
          <w:szCs w:val="20"/>
        </w:rPr>
      </w:pPr>
      <w:r w:rsidRPr="0042686B">
        <w:rPr>
          <w:rFonts w:eastAsia="Times New Roman" w:cs="Times New Roman"/>
          <w:color w:val="0D0D0D" w:themeColor="text1" w:themeTint="F2"/>
          <w:szCs w:val="20"/>
        </w:rPr>
        <w:t xml:space="preserve">Agilizar la revisión de biosimilares eliminando el criterio </w:t>
      </w:r>
      <w:r>
        <w:rPr>
          <w:rFonts w:eastAsia="Times New Roman" w:cs="Times New Roman"/>
          <w:color w:val="0D0D0D" w:themeColor="text1" w:themeTint="F2"/>
          <w:szCs w:val="20"/>
        </w:rPr>
        <w:t>separado de</w:t>
      </w:r>
      <w:r w:rsidRPr="0042686B">
        <w:rPr>
          <w:rFonts w:eastAsia="Times New Roman" w:cs="Times New Roman"/>
          <w:color w:val="0D0D0D" w:themeColor="text1" w:themeTint="F2"/>
          <w:szCs w:val="20"/>
        </w:rPr>
        <w:t xml:space="preserve"> intercambiabilidad, estableciendo la presunción de que no se requieren estudios clínicos comparativos de eficacia para respaldar la demostración de </w:t>
      </w:r>
      <w:proofErr w:type="spellStart"/>
      <w:r w:rsidRPr="0042686B">
        <w:rPr>
          <w:rFonts w:eastAsia="Times New Roman" w:cs="Times New Roman"/>
          <w:color w:val="0D0D0D" w:themeColor="text1" w:themeTint="F2"/>
          <w:szCs w:val="20"/>
        </w:rPr>
        <w:t>biosimilitud</w:t>
      </w:r>
      <w:proofErr w:type="spellEnd"/>
      <w:r w:rsidRPr="0042686B">
        <w:rPr>
          <w:rFonts w:eastAsia="Times New Roman" w:cs="Times New Roman"/>
          <w:color w:val="0D0D0D" w:themeColor="text1" w:themeTint="F2"/>
          <w:szCs w:val="20"/>
        </w:rPr>
        <w:t>, y suprimiendo el requisito de que los biosimilares sean evaluados por la</w:t>
      </w:r>
      <w:r>
        <w:rPr>
          <w:rFonts w:eastAsia="Times New Roman" w:cs="Times New Roman"/>
          <w:color w:val="0D0D0D" w:themeColor="text1" w:themeTint="F2"/>
          <w:szCs w:val="20"/>
        </w:rPr>
        <w:t xml:space="preserve"> </w:t>
      </w:r>
      <w:r w:rsidRPr="0042686B">
        <w:rPr>
          <w:rFonts w:eastAsia="Times New Roman" w:cs="Times New Roman"/>
          <w:color w:val="0D0D0D" w:themeColor="text1" w:themeTint="F2"/>
          <w:szCs w:val="20"/>
        </w:rPr>
        <w:t>división responsable de aprobar el producto de referencia.</w:t>
      </w:r>
    </w:p>
    <w:p w14:paraId="18D72948" w14:textId="77777777" w:rsidR="00FE3E51" w:rsidRPr="0042686B" w:rsidRDefault="00FE3E51" w:rsidP="00FE3E51">
      <w:pPr>
        <w:ind w:left="180" w:hanging="180"/>
        <w:contextualSpacing/>
        <w:rPr>
          <w:rFonts w:eastAsia="Times New Roman" w:cs="Times New Roman"/>
          <w:color w:val="0D0D0D" w:themeColor="text1" w:themeTint="F2"/>
          <w:szCs w:val="20"/>
        </w:rPr>
      </w:pPr>
    </w:p>
    <w:p w14:paraId="11575CA4" w14:textId="77777777" w:rsidR="00FE3E51" w:rsidRPr="0042686B" w:rsidRDefault="00FE3E51" w:rsidP="002478D5">
      <w:pPr>
        <w:pStyle w:val="Prrafodelista"/>
        <w:numPr>
          <w:ilvl w:val="0"/>
          <w:numId w:val="37"/>
        </w:numPr>
        <w:ind w:left="180" w:hanging="180"/>
        <w:rPr>
          <w:rFonts w:eastAsia="Times New Roman" w:cs="Times New Roman"/>
          <w:color w:val="0D0D0D" w:themeColor="text1" w:themeTint="F2"/>
          <w:szCs w:val="20"/>
        </w:rPr>
      </w:pPr>
      <w:r w:rsidRPr="0042686B">
        <w:rPr>
          <w:rFonts w:eastAsia="Times New Roman" w:cs="Times New Roman"/>
          <w:color w:val="0D0D0D" w:themeColor="text1" w:themeTint="F2"/>
          <w:szCs w:val="20"/>
        </w:rPr>
        <w:t xml:space="preserve">Clarificar los requisitos de inclusión de patentes para especificar que, para poder acogerse a la suspensión de 30 meses, el patrocinador del producto de referencia debe presentar una solicitud de patente antes de que se presente ante la FDA la solicitud del producto </w:t>
      </w:r>
      <w:r>
        <w:rPr>
          <w:rFonts w:eastAsia="Times New Roman" w:cs="Times New Roman"/>
          <w:color w:val="0D0D0D" w:themeColor="text1" w:themeTint="F2"/>
          <w:szCs w:val="20"/>
        </w:rPr>
        <w:t>genérico o biosimilar</w:t>
      </w:r>
      <w:r w:rsidRPr="0042686B">
        <w:rPr>
          <w:rFonts w:eastAsia="Times New Roman" w:cs="Times New Roman"/>
          <w:color w:val="0D0D0D" w:themeColor="text1" w:themeTint="F2"/>
          <w:szCs w:val="20"/>
        </w:rPr>
        <w:t>.</w:t>
      </w:r>
    </w:p>
    <w:p w14:paraId="5F89BCDE" w14:textId="77777777" w:rsidR="00FE3E51" w:rsidRPr="0042686B" w:rsidRDefault="00FE3E51" w:rsidP="00FE3E51">
      <w:pPr>
        <w:ind w:left="180" w:hanging="180"/>
        <w:contextualSpacing/>
        <w:rPr>
          <w:rFonts w:eastAsia="Times New Roman" w:cs="Times New Roman"/>
          <w:color w:val="0D0D0D" w:themeColor="text1" w:themeTint="F2"/>
          <w:szCs w:val="20"/>
        </w:rPr>
      </w:pPr>
    </w:p>
    <w:p w14:paraId="421F80D1" w14:textId="1C19A976" w:rsidR="00FE3E51" w:rsidRDefault="00FE3E51" w:rsidP="002478D5">
      <w:pPr>
        <w:pStyle w:val="Prrafodelista"/>
        <w:numPr>
          <w:ilvl w:val="0"/>
          <w:numId w:val="37"/>
        </w:numPr>
        <w:ind w:left="180" w:hanging="180"/>
        <w:rPr>
          <w:rFonts w:eastAsia="Times New Roman" w:cs="Times New Roman"/>
          <w:color w:val="0D0D0D" w:themeColor="text1" w:themeTint="F2"/>
          <w:szCs w:val="20"/>
        </w:rPr>
      </w:pPr>
      <w:r w:rsidRPr="0042686B">
        <w:rPr>
          <w:rFonts w:eastAsia="Times New Roman" w:cs="Times New Roman"/>
          <w:color w:val="0D0D0D" w:themeColor="text1" w:themeTint="F2"/>
          <w:szCs w:val="20"/>
        </w:rPr>
        <w:t xml:space="preserve">Abordar explícitamente la presentación de solicitudes para productos genéricos que combinan el fármaco con un </w:t>
      </w:r>
      <w:r w:rsidRPr="0042686B">
        <w:rPr>
          <w:rFonts w:eastAsia="Times New Roman" w:cs="Times New Roman"/>
          <w:color w:val="0D0D0D" w:themeColor="text1" w:themeTint="F2"/>
          <w:szCs w:val="20"/>
        </w:rPr>
        <w:t xml:space="preserve">dispositivo, y las lagunas legales relacionadas con dichos productos. </w:t>
      </w:r>
    </w:p>
    <w:p w14:paraId="1F86E551" w14:textId="77777777" w:rsidR="00FE3E51" w:rsidRPr="00FE3E51" w:rsidRDefault="00FE3E51" w:rsidP="00FE3E51">
      <w:pPr>
        <w:rPr>
          <w:rFonts w:eastAsia="Times New Roman" w:cs="Times New Roman"/>
          <w:color w:val="0D0D0D" w:themeColor="text1" w:themeTint="F2"/>
          <w:szCs w:val="20"/>
        </w:rPr>
      </w:pPr>
    </w:p>
    <w:p w14:paraId="4D9DA88B" w14:textId="77777777" w:rsidR="00FE3E51" w:rsidRPr="0042686B" w:rsidRDefault="00FE3E51" w:rsidP="002478D5">
      <w:pPr>
        <w:pStyle w:val="Prrafodelista"/>
        <w:numPr>
          <w:ilvl w:val="0"/>
          <w:numId w:val="37"/>
        </w:numPr>
        <w:ind w:left="180" w:hanging="180"/>
        <w:rPr>
          <w:rFonts w:eastAsia="Times New Roman" w:cs="Times New Roman"/>
          <w:color w:val="0D0D0D" w:themeColor="text1" w:themeTint="F2"/>
          <w:szCs w:val="20"/>
        </w:rPr>
      </w:pPr>
      <w:r w:rsidRPr="0042686B">
        <w:rPr>
          <w:rFonts w:eastAsia="Times New Roman" w:cs="Times New Roman"/>
          <w:color w:val="0D0D0D" w:themeColor="text1" w:themeTint="F2"/>
          <w:szCs w:val="20"/>
        </w:rPr>
        <w:t>Permitir que los fabricantes nacionales de medicamentos genéricos (es decir, empresas con sede en EE UU que fabrican los medicamentos en el país o que están invirtiendo en instalaciones nacionales para aumentar sustancialmente la capacidad de producción en EE UU) presenten solicitudes abreviadas de nuevo fármaco (ANDA) con certificaciones de "Párrafo IV" un mes antes que otros fabricantes.</w:t>
      </w:r>
    </w:p>
    <w:p w14:paraId="3457B570" w14:textId="77777777" w:rsidR="00FE3E51" w:rsidRPr="0042686B" w:rsidRDefault="00FE3E51" w:rsidP="00FE3E51">
      <w:pPr>
        <w:contextualSpacing/>
        <w:rPr>
          <w:rFonts w:eastAsia="Times New Roman" w:cs="Times New Roman"/>
          <w:color w:val="0D0D0D" w:themeColor="text1" w:themeTint="F2"/>
          <w:szCs w:val="20"/>
        </w:rPr>
      </w:pPr>
    </w:p>
    <w:p w14:paraId="23D85478" w14:textId="77777777" w:rsidR="00FE3E51" w:rsidRPr="0042686B" w:rsidRDefault="00FE3E51" w:rsidP="00FE3E51">
      <w:pPr>
        <w:contextualSpacing/>
        <w:rPr>
          <w:rFonts w:eastAsia="Times New Roman" w:cs="Times New Roman"/>
          <w:b/>
          <w:color w:val="0D0D0D" w:themeColor="text1" w:themeTint="F2"/>
          <w:szCs w:val="20"/>
        </w:rPr>
      </w:pPr>
      <w:r w:rsidRPr="0042686B">
        <w:rPr>
          <w:rFonts w:eastAsia="Times New Roman" w:cs="Times New Roman"/>
          <w:b/>
          <w:color w:val="0D0D0D" w:themeColor="text1" w:themeTint="F2"/>
          <w:szCs w:val="20"/>
        </w:rPr>
        <w:t>Medicamentos de uso veterinario</w:t>
      </w:r>
    </w:p>
    <w:p w14:paraId="3D2D3DB6" w14:textId="77777777" w:rsidR="00FE3E51" w:rsidRPr="0042686B" w:rsidRDefault="00FE3E51" w:rsidP="002478D5">
      <w:pPr>
        <w:pStyle w:val="Prrafodelista"/>
        <w:numPr>
          <w:ilvl w:val="0"/>
          <w:numId w:val="36"/>
        </w:numPr>
        <w:ind w:left="180" w:hanging="180"/>
        <w:rPr>
          <w:rFonts w:eastAsia="Times New Roman" w:cs="Times New Roman"/>
          <w:color w:val="0D0D0D" w:themeColor="text1" w:themeTint="F2"/>
          <w:szCs w:val="20"/>
        </w:rPr>
      </w:pPr>
      <w:r w:rsidRPr="0042686B">
        <w:rPr>
          <w:rFonts w:eastAsia="Times New Roman" w:cs="Times New Roman"/>
          <w:color w:val="0D0D0D" w:themeColor="text1" w:themeTint="F2"/>
          <w:szCs w:val="20"/>
        </w:rPr>
        <w:t>Varias de las facultades mencionadas anteriormente se aplican explícitamente a los medicamentos de uso veterinario, incluyendo las competencias de vigilancia posterior a la comercialización relativas a actualizaciones de calidad tras la aprobación, la divulgación de impurezas, la notificación del volumen de fabricación de ingredientes activos (IFA) y la facultad de ordenar la destrucción de productos cuya entrada haya sido denegada. La propuesta relativa a las suspensiones de 30 meses también se aplicaría a las solicitudes de medicamentos de uso veterinario.</w:t>
      </w:r>
    </w:p>
    <w:p w14:paraId="0BA538DA" w14:textId="77777777" w:rsidR="00FE3E51" w:rsidRPr="0042686B" w:rsidRDefault="00FE3E51" w:rsidP="00FE3E51">
      <w:pPr>
        <w:ind w:left="180" w:hanging="180"/>
        <w:contextualSpacing/>
        <w:rPr>
          <w:rFonts w:eastAsia="Times New Roman" w:cs="Times New Roman"/>
          <w:color w:val="0D0D0D" w:themeColor="text1" w:themeTint="F2"/>
          <w:szCs w:val="20"/>
        </w:rPr>
      </w:pPr>
    </w:p>
    <w:p w14:paraId="5C82AC7B" w14:textId="77777777" w:rsidR="00FE3E51" w:rsidRPr="0042686B" w:rsidRDefault="00FE3E51" w:rsidP="002478D5">
      <w:pPr>
        <w:pStyle w:val="Prrafodelista"/>
        <w:numPr>
          <w:ilvl w:val="0"/>
          <w:numId w:val="36"/>
        </w:numPr>
        <w:ind w:left="180" w:hanging="180"/>
        <w:rPr>
          <w:rFonts w:eastAsia="Times New Roman" w:cs="Times New Roman"/>
          <w:color w:val="0D0D0D" w:themeColor="text1" w:themeTint="F2"/>
          <w:szCs w:val="20"/>
        </w:rPr>
      </w:pPr>
      <w:r w:rsidRPr="0042686B">
        <w:rPr>
          <w:rFonts w:eastAsia="Times New Roman" w:cs="Times New Roman"/>
          <w:color w:val="0D0D0D" w:themeColor="text1" w:themeTint="F2"/>
          <w:szCs w:val="20"/>
        </w:rPr>
        <w:t>En otros casos, como la propuesta de exigir la conservación de datos y registros para "productos médicos", no está claro si dicha medida se extendería a los medicamentos de uso veterinario.</w:t>
      </w:r>
    </w:p>
    <w:p w14:paraId="1C1FC7BF" w14:textId="77777777" w:rsidR="00FE3E51" w:rsidRDefault="00FE3E51" w:rsidP="00FE3E51">
      <w:pPr>
        <w:contextualSpacing/>
        <w:rPr>
          <w:rFonts w:eastAsia="Times New Roman" w:cs="Times New Roman"/>
          <w:color w:val="0D0D0D" w:themeColor="text1" w:themeTint="F2"/>
          <w:szCs w:val="20"/>
        </w:rPr>
      </w:pPr>
    </w:p>
    <w:p w14:paraId="0A3EB4CB" w14:textId="77777777" w:rsidR="00FE3E51" w:rsidRDefault="00FE3E51" w:rsidP="00FE3E51">
      <w:pPr>
        <w:contextualSpacing/>
        <w:rPr>
          <w:rFonts w:eastAsia="Times New Roman" w:cs="Times New Roman"/>
          <w:color w:val="0D0D0D" w:themeColor="text1" w:themeTint="F2"/>
          <w:szCs w:val="20"/>
        </w:rPr>
      </w:pPr>
      <w:r>
        <w:rPr>
          <w:rFonts w:eastAsia="Times New Roman" w:cs="Times New Roman"/>
          <w:color w:val="0D0D0D" w:themeColor="text1" w:themeTint="F2"/>
          <w:szCs w:val="20"/>
        </w:rPr>
        <w:t xml:space="preserve">El documento original incluye una tabla con las propuestas legislativas que se han incluido en las solicitudes de presupuesto desde 2021. </w:t>
      </w:r>
    </w:p>
    <w:p w14:paraId="22AA9163" w14:textId="77777777" w:rsidR="00FE3E51" w:rsidRPr="001E6BEB" w:rsidRDefault="00FE3E51" w:rsidP="00FE3E51">
      <w:pPr>
        <w:contextualSpacing/>
        <w:rPr>
          <w:rFonts w:eastAsia="Times New Roman" w:cs="Times New Roman"/>
          <w:color w:val="0D0D0D" w:themeColor="text1" w:themeTint="F2"/>
          <w:szCs w:val="20"/>
        </w:rPr>
      </w:pPr>
    </w:p>
    <w:p w14:paraId="04983AF1" w14:textId="77777777" w:rsidR="00FE3E51" w:rsidRPr="00F25512" w:rsidRDefault="00FE3E51" w:rsidP="00FE3E51">
      <w:pPr>
        <w:contextualSpacing/>
        <w:rPr>
          <w:rFonts w:eastAsia="Times New Roman" w:cs="Times New Roman"/>
          <w:b/>
          <w:bCs/>
          <w:color w:val="0D0D0D" w:themeColor="text1" w:themeTint="F2"/>
          <w:sz w:val="18"/>
          <w:szCs w:val="18"/>
          <w:lang w:val="en-US"/>
        </w:rPr>
      </w:pPr>
      <w:r w:rsidRPr="00F25512">
        <w:rPr>
          <w:rFonts w:eastAsia="Times New Roman" w:cs="Times New Roman"/>
          <w:b/>
          <w:bCs/>
          <w:color w:val="0D0D0D" w:themeColor="text1" w:themeTint="F2"/>
          <w:sz w:val="18"/>
          <w:szCs w:val="18"/>
          <w:lang w:val="en-US"/>
        </w:rPr>
        <w:t>Fuente Original:</w:t>
      </w:r>
    </w:p>
    <w:p w14:paraId="720B2550" w14:textId="5F19D6F6" w:rsidR="00FE3E51" w:rsidRPr="00F25512" w:rsidRDefault="00FE3E51" w:rsidP="00F25512">
      <w:pPr>
        <w:ind w:left="180" w:hanging="180"/>
        <w:rPr>
          <w:rFonts w:eastAsia="Times New Roman" w:cs="Times New Roman"/>
          <w:color w:val="0D0D0D" w:themeColor="text1" w:themeTint="F2"/>
          <w:sz w:val="18"/>
          <w:szCs w:val="18"/>
          <w:lang w:val="en-US"/>
        </w:rPr>
      </w:pPr>
      <w:r w:rsidRPr="00F25512">
        <w:rPr>
          <w:rFonts w:eastAsia="Times New Roman" w:cs="Times New Roman"/>
          <w:color w:val="0D0D0D" w:themeColor="text1" w:themeTint="F2"/>
          <w:sz w:val="18"/>
          <w:szCs w:val="18"/>
          <w:lang w:val="en-US"/>
        </w:rPr>
        <w:t xml:space="preserve">1.Tenbarge, </w:t>
      </w:r>
      <w:proofErr w:type="spellStart"/>
      <w:r w:rsidRPr="00F25512">
        <w:rPr>
          <w:rFonts w:eastAsia="Times New Roman" w:cs="Times New Roman"/>
          <w:color w:val="0D0D0D" w:themeColor="text1" w:themeTint="F2"/>
          <w:sz w:val="18"/>
          <w:szCs w:val="18"/>
          <w:lang w:val="en-US"/>
        </w:rPr>
        <w:t>B y</w:t>
      </w:r>
      <w:proofErr w:type="spellEnd"/>
      <w:r w:rsidRPr="00F25512">
        <w:rPr>
          <w:rFonts w:eastAsia="Times New Roman" w:cs="Times New Roman"/>
          <w:color w:val="0D0D0D" w:themeColor="text1" w:themeTint="F2"/>
          <w:sz w:val="18"/>
          <w:szCs w:val="18"/>
          <w:lang w:val="en-US"/>
        </w:rPr>
        <w:t xml:space="preserve"> </w:t>
      </w:r>
      <w:proofErr w:type="spellStart"/>
      <w:r w:rsidRPr="00F25512">
        <w:rPr>
          <w:rFonts w:eastAsia="Times New Roman" w:cs="Times New Roman"/>
          <w:color w:val="0D0D0D" w:themeColor="text1" w:themeTint="F2"/>
          <w:sz w:val="18"/>
          <w:szCs w:val="18"/>
          <w:lang w:val="en-US"/>
        </w:rPr>
        <w:t>Herber</w:t>
      </w:r>
      <w:proofErr w:type="spellEnd"/>
      <w:r w:rsidRPr="00F25512">
        <w:rPr>
          <w:rFonts w:eastAsia="Times New Roman" w:cs="Times New Roman"/>
          <w:color w:val="0D0D0D" w:themeColor="text1" w:themeTint="F2"/>
          <w:sz w:val="18"/>
          <w:szCs w:val="18"/>
          <w:lang w:val="en-US"/>
        </w:rPr>
        <w:t xml:space="preserve">, M. FDA-Related Legislative and Regulatory Proposals and Funding Change the President's FY27 Budget. </w:t>
      </w:r>
      <w:r w:rsidRPr="00F25512">
        <w:rPr>
          <w:rFonts w:eastAsia="Times New Roman" w:cs="Times New Roman"/>
          <w:i/>
          <w:iCs/>
          <w:color w:val="0D0D0D" w:themeColor="text1" w:themeTint="F2"/>
          <w:sz w:val="18"/>
          <w:szCs w:val="18"/>
          <w:lang w:val="en-US"/>
        </w:rPr>
        <w:t>Faegre drinker</w:t>
      </w:r>
      <w:r w:rsidRPr="00F25512">
        <w:rPr>
          <w:rFonts w:eastAsia="Times New Roman" w:cs="Times New Roman"/>
          <w:color w:val="0D0D0D" w:themeColor="text1" w:themeTint="F2"/>
          <w:sz w:val="18"/>
          <w:szCs w:val="18"/>
          <w:lang w:val="en-US"/>
        </w:rPr>
        <w:t xml:space="preserve">, </w:t>
      </w:r>
      <w:proofErr w:type="spellStart"/>
      <w:r w:rsidRPr="00F25512">
        <w:rPr>
          <w:rFonts w:eastAsia="Times New Roman" w:cs="Times New Roman"/>
          <w:color w:val="0D0D0D" w:themeColor="text1" w:themeTint="F2"/>
          <w:sz w:val="18"/>
          <w:szCs w:val="18"/>
          <w:lang w:val="en-US"/>
        </w:rPr>
        <w:t>abril</w:t>
      </w:r>
      <w:proofErr w:type="spellEnd"/>
      <w:r w:rsidRPr="00F25512">
        <w:rPr>
          <w:rFonts w:eastAsia="Times New Roman" w:cs="Times New Roman"/>
          <w:color w:val="0D0D0D" w:themeColor="text1" w:themeTint="F2"/>
          <w:sz w:val="18"/>
          <w:szCs w:val="18"/>
          <w:lang w:val="en-US"/>
        </w:rPr>
        <w:t xml:space="preserve"> de 2026 </w:t>
      </w:r>
      <w:hyperlink r:id="rId86" w:history="1">
        <w:r w:rsidRPr="00F25512">
          <w:rPr>
            <w:rStyle w:val="Hipervnculo"/>
            <w:rFonts w:eastAsia="Times New Roman" w:cs="Times New Roman"/>
            <w:sz w:val="18"/>
            <w:szCs w:val="18"/>
            <w:lang w:val="en-US"/>
          </w:rPr>
          <w:t>https://www.faegredrinker.com/en/insights/publications/2026/4/fda-related-legislative-and-regulatory-proposals-and-funding-change-the-presidents-fy27-budget</w:t>
        </w:r>
      </w:hyperlink>
    </w:p>
    <w:p w14:paraId="7F07221A" w14:textId="77777777" w:rsidR="00140BE1" w:rsidRDefault="00140BE1" w:rsidP="004D63D3">
      <w:pPr>
        <w:jc w:val="center"/>
        <w:rPr>
          <w:rFonts w:eastAsia="Times New Roman" w:cs="Times New Roman"/>
          <w:color w:val="0D0D0D" w:themeColor="text1" w:themeTint="F2"/>
          <w:szCs w:val="20"/>
          <w:lang w:val="en-US"/>
        </w:rPr>
        <w:sectPr w:rsidR="00140BE1" w:rsidSect="00140BE1">
          <w:type w:val="continuous"/>
          <w:pgSz w:w="12240" w:h="15840" w:code="1"/>
          <w:pgMar w:top="720" w:right="720" w:bottom="720" w:left="720" w:header="288" w:footer="288" w:gutter="0"/>
          <w:cols w:num="2" w:space="288"/>
          <w:docGrid w:linePitch="360"/>
        </w:sectPr>
      </w:pPr>
    </w:p>
    <w:p w14:paraId="065194E8" w14:textId="3C5409C2" w:rsidR="00FE3E51" w:rsidRPr="00F25512" w:rsidRDefault="00FE3E51" w:rsidP="004D63D3">
      <w:pPr>
        <w:jc w:val="center"/>
        <w:rPr>
          <w:rFonts w:eastAsia="Times New Roman" w:cs="Times New Roman"/>
          <w:color w:val="0D0D0D" w:themeColor="text1" w:themeTint="F2"/>
          <w:szCs w:val="20"/>
          <w:lang w:val="en-US"/>
        </w:rPr>
      </w:pPr>
    </w:p>
    <w:p w14:paraId="458BFBF2" w14:textId="77777777" w:rsidR="00FE3E51" w:rsidRPr="00F25512" w:rsidRDefault="00FE3E51" w:rsidP="004D63D3">
      <w:pPr>
        <w:jc w:val="center"/>
        <w:rPr>
          <w:rFonts w:eastAsia="Times New Roman" w:cs="Times New Roman"/>
          <w:color w:val="0D0D0D" w:themeColor="text1" w:themeTint="F2"/>
          <w:szCs w:val="20"/>
          <w:lang w:val="en-US"/>
        </w:rPr>
      </w:pPr>
    </w:p>
    <w:p w14:paraId="340A4ED9" w14:textId="77777777" w:rsidR="00FE3E51" w:rsidRPr="0042686B" w:rsidRDefault="00FE3E51" w:rsidP="00FE3E51">
      <w:pPr>
        <w:contextualSpacing/>
        <w:jc w:val="center"/>
        <w:rPr>
          <w:rFonts w:eastAsia="Times New Roman" w:cs="Times New Roman"/>
          <w:color w:val="FF0000"/>
          <w:szCs w:val="20"/>
        </w:rPr>
      </w:pPr>
      <w:r>
        <w:rPr>
          <w:rFonts w:eastAsia="Times New Roman" w:cs="Times New Roman"/>
          <w:color w:val="0D0D0D" w:themeColor="text1" w:themeTint="F2"/>
          <w:szCs w:val="20"/>
        </w:rPr>
        <w:t xml:space="preserve">EE UU. </w:t>
      </w:r>
      <w:r w:rsidRPr="00EA71DA">
        <w:rPr>
          <w:rFonts w:eastAsia="Times New Roman" w:cs="Times New Roman"/>
          <w:b/>
          <w:color w:val="0D0D0D" w:themeColor="text1" w:themeTint="F2"/>
          <w:szCs w:val="20"/>
        </w:rPr>
        <w:t>La FDA</w:t>
      </w:r>
      <w:r w:rsidRPr="00EA71DA">
        <w:rPr>
          <w:rFonts w:eastAsia="Times New Roman" w:cs="Times New Roman"/>
          <w:color w:val="0D0D0D" w:themeColor="text1" w:themeTint="F2"/>
          <w:szCs w:val="20"/>
        </w:rPr>
        <w:t xml:space="preserve"> </w:t>
      </w:r>
      <w:r w:rsidRPr="00EA71DA">
        <w:rPr>
          <w:rFonts w:eastAsia="Times New Roman" w:cs="Times New Roman"/>
          <w:b/>
          <w:bCs/>
          <w:color w:val="0D0D0D" w:themeColor="text1" w:themeTint="F2"/>
          <w:szCs w:val="20"/>
        </w:rPr>
        <w:t>fortalece la regulación contra la publicidad engañosa</w:t>
      </w:r>
    </w:p>
    <w:p w14:paraId="0A7FB1E7" w14:textId="77777777" w:rsidR="00FE3E51" w:rsidRDefault="00FE3E51" w:rsidP="00FE3E51">
      <w:pPr>
        <w:contextualSpacing/>
        <w:jc w:val="center"/>
        <w:rPr>
          <w:rFonts w:eastAsia="Times New Roman" w:cs="Times New Roman"/>
          <w:color w:val="0D0D0D" w:themeColor="text1" w:themeTint="F2"/>
          <w:szCs w:val="20"/>
        </w:rPr>
      </w:pPr>
      <w:r>
        <w:rPr>
          <w:rFonts w:eastAsia="Times New Roman" w:cs="Times New Roman"/>
          <w:color w:val="0D0D0D" w:themeColor="text1" w:themeTint="F2"/>
          <w:szCs w:val="20"/>
        </w:rPr>
        <w:t>Salud y Fármacos</w:t>
      </w:r>
    </w:p>
    <w:p w14:paraId="5FD8A0F1" w14:textId="77777777" w:rsidR="00FE3E51" w:rsidRPr="00A21F37" w:rsidRDefault="00FE3E51" w:rsidP="00FE3E51">
      <w:pPr>
        <w:jc w:val="center"/>
        <w:rPr>
          <w:lang w:val="es-ES"/>
        </w:rPr>
      </w:pPr>
      <w:r w:rsidRPr="00CA0441">
        <w:rPr>
          <w:rFonts w:cs="Times New Roman"/>
          <w:i/>
          <w:iCs/>
          <w:szCs w:val="20"/>
          <w:lang w:val="es-ES"/>
        </w:rPr>
        <w:t xml:space="preserve">Boletín Fármacos: </w:t>
      </w:r>
      <w:r>
        <w:rPr>
          <w:rFonts w:eastAsia="Times New Roman" w:cs="Times New Roman"/>
          <w:bCs/>
          <w:i/>
          <w:iCs/>
          <w:color w:val="000000" w:themeColor="text1"/>
          <w:szCs w:val="16"/>
          <w:lang w:val="es-ES"/>
        </w:rPr>
        <w:t>Age</w:t>
      </w:r>
      <w:r w:rsidRPr="00A21F37">
        <w:rPr>
          <w:rFonts w:eastAsia="Times New Roman" w:cs="Times New Roman"/>
          <w:bCs/>
          <w:i/>
          <w:iCs/>
          <w:color w:val="000000" w:themeColor="text1"/>
          <w:szCs w:val="16"/>
          <w:lang w:val="es-ES"/>
        </w:rPr>
        <w:t>ncia</w:t>
      </w:r>
      <w:r>
        <w:rPr>
          <w:rFonts w:eastAsia="Times New Roman" w:cs="Times New Roman"/>
          <w:bCs/>
          <w:i/>
          <w:iCs/>
          <w:color w:val="000000" w:themeColor="text1"/>
          <w:szCs w:val="16"/>
          <w:lang w:val="es-ES"/>
        </w:rPr>
        <w:t>s Reguladoras</w:t>
      </w:r>
      <w:r w:rsidRPr="00A21F37">
        <w:rPr>
          <w:rFonts w:eastAsia="Times New Roman" w:cs="Times New Roman"/>
          <w:bCs/>
          <w:i/>
          <w:iCs/>
          <w:color w:val="000000" w:themeColor="text1"/>
          <w:szCs w:val="16"/>
          <w:lang w:val="es-ES"/>
        </w:rPr>
        <w:t xml:space="preserve"> 2026; 29(</w:t>
      </w:r>
      <w:r>
        <w:rPr>
          <w:rFonts w:eastAsia="Times New Roman" w:cs="Times New Roman"/>
          <w:bCs/>
          <w:i/>
          <w:iCs/>
          <w:color w:val="000000" w:themeColor="text1"/>
          <w:szCs w:val="16"/>
          <w:lang w:val="es-ES"/>
        </w:rPr>
        <w:t>3</w:t>
      </w:r>
      <w:r w:rsidRPr="00A21F37">
        <w:rPr>
          <w:rFonts w:eastAsia="Times New Roman" w:cs="Times New Roman"/>
          <w:bCs/>
          <w:i/>
          <w:iCs/>
          <w:color w:val="000000" w:themeColor="text1"/>
          <w:szCs w:val="16"/>
          <w:lang w:val="es-ES"/>
        </w:rPr>
        <w:t>)</w:t>
      </w:r>
    </w:p>
    <w:p w14:paraId="14A315F8" w14:textId="77777777" w:rsidR="00FE3E51" w:rsidRDefault="00FE3E51" w:rsidP="00FE3E51">
      <w:pPr>
        <w:contextualSpacing/>
        <w:jc w:val="center"/>
        <w:rPr>
          <w:rFonts w:eastAsia="Times New Roman" w:cs="Times New Roman"/>
          <w:color w:val="0D0D0D" w:themeColor="text1" w:themeTint="F2"/>
          <w:szCs w:val="20"/>
        </w:rPr>
      </w:pPr>
    </w:p>
    <w:p w14:paraId="507C1ABE" w14:textId="77777777" w:rsidR="00140BE1" w:rsidRDefault="00140BE1" w:rsidP="00FE3E51">
      <w:pPr>
        <w:contextualSpacing/>
        <w:rPr>
          <w:rFonts w:eastAsia="Times New Roman" w:cs="Times New Roman"/>
          <w:b/>
          <w:bCs/>
          <w:color w:val="0D0D0D" w:themeColor="text1" w:themeTint="F2"/>
          <w:sz w:val="18"/>
          <w:szCs w:val="18"/>
        </w:rPr>
        <w:sectPr w:rsidR="00140BE1" w:rsidSect="00F25512">
          <w:type w:val="continuous"/>
          <w:pgSz w:w="12240" w:h="15840" w:code="1"/>
          <w:pgMar w:top="720" w:right="720" w:bottom="720" w:left="720" w:header="288" w:footer="288" w:gutter="0"/>
          <w:cols w:space="288"/>
          <w:docGrid w:linePitch="360"/>
        </w:sectPr>
      </w:pPr>
    </w:p>
    <w:p w14:paraId="4F8E8B75" w14:textId="4FB43C5A" w:rsidR="00FE3E51" w:rsidRPr="00A12F27" w:rsidRDefault="00FE3E51" w:rsidP="00FE3E51">
      <w:pPr>
        <w:contextualSpacing/>
        <w:rPr>
          <w:rFonts w:eastAsia="Times New Roman" w:cs="Times New Roman"/>
          <w:color w:val="0D0D0D" w:themeColor="text1" w:themeTint="F2"/>
          <w:sz w:val="18"/>
          <w:szCs w:val="18"/>
        </w:rPr>
      </w:pPr>
      <w:r w:rsidRPr="00A12F27">
        <w:rPr>
          <w:rFonts w:eastAsia="Times New Roman" w:cs="Times New Roman"/>
          <w:b/>
          <w:bCs/>
          <w:color w:val="0D0D0D" w:themeColor="text1" w:themeTint="F2"/>
          <w:sz w:val="18"/>
          <w:szCs w:val="18"/>
        </w:rPr>
        <w:t>Tags: regulación FDA, publicidad engañosa de fármacos, GLP-1 y promoción en redes</w:t>
      </w:r>
    </w:p>
    <w:p w14:paraId="2A88E278" w14:textId="77777777" w:rsidR="00FE3E51" w:rsidRDefault="00FE3E51" w:rsidP="00FE3E51">
      <w:pPr>
        <w:contextualSpacing/>
        <w:rPr>
          <w:rFonts w:eastAsia="Times New Roman" w:cs="Times New Roman"/>
          <w:color w:val="0D0D0D" w:themeColor="text1" w:themeTint="F2"/>
          <w:szCs w:val="20"/>
        </w:rPr>
      </w:pPr>
    </w:p>
    <w:p w14:paraId="6064DCB3" w14:textId="77777777" w:rsidR="00FE3E51" w:rsidRDefault="00FE3E51" w:rsidP="00FE3E51">
      <w:pPr>
        <w:contextualSpacing/>
        <w:rPr>
          <w:rFonts w:eastAsia="Times New Roman" w:cs="Times New Roman"/>
          <w:color w:val="0D0D0D" w:themeColor="text1" w:themeTint="F2"/>
          <w:szCs w:val="20"/>
        </w:rPr>
      </w:pPr>
      <w:r w:rsidRPr="008451A6">
        <w:rPr>
          <w:rFonts w:eastAsia="Times New Roman" w:cs="Times New Roman"/>
          <w:color w:val="0D0D0D" w:themeColor="text1" w:themeTint="F2"/>
          <w:szCs w:val="20"/>
        </w:rPr>
        <w:t xml:space="preserve">La FDA </w:t>
      </w:r>
      <w:r>
        <w:rPr>
          <w:rFonts w:eastAsia="Times New Roman" w:cs="Times New Roman"/>
          <w:color w:val="0D0D0D" w:themeColor="text1" w:themeTint="F2"/>
          <w:szCs w:val="20"/>
        </w:rPr>
        <w:t>quiere tener más poder</w:t>
      </w:r>
      <w:r w:rsidRPr="008451A6">
        <w:rPr>
          <w:rFonts w:eastAsia="Times New Roman" w:cs="Times New Roman"/>
          <w:color w:val="0D0D0D" w:themeColor="text1" w:themeTint="F2"/>
          <w:szCs w:val="20"/>
        </w:rPr>
        <w:t xml:space="preserve"> para combatir la publicidad engañosa de medicamentos dirigida al consumidor (DTC).</w:t>
      </w:r>
    </w:p>
    <w:p w14:paraId="1873A755" w14:textId="77777777" w:rsidR="00FE3E51" w:rsidRDefault="00FE3E51" w:rsidP="00FE3E51">
      <w:pPr>
        <w:contextualSpacing/>
        <w:rPr>
          <w:rFonts w:eastAsia="Times New Roman" w:cs="Times New Roman"/>
          <w:color w:val="0D0D0D" w:themeColor="text1" w:themeTint="F2"/>
          <w:szCs w:val="20"/>
        </w:rPr>
      </w:pPr>
    </w:p>
    <w:p w14:paraId="27E7155D" w14:textId="77777777" w:rsidR="00FE3E51" w:rsidRPr="008451A6" w:rsidRDefault="00FE3E51" w:rsidP="00FE3E51">
      <w:pPr>
        <w:contextualSpacing/>
        <w:rPr>
          <w:rFonts w:eastAsia="Times New Roman" w:cs="Times New Roman"/>
          <w:color w:val="0D0D0D" w:themeColor="text1" w:themeTint="F2"/>
          <w:szCs w:val="20"/>
        </w:rPr>
      </w:pPr>
      <w:r>
        <w:rPr>
          <w:rFonts w:eastAsia="Times New Roman" w:cs="Times New Roman"/>
          <w:color w:val="0D0D0D" w:themeColor="text1" w:themeTint="F2"/>
          <w:szCs w:val="20"/>
        </w:rPr>
        <w:t xml:space="preserve">Durante este último año, la FDA ha ejercido mayor vigilancia sobre la DTC y ha incrementado el número de cartas sin </w:t>
      </w:r>
      <w:proofErr w:type="spellStart"/>
      <w:r>
        <w:rPr>
          <w:rFonts w:eastAsia="Times New Roman" w:cs="Times New Roman"/>
          <w:color w:val="0D0D0D" w:themeColor="text1" w:themeTint="F2"/>
          <w:szCs w:val="20"/>
        </w:rPr>
        <w:t>titulo</w:t>
      </w:r>
      <w:proofErr w:type="spellEnd"/>
      <w:r>
        <w:rPr>
          <w:rFonts w:eastAsia="Times New Roman" w:cs="Times New Roman"/>
          <w:color w:val="0D0D0D" w:themeColor="text1" w:themeTint="F2"/>
          <w:szCs w:val="20"/>
        </w:rPr>
        <w:t xml:space="preserve"> que ha enviado a las empresas farmacéuticas por violación normativa al promocionar sus medicamentos a los consumidores.</w:t>
      </w:r>
    </w:p>
    <w:p w14:paraId="672B4E13" w14:textId="77777777" w:rsidR="00FE3E51" w:rsidRPr="008451A6" w:rsidRDefault="00FE3E51" w:rsidP="00FE3E51">
      <w:pPr>
        <w:contextualSpacing/>
        <w:rPr>
          <w:rFonts w:eastAsia="Times New Roman" w:cs="Times New Roman"/>
          <w:color w:val="0D0D0D" w:themeColor="text1" w:themeTint="F2"/>
          <w:szCs w:val="20"/>
        </w:rPr>
      </w:pPr>
    </w:p>
    <w:p w14:paraId="035F1F13" w14:textId="77777777" w:rsidR="00FE3E51" w:rsidRDefault="00FE3E51" w:rsidP="00FE3E51">
      <w:pPr>
        <w:contextualSpacing/>
        <w:rPr>
          <w:rFonts w:eastAsia="Times New Roman" w:cs="Times New Roman"/>
          <w:color w:val="0D0D0D" w:themeColor="text1" w:themeTint="F2"/>
          <w:szCs w:val="20"/>
        </w:rPr>
      </w:pPr>
      <w:r>
        <w:rPr>
          <w:rFonts w:eastAsia="Times New Roman" w:cs="Times New Roman"/>
          <w:color w:val="0D0D0D" w:themeColor="text1" w:themeTint="F2"/>
          <w:szCs w:val="20"/>
        </w:rPr>
        <w:t xml:space="preserve">Al presentar la solicitud de presupuesto para 2027, la FDA incluye el deseo de que la legislación le otorgue mayor poder para monitorear la DTC, y a los productores de fórmulas magistrales. </w:t>
      </w:r>
    </w:p>
    <w:p w14:paraId="7337CC27" w14:textId="77777777" w:rsidR="00FE3E51" w:rsidRPr="008451A6" w:rsidRDefault="00FE3E51" w:rsidP="00FE3E51">
      <w:pPr>
        <w:contextualSpacing/>
        <w:rPr>
          <w:rFonts w:eastAsia="Times New Roman" w:cs="Times New Roman"/>
          <w:color w:val="0D0D0D" w:themeColor="text1" w:themeTint="F2"/>
          <w:szCs w:val="20"/>
        </w:rPr>
      </w:pPr>
    </w:p>
    <w:p w14:paraId="3E9FF379" w14:textId="77777777" w:rsidR="00FE3E51" w:rsidRPr="008451A6" w:rsidRDefault="00FE3E51" w:rsidP="00FE3E51">
      <w:pPr>
        <w:contextualSpacing/>
        <w:rPr>
          <w:rFonts w:eastAsia="Times New Roman" w:cs="Times New Roman"/>
          <w:color w:val="0D0D0D" w:themeColor="text1" w:themeTint="F2"/>
          <w:szCs w:val="20"/>
        </w:rPr>
      </w:pPr>
      <w:r w:rsidRPr="008451A6">
        <w:rPr>
          <w:rFonts w:eastAsia="Times New Roman" w:cs="Times New Roman"/>
          <w:color w:val="0D0D0D" w:themeColor="text1" w:themeTint="F2"/>
          <w:szCs w:val="20"/>
        </w:rPr>
        <w:t xml:space="preserve">La agencia </w:t>
      </w:r>
      <w:r>
        <w:rPr>
          <w:rFonts w:eastAsia="Times New Roman" w:cs="Times New Roman"/>
          <w:color w:val="0D0D0D" w:themeColor="text1" w:themeTint="F2"/>
          <w:szCs w:val="20"/>
        </w:rPr>
        <w:t>solicita que se actualice la</w:t>
      </w:r>
      <w:r w:rsidRPr="008451A6">
        <w:rPr>
          <w:rFonts w:eastAsia="Times New Roman" w:cs="Times New Roman"/>
          <w:color w:val="0D0D0D" w:themeColor="text1" w:themeTint="F2"/>
          <w:szCs w:val="20"/>
        </w:rPr>
        <w:t xml:space="preserve"> legislación para </w:t>
      </w:r>
      <w:r>
        <w:rPr>
          <w:rFonts w:eastAsia="Times New Roman" w:cs="Times New Roman"/>
          <w:color w:val="0D0D0D" w:themeColor="text1" w:themeTint="F2"/>
          <w:szCs w:val="20"/>
        </w:rPr>
        <w:t xml:space="preserve">poder clasificar a </w:t>
      </w:r>
      <w:r w:rsidRPr="008451A6">
        <w:rPr>
          <w:rFonts w:eastAsia="Times New Roman" w:cs="Times New Roman"/>
          <w:color w:val="0D0D0D" w:themeColor="text1" w:themeTint="F2"/>
          <w:szCs w:val="20"/>
        </w:rPr>
        <w:t xml:space="preserve">un medicamento </w:t>
      </w:r>
      <w:r>
        <w:rPr>
          <w:rFonts w:eastAsia="Times New Roman" w:cs="Times New Roman"/>
          <w:color w:val="0D0D0D" w:themeColor="text1" w:themeTint="F2"/>
          <w:szCs w:val="20"/>
        </w:rPr>
        <w:t>como</w:t>
      </w:r>
      <w:r w:rsidRPr="008451A6">
        <w:rPr>
          <w:rFonts w:eastAsia="Times New Roman" w:cs="Times New Roman"/>
          <w:color w:val="0D0D0D" w:themeColor="text1" w:themeTint="F2"/>
          <w:szCs w:val="20"/>
        </w:rPr>
        <w:t xml:space="preserve"> </w:t>
      </w:r>
      <w:r>
        <w:rPr>
          <w:rFonts w:eastAsia="Times New Roman" w:cs="Times New Roman"/>
          <w:color w:val="0D0D0D" w:themeColor="text1" w:themeTint="F2"/>
          <w:szCs w:val="20"/>
        </w:rPr>
        <w:t>“</w:t>
      </w:r>
      <w:r w:rsidRPr="008451A6">
        <w:rPr>
          <w:rFonts w:eastAsia="Times New Roman" w:cs="Times New Roman"/>
          <w:color w:val="0D0D0D" w:themeColor="text1" w:themeTint="F2"/>
          <w:szCs w:val="20"/>
        </w:rPr>
        <w:t>mal etiquetado</w:t>
      </w:r>
      <w:r>
        <w:rPr>
          <w:rFonts w:eastAsia="Times New Roman" w:cs="Times New Roman"/>
          <w:color w:val="0D0D0D" w:themeColor="text1" w:themeTint="F2"/>
          <w:szCs w:val="20"/>
        </w:rPr>
        <w:t>”</w:t>
      </w:r>
      <w:r w:rsidRPr="008451A6">
        <w:rPr>
          <w:rFonts w:eastAsia="Times New Roman" w:cs="Times New Roman"/>
          <w:color w:val="0D0D0D" w:themeColor="text1" w:themeTint="F2"/>
          <w:szCs w:val="20"/>
        </w:rPr>
        <w:t xml:space="preserve"> cuando la </w:t>
      </w:r>
      <w:r w:rsidRPr="008451A6">
        <w:rPr>
          <w:rFonts w:eastAsia="Times New Roman" w:cs="Times New Roman"/>
          <w:color w:val="0D0D0D" w:themeColor="text1" w:themeTint="F2"/>
          <w:szCs w:val="20"/>
        </w:rPr>
        <w:t xml:space="preserve">publicidad DTC </w:t>
      </w:r>
      <w:r>
        <w:rPr>
          <w:rFonts w:eastAsia="Times New Roman" w:cs="Times New Roman"/>
          <w:color w:val="0D0D0D" w:themeColor="text1" w:themeTint="F2"/>
          <w:szCs w:val="20"/>
        </w:rPr>
        <w:t>es engañosa, no es objetiva y no incluye la información completa</w:t>
      </w:r>
      <w:r w:rsidRPr="008451A6">
        <w:rPr>
          <w:rFonts w:eastAsia="Times New Roman" w:cs="Times New Roman"/>
          <w:color w:val="0D0D0D" w:themeColor="text1" w:themeTint="F2"/>
          <w:szCs w:val="20"/>
        </w:rPr>
        <w:t xml:space="preserve">. La propuesta </w:t>
      </w:r>
      <w:r>
        <w:rPr>
          <w:rFonts w:eastAsia="Times New Roman" w:cs="Times New Roman"/>
          <w:color w:val="0D0D0D" w:themeColor="text1" w:themeTint="F2"/>
          <w:szCs w:val="20"/>
        </w:rPr>
        <w:t xml:space="preserve">de la FDA </w:t>
      </w:r>
      <w:r w:rsidRPr="008451A6">
        <w:rPr>
          <w:rFonts w:eastAsia="Times New Roman" w:cs="Times New Roman"/>
          <w:color w:val="0D0D0D" w:themeColor="text1" w:themeTint="F2"/>
          <w:szCs w:val="20"/>
        </w:rPr>
        <w:t xml:space="preserve">también afectaría a los anuncios que </w:t>
      </w:r>
      <w:r>
        <w:rPr>
          <w:rFonts w:eastAsia="Times New Roman" w:cs="Times New Roman"/>
          <w:color w:val="0D0D0D" w:themeColor="text1" w:themeTint="F2"/>
          <w:szCs w:val="20"/>
        </w:rPr>
        <w:t>generen</w:t>
      </w:r>
      <w:r w:rsidRPr="008451A6">
        <w:rPr>
          <w:rFonts w:eastAsia="Times New Roman" w:cs="Times New Roman"/>
          <w:color w:val="0D0D0D" w:themeColor="text1" w:themeTint="F2"/>
          <w:szCs w:val="20"/>
        </w:rPr>
        <w:t xml:space="preserve"> una impresión engañosa sobre las indicaciones aprobadas o </w:t>
      </w:r>
      <w:r>
        <w:rPr>
          <w:rFonts w:eastAsia="Times New Roman" w:cs="Times New Roman"/>
          <w:color w:val="0D0D0D" w:themeColor="text1" w:themeTint="F2"/>
          <w:szCs w:val="20"/>
        </w:rPr>
        <w:t xml:space="preserve">sobre </w:t>
      </w:r>
      <w:r w:rsidRPr="008451A6">
        <w:rPr>
          <w:rFonts w:eastAsia="Times New Roman" w:cs="Times New Roman"/>
          <w:color w:val="0D0D0D" w:themeColor="text1" w:themeTint="F2"/>
          <w:szCs w:val="20"/>
        </w:rPr>
        <w:t>la eficacia del medicamento, incluyendo aquellos que hagan o sugieran afirmaciones exageradas sin fundamento.</w:t>
      </w:r>
    </w:p>
    <w:p w14:paraId="194C33D0" w14:textId="77777777" w:rsidR="00FE3E51" w:rsidRPr="008451A6" w:rsidRDefault="00FE3E51" w:rsidP="00FE3E51">
      <w:pPr>
        <w:contextualSpacing/>
        <w:rPr>
          <w:rFonts w:eastAsia="Times New Roman" w:cs="Times New Roman"/>
          <w:color w:val="0D0D0D" w:themeColor="text1" w:themeTint="F2"/>
          <w:szCs w:val="20"/>
        </w:rPr>
      </w:pPr>
    </w:p>
    <w:p w14:paraId="1B6C77A6" w14:textId="77777777" w:rsidR="00FE3E51" w:rsidRPr="008451A6" w:rsidRDefault="00FE3E51" w:rsidP="00FE3E51">
      <w:pPr>
        <w:contextualSpacing/>
        <w:rPr>
          <w:rFonts w:eastAsia="Times New Roman" w:cs="Times New Roman"/>
          <w:color w:val="0D0D0D" w:themeColor="text1" w:themeTint="F2"/>
          <w:szCs w:val="20"/>
        </w:rPr>
      </w:pPr>
      <w:r>
        <w:rPr>
          <w:rFonts w:eastAsia="Times New Roman" w:cs="Times New Roman"/>
          <w:color w:val="0D0D0D" w:themeColor="text1" w:themeTint="F2"/>
          <w:szCs w:val="20"/>
        </w:rPr>
        <w:t xml:space="preserve">La FDA también propone que </w:t>
      </w:r>
      <w:r w:rsidRPr="008451A6">
        <w:rPr>
          <w:rFonts w:eastAsia="Times New Roman" w:cs="Times New Roman"/>
          <w:color w:val="0D0D0D" w:themeColor="text1" w:themeTint="F2"/>
          <w:szCs w:val="20"/>
        </w:rPr>
        <w:t>l</w:t>
      </w:r>
      <w:r>
        <w:rPr>
          <w:rFonts w:eastAsia="Times New Roman" w:cs="Times New Roman"/>
          <w:color w:val="0D0D0D" w:themeColor="text1" w:themeTint="F2"/>
          <w:szCs w:val="20"/>
        </w:rPr>
        <w:t xml:space="preserve">os que comercializan </w:t>
      </w:r>
      <w:proofErr w:type="spellStart"/>
      <w:r>
        <w:rPr>
          <w:rFonts w:eastAsia="Times New Roman" w:cs="Times New Roman"/>
          <w:color w:val="0D0D0D" w:themeColor="text1" w:themeTint="F2"/>
          <w:szCs w:val="20"/>
        </w:rPr>
        <w:t>formulas</w:t>
      </w:r>
      <w:proofErr w:type="spellEnd"/>
      <w:r>
        <w:rPr>
          <w:rFonts w:eastAsia="Times New Roman" w:cs="Times New Roman"/>
          <w:color w:val="0D0D0D" w:themeColor="text1" w:themeTint="F2"/>
          <w:szCs w:val="20"/>
        </w:rPr>
        <w:t xml:space="preserve"> magistrales tengan que </w:t>
      </w:r>
      <w:r w:rsidRPr="008451A6">
        <w:rPr>
          <w:rFonts w:eastAsia="Times New Roman" w:cs="Times New Roman"/>
          <w:color w:val="0D0D0D" w:themeColor="text1" w:themeTint="F2"/>
          <w:szCs w:val="20"/>
        </w:rPr>
        <w:t xml:space="preserve">revelar de forma clara y destacada que la FDA no ha aprobado ni evaluado la seguridad, la eficacia ni la calidad de </w:t>
      </w:r>
      <w:r>
        <w:rPr>
          <w:rFonts w:eastAsia="Times New Roman" w:cs="Times New Roman"/>
          <w:color w:val="0D0D0D" w:themeColor="text1" w:themeTint="F2"/>
          <w:szCs w:val="20"/>
        </w:rPr>
        <w:t>dichos</w:t>
      </w:r>
      <w:r w:rsidRPr="008451A6">
        <w:rPr>
          <w:rFonts w:eastAsia="Times New Roman" w:cs="Times New Roman"/>
          <w:color w:val="0D0D0D" w:themeColor="text1" w:themeTint="F2"/>
          <w:szCs w:val="20"/>
        </w:rPr>
        <w:t xml:space="preserve"> productos.</w:t>
      </w:r>
      <w:r>
        <w:rPr>
          <w:rFonts w:eastAsia="Times New Roman" w:cs="Times New Roman"/>
          <w:color w:val="0D0D0D" w:themeColor="text1" w:themeTint="F2"/>
          <w:szCs w:val="20"/>
        </w:rPr>
        <w:t xml:space="preserve"> De no divulgar esta información, la FDA podría considerar que el producto está mal etiquetado. </w:t>
      </w:r>
      <w:r w:rsidRPr="008451A6">
        <w:rPr>
          <w:rFonts w:eastAsia="Times New Roman" w:cs="Times New Roman"/>
          <w:color w:val="0D0D0D" w:themeColor="text1" w:themeTint="F2"/>
          <w:szCs w:val="20"/>
        </w:rPr>
        <w:t xml:space="preserve">Las empresas también podrían tener problemas </w:t>
      </w:r>
      <w:r>
        <w:rPr>
          <w:rFonts w:eastAsia="Times New Roman" w:cs="Times New Roman"/>
          <w:color w:val="0D0D0D" w:themeColor="text1" w:themeTint="F2"/>
          <w:szCs w:val="20"/>
        </w:rPr>
        <w:t>si sugieren que sus formulaciones</w:t>
      </w:r>
      <w:r w:rsidRPr="008451A6">
        <w:rPr>
          <w:rFonts w:eastAsia="Times New Roman" w:cs="Times New Roman"/>
          <w:color w:val="0D0D0D" w:themeColor="text1" w:themeTint="F2"/>
          <w:szCs w:val="20"/>
        </w:rPr>
        <w:t xml:space="preserve"> son segur</w:t>
      </w:r>
      <w:r>
        <w:rPr>
          <w:rFonts w:eastAsia="Times New Roman" w:cs="Times New Roman"/>
          <w:color w:val="0D0D0D" w:themeColor="text1" w:themeTint="F2"/>
          <w:szCs w:val="20"/>
        </w:rPr>
        <w:t>a</w:t>
      </w:r>
      <w:r w:rsidRPr="008451A6">
        <w:rPr>
          <w:rFonts w:eastAsia="Times New Roman" w:cs="Times New Roman"/>
          <w:color w:val="0D0D0D" w:themeColor="text1" w:themeTint="F2"/>
          <w:szCs w:val="20"/>
        </w:rPr>
        <w:t xml:space="preserve">s y eficaces sin </w:t>
      </w:r>
      <w:r>
        <w:rPr>
          <w:rFonts w:eastAsia="Times New Roman" w:cs="Times New Roman"/>
          <w:color w:val="0D0D0D" w:themeColor="text1" w:themeTint="F2"/>
          <w:szCs w:val="20"/>
        </w:rPr>
        <w:t xml:space="preserve">tener </w:t>
      </w:r>
      <w:r w:rsidRPr="008451A6">
        <w:rPr>
          <w:rFonts w:eastAsia="Times New Roman" w:cs="Times New Roman"/>
          <w:color w:val="0D0D0D" w:themeColor="text1" w:themeTint="F2"/>
          <w:szCs w:val="20"/>
        </w:rPr>
        <w:t xml:space="preserve">evidencia, </w:t>
      </w:r>
      <w:r>
        <w:rPr>
          <w:rFonts w:eastAsia="Times New Roman" w:cs="Times New Roman"/>
          <w:color w:val="0D0D0D" w:themeColor="text1" w:themeTint="F2"/>
          <w:szCs w:val="20"/>
        </w:rPr>
        <w:t xml:space="preserve">o si hacen </w:t>
      </w:r>
      <w:proofErr w:type="spellStart"/>
      <w:r>
        <w:rPr>
          <w:rFonts w:eastAsia="Times New Roman" w:cs="Times New Roman"/>
          <w:color w:val="0D0D0D" w:themeColor="text1" w:themeTint="F2"/>
          <w:szCs w:val="20"/>
        </w:rPr>
        <w:t>comparacones</w:t>
      </w:r>
      <w:proofErr w:type="spellEnd"/>
      <w:r w:rsidRPr="008451A6">
        <w:rPr>
          <w:rFonts w:eastAsia="Times New Roman" w:cs="Times New Roman"/>
          <w:color w:val="0D0D0D" w:themeColor="text1" w:themeTint="F2"/>
          <w:szCs w:val="20"/>
        </w:rPr>
        <w:t xml:space="preserve"> engañosas con un medicamento o clase de medicamentos aprobados por la FDA</w:t>
      </w:r>
      <w:r>
        <w:rPr>
          <w:rFonts w:eastAsia="Times New Roman" w:cs="Times New Roman"/>
          <w:color w:val="0D0D0D" w:themeColor="text1" w:themeTint="F2"/>
          <w:szCs w:val="20"/>
        </w:rPr>
        <w:t>, o</w:t>
      </w:r>
      <w:r w:rsidRPr="008451A6">
        <w:rPr>
          <w:rFonts w:eastAsia="Times New Roman" w:cs="Times New Roman"/>
          <w:color w:val="0D0D0D" w:themeColor="text1" w:themeTint="F2"/>
          <w:szCs w:val="20"/>
        </w:rPr>
        <w:t xml:space="preserve"> tergiversa</w:t>
      </w:r>
      <w:r>
        <w:rPr>
          <w:rFonts w:eastAsia="Times New Roman" w:cs="Times New Roman"/>
          <w:color w:val="0D0D0D" w:themeColor="text1" w:themeTint="F2"/>
          <w:szCs w:val="20"/>
        </w:rPr>
        <w:t>n</w:t>
      </w:r>
      <w:r w:rsidRPr="008451A6">
        <w:rPr>
          <w:rFonts w:eastAsia="Times New Roman" w:cs="Times New Roman"/>
          <w:color w:val="0D0D0D" w:themeColor="text1" w:themeTint="F2"/>
          <w:szCs w:val="20"/>
        </w:rPr>
        <w:t xml:space="preserve"> datos</w:t>
      </w:r>
      <w:r>
        <w:rPr>
          <w:rFonts w:eastAsia="Times New Roman" w:cs="Times New Roman"/>
          <w:color w:val="0D0D0D" w:themeColor="text1" w:themeTint="F2"/>
          <w:szCs w:val="20"/>
        </w:rPr>
        <w:t xml:space="preserve"> procedentes de</w:t>
      </w:r>
      <w:r w:rsidRPr="008451A6">
        <w:rPr>
          <w:rFonts w:eastAsia="Times New Roman" w:cs="Times New Roman"/>
          <w:color w:val="0D0D0D" w:themeColor="text1" w:themeTint="F2"/>
          <w:szCs w:val="20"/>
        </w:rPr>
        <w:t xml:space="preserve"> ensayos clínicos </w:t>
      </w:r>
      <w:r>
        <w:rPr>
          <w:rFonts w:eastAsia="Times New Roman" w:cs="Times New Roman"/>
          <w:color w:val="0D0D0D" w:themeColor="text1" w:themeTint="F2"/>
          <w:szCs w:val="20"/>
        </w:rPr>
        <w:t>con</w:t>
      </w:r>
      <w:r w:rsidRPr="008451A6">
        <w:rPr>
          <w:rFonts w:eastAsia="Times New Roman" w:cs="Times New Roman"/>
          <w:color w:val="0D0D0D" w:themeColor="text1" w:themeTint="F2"/>
          <w:szCs w:val="20"/>
        </w:rPr>
        <w:t xml:space="preserve"> medicamentos autorizados.</w:t>
      </w:r>
    </w:p>
    <w:p w14:paraId="2B36E0EA" w14:textId="77777777" w:rsidR="00FE3E51" w:rsidRPr="008451A6" w:rsidRDefault="00FE3E51" w:rsidP="00FE3E51">
      <w:pPr>
        <w:contextualSpacing/>
        <w:rPr>
          <w:rFonts w:eastAsia="Times New Roman" w:cs="Times New Roman"/>
          <w:color w:val="0D0D0D" w:themeColor="text1" w:themeTint="F2"/>
          <w:szCs w:val="20"/>
        </w:rPr>
      </w:pPr>
    </w:p>
    <w:p w14:paraId="735F4107" w14:textId="77777777" w:rsidR="00FE3E51" w:rsidRPr="00C07879" w:rsidRDefault="00FE3E51" w:rsidP="00FE3E51">
      <w:pPr>
        <w:contextualSpacing/>
        <w:rPr>
          <w:rFonts w:eastAsia="Times New Roman" w:cs="Times New Roman"/>
          <w:b/>
          <w:bCs/>
          <w:color w:val="0D0D0D" w:themeColor="text1" w:themeTint="F2"/>
          <w:sz w:val="18"/>
          <w:szCs w:val="18"/>
          <w:lang w:val="en-US"/>
        </w:rPr>
      </w:pPr>
      <w:r w:rsidRPr="00C07879">
        <w:rPr>
          <w:rFonts w:eastAsia="Times New Roman" w:cs="Times New Roman"/>
          <w:b/>
          <w:bCs/>
          <w:color w:val="0D0D0D" w:themeColor="text1" w:themeTint="F2"/>
          <w:sz w:val="18"/>
          <w:szCs w:val="18"/>
          <w:lang w:val="en-US"/>
        </w:rPr>
        <w:t>Fuente Original:</w:t>
      </w:r>
    </w:p>
    <w:p w14:paraId="284EA973" w14:textId="77777777" w:rsidR="00FE3E51" w:rsidRPr="00C07879" w:rsidRDefault="00FE3E51" w:rsidP="00FE3E51">
      <w:pPr>
        <w:ind w:left="180" w:hanging="180"/>
        <w:contextualSpacing/>
        <w:rPr>
          <w:rFonts w:eastAsia="Times New Roman" w:cs="Times New Roman"/>
          <w:color w:val="0D0D0D" w:themeColor="text1" w:themeTint="F2"/>
          <w:sz w:val="18"/>
          <w:szCs w:val="18"/>
          <w:lang w:val="en-US"/>
        </w:rPr>
      </w:pPr>
      <w:r w:rsidRPr="00C07879">
        <w:rPr>
          <w:rFonts w:eastAsia="Times New Roman" w:cs="Times New Roman"/>
          <w:color w:val="0D0D0D" w:themeColor="text1" w:themeTint="F2"/>
          <w:sz w:val="18"/>
          <w:szCs w:val="18"/>
          <w:lang w:val="en-US"/>
        </w:rPr>
        <w:t xml:space="preserve">1.N. P. Taylor. </w:t>
      </w:r>
      <w:r w:rsidRPr="005C542E">
        <w:rPr>
          <w:rFonts w:eastAsia="Times New Roman" w:cs="Times New Roman"/>
          <w:color w:val="0D0D0D" w:themeColor="text1" w:themeTint="F2"/>
          <w:sz w:val="18"/>
          <w:szCs w:val="18"/>
          <w:lang w:val="en-US"/>
        </w:rPr>
        <w:t xml:space="preserve">FDA seeks legislative teeth to bite back against misleading DTC drug ads. </w:t>
      </w:r>
      <w:r w:rsidRPr="00C07879">
        <w:rPr>
          <w:rFonts w:eastAsia="Times New Roman" w:cs="Times New Roman"/>
          <w:i/>
          <w:iCs/>
          <w:color w:val="0D0D0D" w:themeColor="text1" w:themeTint="F2"/>
          <w:sz w:val="18"/>
          <w:szCs w:val="18"/>
          <w:lang w:val="en-US"/>
        </w:rPr>
        <w:t>Fierce Pharma</w:t>
      </w:r>
      <w:r w:rsidRPr="00C07879">
        <w:rPr>
          <w:rFonts w:eastAsia="Times New Roman" w:cs="Times New Roman"/>
          <w:color w:val="0D0D0D" w:themeColor="text1" w:themeTint="F2"/>
          <w:sz w:val="18"/>
          <w:szCs w:val="18"/>
          <w:lang w:val="en-US"/>
        </w:rPr>
        <w:t xml:space="preserve">, 7 de </w:t>
      </w:r>
      <w:proofErr w:type="spellStart"/>
      <w:r w:rsidRPr="00C07879">
        <w:rPr>
          <w:rFonts w:eastAsia="Times New Roman" w:cs="Times New Roman"/>
          <w:color w:val="0D0D0D" w:themeColor="text1" w:themeTint="F2"/>
          <w:sz w:val="18"/>
          <w:szCs w:val="18"/>
          <w:lang w:val="en-US"/>
        </w:rPr>
        <w:t>abril</w:t>
      </w:r>
      <w:proofErr w:type="spellEnd"/>
      <w:r w:rsidRPr="00C07879">
        <w:rPr>
          <w:rFonts w:eastAsia="Times New Roman" w:cs="Times New Roman"/>
          <w:color w:val="0D0D0D" w:themeColor="text1" w:themeTint="F2"/>
          <w:sz w:val="18"/>
          <w:szCs w:val="18"/>
          <w:lang w:val="en-US"/>
        </w:rPr>
        <w:t xml:space="preserve"> de 2026 </w:t>
      </w:r>
      <w:hyperlink r:id="rId87" w:history="1">
        <w:r w:rsidRPr="00C07879">
          <w:rPr>
            <w:rStyle w:val="Hipervnculo"/>
            <w:rFonts w:eastAsia="Times New Roman" w:cs="Times New Roman"/>
            <w:sz w:val="18"/>
            <w:szCs w:val="18"/>
            <w:lang w:val="en-US"/>
          </w:rPr>
          <w:t>https://www.fiercepharma.com/marketing/fda-seeks-legislative-teeth-bite-back-against-misleading-dtc-drug-ads</w:t>
        </w:r>
      </w:hyperlink>
    </w:p>
    <w:p w14:paraId="5166CACF" w14:textId="77777777" w:rsidR="00140BE1" w:rsidRDefault="00140BE1" w:rsidP="004D63D3">
      <w:pPr>
        <w:jc w:val="center"/>
        <w:rPr>
          <w:rFonts w:eastAsia="Times New Roman" w:cs="Times New Roman"/>
          <w:color w:val="0D0D0D" w:themeColor="text1" w:themeTint="F2"/>
          <w:szCs w:val="20"/>
          <w:lang w:val="en-US"/>
        </w:rPr>
        <w:sectPr w:rsidR="00140BE1" w:rsidSect="00140BE1">
          <w:type w:val="continuous"/>
          <w:pgSz w:w="12240" w:h="15840" w:code="1"/>
          <w:pgMar w:top="720" w:right="720" w:bottom="720" w:left="720" w:header="288" w:footer="288" w:gutter="0"/>
          <w:cols w:num="2" w:space="288"/>
          <w:docGrid w:linePitch="360"/>
        </w:sectPr>
      </w:pPr>
    </w:p>
    <w:p w14:paraId="7FAB8C97" w14:textId="441AC0E4" w:rsidR="00FE3E51" w:rsidRPr="00F25512" w:rsidRDefault="00FE3E51" w:rsidP="004D63D3">
      <w:pPr>
        <w:jc w:val="center"/>
        <w:rPr>
          <w:rFonts w:eastAsia="Times New Roman" w:cs="Times New Roman"/>
          <w:color w:val="0D0D0D" w:themeColor="text1" w:themeTint="F2"/>
          <w:szCs w:val="20"/>
          <w:lang w:val="en-US"/>
        </w:rPr>
      </w:pPr>
    </w:p>
    <w:p w14:paraId="19217821" w14:textId="77777777" w:rsidR="00FE3E51" w:rsidRPr="00F25512" w:rsidRDefault="00FE3E51" w:rsidP="004D63D3">
      <w:pPr>
        <w:jc w:val="center"/>
        <w:rPr>
          <w:rFonts w:eastAsia="Times New Roman" w:cs="Times New Roman"/>
          <w:color w:val="0D0D0D" w:themeColor="text1" w:themeTint="F2"/>
          <w:szCs w:val="20"/>
          <w:lang w:val="en-US"/>
        </w:rPr>
      </w:pPr>
    </w:p>
    <w:p w14:paraId="009217B3" w14:textId="77777777" w:rsidR="008D21BE" w:rsidRPr="00923C7F" w:rsidRDefault="008D21BE" w:rsidP="008D21BE">
      <w:pPr>
        <w:contextualSpacing/>
        <w:jc w:val="center"/>
        <w:rPr>
          <w:rFonts w:eastAsia="Times New Roman" w:cs="Times New Roman"/>
          <w:b/>
          <w:bCs/>
          <w:color w:val="0D0D0D" w:themeColor="text1" w:themeTint="F2"/>
          <w:szCs w:val="20"/>
        </w:rPr>
      </w:pPr>
      <w:r w:rsidRPr="00923C7F">
        <w:rPr>
          <w:rFonts w:eastAsia="Times New Roman" w:cs="Times New Roman"/>
          <w:color w:val="0D0D0D" w:themeColor="text1" w:themeTint="F2"/>
          <w:szCs w:val="20"/>
        </w:rPr>
        <w:t xml:space="preserve">EE UU. </w:t>
      </w:r>
      <w:r w:rsidRPr="00EA71DA">
        <w:rPr>
          <w:rFonts w:eastAsia="Times New Roman" w:cs="Times New Roman"/>
          <w:b/>
          <w:bCs/>
          <w:color w:val="0D0D0D" w:themeColor="text1" w:themeTint="F2"/>
          <w:szCs w:val="20"/>
        </w:rPr>
        <w:t>La FDA anuncia pasos importantes para implementar ensayos clínicos en tiempo real</w:t>
      </w:r>
    </w:p>
    <w:p w14:paraId="7FA3D7AF" w14:textId="77777777" w:rsidR="008D21BE" w:rsidRPr="00923C7F" w:rsidRDefault="008D21BE" w:rsidP="008D21BE">
      <w:pPr>
        <w:contextualSpacing/>
        <w:jc w:val="center"/>
        <w:rPr>
          <w:rFonts w:eastAsia="Times New Roman" w:cs="Times New Roman"/>
          <w:i/>
          <w:iCs/>
          <w:color w:val="0D0D0D" w:themeColor="text1" w:themeTint="F2"/>
          <w:szCs w:val="20"/>
          <w:lang w:val="en-US"/>
        </w:rPr>
      </w:pPr>
      <w:r w:rsidRPr="00923C7F">
        <w:rPr>
          <w:rFonts w:eastAsia="Times New Roman" w:cs="Times New Roman"/>
          <w:i/>
          <w:iCs/>
          <w:color w:val="0D0D0D" w:themeColor="text1" w:themeTint="F2"/>
          <w:szCs w:val="20"/>
          <w:lang w:val="en-US"/>
        </w:rPr>
        <w:t>(FDA Announces Major Steps to Implement Real-Time Clinical Trials)</w:t>
      </w:r>
    </w:p>
    <w:p w14:paraId="4B96547A" w14:textId="77777777" w:rsidR="008D21BE" w:rsidRPr="00F25512" w:rsidRDefault="008D21BE" w:rsidP="008D21BE">
      <w:pPr>
        <w:spacing w:after="225"/>
        <w:contextualSpacing/>
        <w:jc w:val="center"/>
        <w:outlineLvl w:val="0"/>
        <w:rPr>
          <w:rFonts w:eastAsia="Times New Roman" w:cs="Times New Roman"/>
          <w:color w:val="0D0D0D" w:themeColor="text1" w:themeTint="F2"/>
          <w:szCs w:val="20"/>
          <w:lang w:val="en-US"/>
        </w:rPr>
      </w:pPr>
      <w:r w:rsidRPr="00F25512">
        <w:rPr>
          <w:rFonts w:eastAsia="Times New Roman" w:cs="Times New Roman"/>
          <w:i/>
          <w:iCs/>
          <w:color w:val="0D0D0D" w:themeColor="text1" w:themeTint="F2"/>
          <w:szCs w:val="20"/>
          <w:lang w:val="en-US"/>
        </w:rPr>
        <w:t xml:space="preserve">U. S. Food &amp; Drug Administration (FDA), </w:t>
      </w:r>
      <w:r w:rsidRPr="00F25512">
        <w:rPr>
          <w:rFonts w:eastAsia="Times New Roman" w:cs="Times New Roman"/>
          <w:color w:val="0D0D0D" w:themeColor="text1" w:themeTint="F2"/>
          <w:szCs w:val="20"/>
          <w:lang w:val="en-US"/>
        </w:rPr>
        <w:t xml:space="preserve">28 de </w:t>
      </w:r>
      <w:proofErr w:type="spellStart"/>
      <w:r w:rsidRPr="00F25512">
        <w:rPr>
          <w:rFonts w:eastAsia="Times New Roman" w:cs="Times New Roman"/>
          <w:color w:val="0D0D0D" w:themeColor="text1" w:themeTint="F2"/>
          <w:szCs w:val="20"/>
          <w:lang w:val="en-US"/>
        </w:rPr>
        <w:t>abril</w:t>
      </w:r>
      <w:proofErr w:type="spellEnd"/>
      <w:r w:rsidRPr="00F25512">
        <w:rPr>
          <w:rFonts w:eastAsia="Times New Roman" w:cs="Times New Roman"/>
          <w:color w:val="0D0D0D" w:themeColor="text1" w:themeTint="F2"/>
          <w:szCs w:val="20"/>
          <w:lang w:val="en-US"/>
        </w:rPr>
        <w:t xml:space="preserve"> de 2026</w:t>
      </w:r>
    </w:p>
    <w:p w14:paraId="6133B418" w14:textId="77777777" w:rsidR="008D21BE" w:rsidRPr="00F25512" w:rsidRDefault="00B00DA4" w:rsidP="008D21BE">
      <w:pPr>
        <w:jc w:val="center"/>
        <w:rPr>
          <w:lang w:val="en-US"/>
        </w:rPr>
      </w:pPr>
      <w:hyperlink r:id="rId88" w:history="1">
        <w:r w:rsidR="008D21BE" w:rsidRPr="00F25512">
          <w:rPr>
            <w:rStyle w:val="Hipervnculo"/>
            <w:lang w:val="en-US"/>
          </w:rPr>
          <w:t>https://www.fda.gov/news-events/press-announcements/fda-announces-major-steps-implement-real-time-clinical-trials</w:t>
        </w:r>
      </w:hyperlink>
    </w:p>
    <w:p w14:paraId="1790EC84" w14:textId="7F590280" w:rsidR="008D21BE" w:rsidRPr="00A21F37" w:rsidRDefault="008D21BE" w:rsidP="008D21BE">
      <w:pPr>
        <w:jc w:val="center"/>
        <w:rPr>
          <w:lang w:val="es-ES"/>
        </w:rPr>
      </w:pPr>
      <w:r w:rsidRPr="00CA0441">
        <w:rPr>
          <w:rFonts w:eastAsia="Times New Roman" w:cs="Times New Roman"/>
          <w:szCs w:val="20"/>
          <w:lang w:val="es-ES"/>
        </w:rPr>
        <w:t xml:space="preserve">Traducido por Salud y Fármacos, publicado en </w:t>
      </w:r>
      <w:r w:rsidRPr="00CA0441">
        <w:rPr>
          <w:rFonts w:cs="Times New Roman"/>
          <w:i/>
          <w:iCs/>
          <w:szCs w:val="20"/>
          <w:lang w:val="es-ES"/>
        </w:rPr>
        <w:t>Boletín Fármacos:</w:t>
      </w:r>
      <w:r w:rsidR="00EA71DA">
        <w:rPr>
          <w:rFonts w:cs="Times New Roman"/>
          <w:i/>
          <w:iCs/>
          <w:szCs w:val="20"/>
          <w:lang w:val="es-ES"/>
        </w:rPr>
        <w:t xml:space="preserve"> Agencia</w:t>
      </w:r>
      <w:r>
        <w:rPr>
          <w:rFonts w:eastAsia="Times New Roman" w:cs="Times New Roman"/>
          <w:bCs/>
          <w:i/>
          <w:iCs/>
          <w:color w:val="000000" w:themeColor="text1"/>
          <w:szCs w:val="16"/>
          <w:lang w:val="es-ES"/>
        </w:rPr>
        <w:t>s</w:t>
      </w:r>
      <w:r w:rsidR="00EA71DA">
        <w:rPr>
          <w:rFonts w:eastAsia="Times New Roman" w:cs="Times New Roman"/>
          <w:bCs/>
          <w:i/>
          <w:iCs/>
          <w:color w:val="000000" w:themeColor="text1"/>
          <w:szCs w:val="16"/>
          <w:lang w:val="es-ES"/>
        </w:rPr>
        <w:t xml:space="preserve"> Reguladoras</w:t>
      </w:r>
      <w:r w:rsidRPr="00A21F37">
        <w:rPr>
          <w:rFonts w:eastAsia="Times New Roman" w:cs="Times New Roman"/>
          <w:bCs/>
          <w:i/>
          <w:iCs/>
          <w:color w:val="000000" w:themeColor="text1"/>
          <w:szCs w:val="16"/>
          <w:lang w:val="es-ES"/>
        </w:rPr>
        <w:t xml:space="preserve"> 2026; 29(</w:t>
      </w:r>
      <w:r>
        <w:rPr>
          <w:rFonts w:eastAsia="Times New Roman" w:cs="Times New Roman"/>
          <w:bCs/>
          <w:i/>
          <w:iCs/>
          <w:color w:val="000000" w:themeColor="text1"/>
          <w:szCs w:val="16"/>
          <w:lang w:val="es-ES"/>
        </w:rPr>
        <w:t>3</w:t>
      </w:r>
      <w:r w:rsidRPr="00A21F37">
        <w:rPr>
          <w:rFonts w:eastAsia="Times New Roman" w:cs="Times New Roman"/>
          <w:bCs/>
          <w:i/>
          <w:iCs/>
          <w:color w:val="000000" w:themeColor="text1"/>
          <w:szCs w:val="16"/>
          <w:lang w:val="es-ES"/>
        </w:rPr>
        <w:t>)</w:t>
      </w:r>
    </w:p>
    <w:p w14:paraId="2DCE37BB" w14:textId="77777777" w:rsidR="008D21BE" w:rsidRPr="00CA0441" w:rsidRDefault="008D21BE" w:rsidP="008D21BE">
      <w:pPr>
        <w:rPr>
          <w:rFonts w:eastAsia="Times New Roman" w:cs="Times New Roman"/>
          <w:szCs w:val="20"/>
          <w:lang w:val="es-ES"/>
        </w:rPr>
      </w:pPr>
    </w:p>
    <w:p w14:paraId="03DA212D" w14:textId="77777777" w:rsidR="00140BE1" w:rsidRDefault="00140BE1" w:rsidP="008D21BE">
      <w:pPr>
        <w:contextualSpacing/>
        <w:rPr>
          <w:rFonts w:eastAsia="Times New Roman" w:cs="Times New Roman"/>
          <w:b/>
          <w:bCs/>
          <w:sz w:val="18"/>
          <w:szCs w:val="18"/>
          <w:lang w:val="es-ES"/>
        </w:rPr>
        <w:sectPr w:rsidR="00140BE1" w:rsidSect="00F25512">
          <w:type w:val="continuous"/>
          <w:pgSz w:w="12240" w:h="15840" w:code="1"/>
          <w:pgMar w:top="720" w:right="720" w:bottom="720" w:left="720" w:header="288" w:footer="288" w:gutter="0"/>
          <w:cols w:space="288"/>
          <w:docGrid w:linePitch="360"/>
        </w:sectPr>
      </w:pPr>
    </w:p>
    <w:p w14:paraId="5B3CC81D" w14:textId="6F7F5B30" w:rsidR="008D21BE" w:rsidRPr="00164909" w:rsidRDefault="008D21BE" w:rsidP="008D21BE">
      <w:pPr>
        <w:contextualSpacing/>
        <w:rPr>
          <w:rFonts w:eastAsia="Times New Roman" w:cs="Times New Roman"/>
          <w:color w:val="0D0D0D" w:themeColor="text1" w:themeTint="F2"/>
          <w:sz w:val="18"/>
          <w:szCs w:val="18"/>
        </w:rPr>
      </w:pPr>
      <w:r w:rsidRPr="00CA0441">
        <w:rPr>
          <w:rFonts w:eastAsia="Times New Roman" w:cs="Times New Roman"/>
          <w:b/>
          <w:bCs/>
          <w:sz w:val="18"/>
          <w:szCs w:val="18"/>
          <w:lang w:val="es-ES"/>
        </w:rPr>
        <w:t>Tags:</w:t>
      </w:r>
      <w:r>
        <w:rPr>
          <w:rFonts w:eastAsia="Times New Roman" w:cs="Times New Roman"/>
          <w:b/>
          <w:bCs/>
          <w:sz w:val="18"/>
          <w:szCs w:val="18"/>
          <w:lang w:val="es-ES"/>
        </w:rPr>
        <w:t xml:space="preserve"> </w:t>
      </w:r>
      <w:r w:rsidRPr="00164909">
        <w:rPr>
          <w:rFonts w:eastAsia="Times New Roman" w:cs="Times New Roman"/>
          <w:b/>
          <w:bCs/>
          <w:color w:val="0D0D0D" w:themeColor="text1" w:themeTint="F2"/>
          <w:sz w:val="18"/>
          <w:szCs w:val="18"/>
        </w:rPr>
        <w:t>ensayos clínicos en tiempo real</w:t>
      </w:r>
      <w:r>
        <w:rPr>
          <w:rFonts w:eastAsia="Times New Roman" w:cs="Times New Roman"/>
          <w:b/>
          <w:bCs/>
          <w:color w:val="0D0D0D" w:themeColor="text1" w:themeTint="F2"/>
          <w:sz w:val="18"/>
          <w:szCs w:val="18"/>
        </w:rPr>
        <w:t xml:space="preserve">, </w:t>
      </w:r>
      <w:r w:rsidRPr="00164909">
        <w:rPr>
          <w:rFonts w:eastAsia="Times New Roman" w:cs="Times New Roman"/>
          <w:b/>
          <w:bCs/>
          <w:color w:val="0D0D0D" w:themeColor="text1" w:themeTint="F2"/>
          <w:sz w:val="18"/>
          <w:szCs w:val="18"/>
        </w:rPr>
        <w:t>pruebas de concepto</w:t>
      </w:r>
      <w:r>
        <w:rPr>
          <w:rFonts w:eastAsia="Times New Roman" w:cs="Times New Roman"/>
          <w:b/>
          <w:bCs/>
          <w:color w:val="0D0D0D" w:themeColor="text1" w:themeTint="F2"/>
          <w:sz w:val="18"/>
          <w:szCs w:val="18"/>
        </w:rPr>
        <w:t>, FDA y ensayos clínicos</w:t>
      </w:r>
    </w:p>
    <w:p w14:paraId="45D5EFCE" w14:textId="77777777" w:rsidR="008D21BE" w:rsidRPr="00164909" w:rsidRDefault="008D21BE" w:rsidP="008D21BE">
      <w:pPr>
        <w:contextualSpacing/>
        <w:rPr>
          <w:rFonts w:eastAsia="Times New Roman" w:cs="Times New Roman"/>
          <w:color w:val="EE0000"/>
          <w:szCs w:val="20"/>
        </w:rPr>
      </w:pPr>
    </w:p>
    <w:p w14:paraId="3B5D818F" w14:textId="77777777" w:rsidR="008D21BE" w:rsidRPr="008D0225" w:rsidRDefault="008D21BE" w:rsidP="008D21BE">
      <w:pPr>
        <w:contextualSpacing/>
        <w:rPr>
          <w:rFonts w:eastAsia="Times New Roman" w:cs="Times New Roman"/>
          <w:color w:val="0D0D0D" w:themeColor="text1" w:themeTint="F2"/>
          <w:szCs w:val="20"/>
        </w:rPr>
      </w:pPr>
      <w:r w:rsidRPr="008D0225">
        <w:rPr>
          <w:rFonts w:eastAsia="Times New Roman" w:cs="Times New Roman"/>
          <w:color w:val="0D0D0D" w:themeColor="text1" w:themeTint="F2"/>
          <w:szCs w:val="20"/>
        </w:rPr>
        <w:t xml:space="preserve">La agencia presenta pruebas de concepto </w:t>
      </w:r>
      <w:r>
        <w:rPr>
          <w:rFonts w:eastAsia="Times New Roman" w:cs="Times New Roman"/>
          <w:color w:val="0D0D0D" w:themeColor="text1" w:themeTint="F2"/>
          <w:szCs w:val="20"/>
        </w:rPr>
        <w:t xml:space="preserve">de ensayos clínicos </w:t>
      </w:r>
      <w:r w:rsidRPr="008D0225">
        <w:rPr>
          <w:rFonts w:eastAsia="Times New Roman" w:cs="Times New Roman"/>
          <w:color w:val="0D0D0D" w:themeColor="text1" w:themeTint="F2"/>
          <w:szCs w:val="20"/>
        </w:rPr>
        <w:t xml:space="preserve">en tiempo real y un </w:t>
      </w:r>
      <w:r>
        <w:rPr>
          <w:rFonts w:eastAsia="Times New Roman" w:cs="Times New Roman"/>
          <w:color w:val="0D0D0D" w:themeColor="text1" w:themeTint="F2"/>
          <w:szCs w:val="20"/>
        </w:rPr>
        <w:t>nuevo</w:t>
      </w:r>
      <w:r w:rsidRPr="008D0225">
        <w:rPr>
          <w:rFonts w:eastAsia="Times New Roman" w:cs="Times New Roman"/>
          <w:color w:val="0D0D0D" w:themeColor="text1" w:themeTint="F2"/>
          <w:szCs w:val="20"/>
        </w:rPr>
        <w:t xml:space="preserve"> programa piloto</w:t>
      </w:r>
    </w:p>
    <w:p w14:paraId="0D402EFB" w14:textId="77777777" w:rsidR="008D21BE" w:rsidRPr="008D0225" w:rsidRDefault="008D21BE" w:rsidP="008D21BE">
      <w:pPr>
        <w:contextualSpacing/>
        <w:rPr>
          <w:rFonts w:eastAsia="Times New Roman" w:cs="Times New Roman"/>
          <w:color w:val="EE0000"/>
          <w:szCs w:val="20"/>
        </w:rPr>
      </w:pPr>
    </w:p>
    <w:p w14:paraId="72571977" w14:textId="77777777" w:rsidR="008D21BE" w:rsidRPr="008D0225" w:rsidRDefault="008D21BE" w:rsidP="008D21BE">
      <w:pPr>
        <w:contextualSpacing/>
        <w:rPr>
          <w:rFonts w:eastAsia="Times New Roman" w:cs="Times New Roman"/>
          <w:color w:val="EE0000"/>
          <w:szCs w:val="20"/>
        </w:rPr>
      </w:pPr>
      <w:r w:rsidRPr="008D0225">
        <w:rPr>
          <w:rFonts w:eastAsia="Times New Roman" w:cs="Times New Roman"/>
          <w:color w:val="0D0D0D" w:themeColor="text1" w:themeTint="F2"/>
          <w:szCs w:val="20"/>
        </w:rPr>
        <w:t>La FDA anunció hoy dos importantes avances en el marco de una iniciativa para impulsar la implementación de ensayos clínicos en tiempo real (</w:t>
      </w:r>
      <w:r w:rsidRPr="00164909">
        <w:rPr>
          <w:rFonts w:eastAsia="Times New Roman" w:cs="Times New Roman"/>
          <w:i/>
          <w:iCs/>
          <w:color w:val="0D0D0D" w:themeColor="text1" w:themeTint="F2"/>
          <w:szCs w:val="20"/>
        </w:rPr>
        <w:t xml:space="preserve">real-time </w:t>
      </w:r>
      <w:proofErr w:type="spellStart"/>
      <w:r w:rsidRPr="00164909">
        <w:rPr>
          <w:rFonts w:eastAsia="Times New Roman" w:cs="Times New Roman"/>
          <w:i/>
          <w:iCs/>
          <w:color w:val="0D0D0D" w:themeColor="text1" w:themeTint="F2"/>
          <w:szCs w:val="20"/>
        </w:rPr>
        <w:t>clinical</w:t>
      </w:r>
      <w:proofErr w:type="spellEnd"/>
      <w:r w:rsidRPr="00164909">
        <w:rPr>
          <w:rFonts w:eastAsia="Times New Roman" w:cs="Times New Roman"/>
          <w:i/>
          <w:iCs/>
          <w:color w:val="0D0D0D" w:themeColor="text1" w:themeTint="F2"/>
          <w:szCs w:val="20"/>
        </w:rPr>
        <w:t xml:space="preserve"> </w:t>
      </w:r>
      <w:proofErr w:type="spellStart"/>
      <w:r w:rsidRPr="00164909">
        <w:rPr>
          <w:rFonts w:eastAsia="Times New Roman" w:cs="Times New Roman"/>
          <w:i/>
          <w:iCs/>
          <w:color w:val="0D0D0D" w:themeColor="text1" w:themeTint="F2"/>
          <w:szCs w:val="20"/>
        </w:rPr>
        <w:t>trials</w:t>
      </w:r>
      <w:proofErr w:type="spellEnd"/>
      <w:r w:rsidRPr="008D0225">
        <w:rPr>
          <w:rFonts w:eastAsia="Times New Roman" w:cs="Times New Roman"/>
          <w:color w:val="0D0D0D" w:themeColor="text1" w:themeTint="F2"/>
          <w:szCs w:val="20"/>
        </w:rPr>
        <w:t xml:space="preserve"> </w:t>
      </w:r>
      <w:r>
        <w:rPr>
          <w:rFonts w:eastAsia="Times New Roman" w:cs="Times New Roman"/>
          <w:color w:val="0D0D0D" w:themeColor="text1" w:themeTint="F2"/>
          <w:szCs w:val="20"/>
        </w:rPr>
        <w:t xml:space="preserve">o </w:t>
      </w:r>
      <w:r w:rsidRPr="008D0225">
        <w:rPr>
          <w:rFonts w:eastAsia="Times New Roman" w:cs="Times New Roman"/>
          <w:color w:val="0D0D0D" w:themeColor="text1" w:themeTint="F2"/>
          <w:szCs w:val="20"/>
        </w:rPr>
        <w:t>R</w:t>
      </w:r>
      <w:r>
        <w:rPr>
          <w:rFonts w:eastAsia="Times New Roman" w:cs="Times New Roman"/>
          <w:color w:val="0D0D0D" w:themeColor="text1" w:themeTint="F2"/>
          <w:szCs w:val="20"/>
        </w:rPr>
        <w:t>TCT</w:t>
      </w:r>
      <w:r w:rsidRPr="008D0225">
        <w:rPr>
          <w:rFonts w:eastAsia="Times New Roman" w:cs="Times New Roman"/>
          <w:color w:val="0D0D0D" w:themeColor="text1" w:themeTint="F2"/>
          <w:szCs w:val="20"/>
        </w:rPr>
        <w:t xml:space="preserve">). </w:t>
      </w:r>
      <w:r>
        <w:rPr>
          <w:rFonts w:eastAsia="Times New Roman" w:cs="Times New Roman"/>
          <w:color w:val="0D0D0D" w:themeColor="text1" w:themeTint="F2"/>
          <w:szCs w:val="20"/>
        </w:rPr>
        <w:t>P</w:t>
      </w:r>
      <w:r w:rsidRPr="008D0225">
        <w:rPr>
          <w:rFonts w:eastAsia="Times New Roman" w:cs="Times New Roman"/>
          <w:color w:val="0D0D0D" w:themeColor="text1" w:themeTint="F2"/>
          <w:szCs w:val="20"/>
        </w:rPr>
        <w:t>rimer</w:t>
      </w:r>
      <w:r>
        <w:rPr>
          <w:rFonts w:eastAsia="Times New Roman" w:cs="Times New Roman"/>
          <w:color w:val="0D0D0D" w:themeColor="text1" w:themeTint="F2"/>
          <w:szCs w:val="20"/>
        </w:rPr>
        <w:t>o</w:t>
      </w:r>
      <w:r w:rsidRPr="008D0225">
        <w:rPr>
          <w:rFonts w:eastAsia="Times New Roman" w:cs="Times New Roman"/>
          <w:color w:val="0D0D0D" w:themeColor="text1" w:themeTint="F2"/>
          <w:szCs w:val="20"/>
        </w:rPr>
        <w:t>, la agencia d</w:t>
      </w:r>
      <w:r>
        <w:rPr>
          <w:rFonts w:eastAsia="Times New Roman" w:cs="Times New Roman"/>
          <w:color w:val="0D0D0D" w:themeColor="text1" w:themeTint="F2"/>
          <w:szCs w:val="20"/>
        </w:rPr>
        <w:t>eveló</w:t>
      </w:r>
      <w:r w:rsidRPr="008D0225">
        <w:rPr>
          <w:rFonts w:eastAsia="Times New Roman" w:cs="Times New Roman"/>
          <w:color w:val="0D0D0D" w:themeColor="text1" w:themeTint="F2"/>
          <w:szCs w:val="20"/>
        </w:rPr>
        <w:t xml:space="preserve"> el exitoso inicio de dos ensayos clínicos de prueba de concepto que </w:t>
      </w:r>
      <w:r>
        <w:rPr>
          <w:rFonts w:eastAsia="Times New Roman" w:cs="Times New Roman"/>
          <w:color w:val="0D0D0D" w:themeColor="text1" w:themeTint="F2"/>
          <w:szCs w:val="20"/>
        </w:rPr>
        <w:t xml:space="preserve">irán </w:t>
      </w:r>
      <w:r w:rsidRPr="008D0225">
        <w:rPr>
          <w:rFonts w:eastAsia="Times New Roman" w:cs="Times New Roman"/>
          <w:color w:val="0D0D0D" w:themeColor="text1" w:themeTint="F2"/>
          <w:szCs w:val="20"/>
        </w:rPr>
        <w:t>reporta</w:t>
      </w:r>
      <w:r>
        <w:rPr>
          <w:rFonts w:eastAsia="Times New Roman" w:cs="Times New Roman"/>
          <w:color w:val="0D0D0D" w:themeColor="text1" w:themeTint="F2"/>
          <w:szCs w:val="20"/>
        </w:rPr>
        <w:t>ndo</w:t>
      </w:r>
      <w:r w:rsidRPr="008D0225">
        <w:rPr>
          <w:rFonts w:eastAsia="Times New Roman" w:cs="Times New Roman"/>
          <w:color w:val="0D0D0D" w:themeColor="text1" w:themeTint="F2"/>
          <w:szCs w:val="20"/>
        </w:rPr>
        <w:t xml:space="preserve"> los resultados y las señales de datos a la agencia en tiempo real. </w:t>
      </w:r>
      <w:r>
        <w:rPr>
          <w:rFonts w:eastAsia="Times New Roman" w:cs="Times New Roman"/>
          <w:color w:val="0D0D0D" w:themeColor="text1" w:themeTint="F2"/>
          <w:szCs w:val="20"/>
        </w:rPr>
        <w:t>S</w:t>
      </w:r>
      <w:r w:rsidRPr="008D0225">
        <w:rPr>
          <w:rFonts w:eastAsia="Times New Roman" w:cs="Times New Roman"/>
          <w:color w:val="0D0D0D" w:themeColor="text1" w:themeTint="F2"/>
          <w:szCs w:val="20"/>
        </w:rPr>
        <w:t>egundo, la agencia publicó una</w:t>
      </w:r>
      <w:r>
        <w:rPr>
          <w:rFonts w:eastAsia="Times New Roman" w:cs="Times New Roman"/>
          <w:color w:val="0D0D0D" w:themeColor="text1" w:themeTint="F2"/>
          <w:szCs w:val="20"/>
        </w:rPr>
        <w:t xml:space="preserve"> </w:t>
      </w:r>
      <w:hyperlink r:id="rId89" w:history="1">
        <w:r w:rsidRPr="008D0225">
          <w:rPr>
            <w:rStyle w:val="Hipervnculo"/>
            <w:rFonts w:eastAsia="Times New Roman" w:cs="Times New Roman"/>
            <w:szCs w:val="20"/>
          </w:rPr>
          <w:t>Solicitud de Información</w:t>
        </w:r>
      </w:hyperlink>
      <w:r>
        <w:rPr>
          <w:rFonts w:eastAsia="Times New Roman" w:cs="Times New Roman"/>
          <w:color w:val="EE0000"/>
          <w:szCs w:val="20"/>
        </w:rPr>
        <w:t xml:space="preserve"> </w:t>
      </w:r>
      <w:r w:rsidRPr="008057AF">
        <w:rPr>
          <w:rFonts w:eastAsia="Times New Roman" w:cs="Times New Roman"/>
          <w:color w:val="0D0D0D" w:themeColor="text1" w:themeTint="F2"/>
          <w:szCs w:val="20"/>
        </w:rPr>
        <w:t xml:space="preserve">[1] </w:t>
      </w:r>
      <w:r w:rsidRPr="008D0225">
        <w:rPr>
          <w:rFonts w:eastAsia="Times New Roman" w:cs="Times New Roman"/>
          <w:color w:val="0D0D0D" w:themeColor="text1" w:themeTint="F2"/>
          <w:szCs w:val="20"/>
        </w:rPr>
        <w:t>(</w:t>
      </w:r>
      <w:proofErr w:type="spellStart"/>
      <w:r w:rsidRPr="008057AF">
        <w:rPr>
          <w:rFonts w:eastAsia="Times New Roman" w:cs="Times New Roman"/>
          <w:i/>
          <w:iCs/>
          <w:color w:val="0D0D0D" w:themeColor="text1" w:themeTint="F2"/>
          <w:szCs w:val="20"/>
        </w:rPr>
        <w:t>Request</w:t>
      </w:r>
      <w:proofErr w:type="spellEnd"/>
      <w:r w:rsidRPr="008057AF">
        <w:rPr>
          <w:rFonts w:eastAsia="Times New Roman" w:cs="Times New Roman"/>
          <w:i/>
          <w:iCs/>
          <w:color w:val="0D0D0D" w:themeColor="text1" w:themeTint="F2"/>
          <w:szCs w:val="20"/>
        </w:rPr>
        <w:t xml:space="preserve"> for </w:t>
      </w:r>
      <w:proofErr w:type="spellStart"/>
      <w:r w:rsidRPr="008057AF">
        <w:rPr>
          <w:rFonts w:eastAsia="Times New Roman" w:cs="Times New Roman"/>
          <w:i/>
          <w:iCs/>
          <w:color w:val="0D0D0D" w:themeColor="text1" w:themeTint="F2"/>
          <w:szCs w:val="20"/>
        </w:rPr>
        <w:t>Information</w:t>
      </w:r>
      <w:proofErr w:type="spellEnd"/>
      <w:r w:rsidRPr="008D0225">
        <w:rPr>
          <w:rFonts w:eastAsia="Times New Roman" w:cs="Times New Roman"/>
          <w:color w:val="0D0D0D" w:themeColor="text1" w:themeTint="F2"/>
          <w:szCs w:val="20"/>
        </w:rPr>
        <w:t xml:space="preserve"> </w:t>
      </w:r>
      <w:r>
        <w:rPr>
          <w:rFonts w:eastAsia="Times New Roman" w:cs="Times New Roman"/>
          <w:color w:val="0D0D0D" w:themeColor="text1" w:themeTint="F2"/>
          <w:szCs w:val="20"/>
        </w:rPr>
        <w:t xml:space="preserve">o </w:t>
      </w:r>
      <w:r w:rsidRPr="008D0225">
        <w:rPr>
          <w:rFonts w:eastAsia="Times New Roman" w:cs="Times New Roman"/>
          <w:color w:val="0D0D0D" w:themeColor="text1" w:themeTint="F2"/>
          <w:szCs w:val="20"/>
        </w:rPr>
        <w:t xml:space="preserve">RFI) </w:t>
      </w:r>
      <w:r>
        <w:rPr>
          <w:rFonts w:eastAsia="Times New Roman" w:cs="Times New Roman"/>
          <w:color w:val="0D0D0D" w:themeColor="text1" w:themeTint="F2"/>
          <w:szCs w:val="20"/>
        </w:rPr>
        <w:t>sobre su propuesta para lanzar un</w:t>
      </w:r>
      <w:r w:rsidRPr="008D0225">
        <w:rPr>
          <w:rFonts w:eastAsia="Times New Roman" w:cs="Times New Roman"/>
          <w:color w:val="0D0D0D" w:themeColor="text1" w:themeTint="F2"/>
          <w:szCs w:val="20"/>
        </w:rPr>
        <w:t xml:space="preserve"> programa piloto </w:t>
      </w:r>
      <w:r>
        <w:rPr>
          <w:rFonts w:eastAsia="Times New Roman" w:cs="Times New Roman"/>
          <w:color w:val="0D0D0D" w:themeColor="text1" w:themeTint="F2"/>
          <w:szCs w:val="20"/>
        </w:rPr>
        <w:t>de</w:t>
      </w:r>
      <w:r w:rsidRPr="008D0225">
        <w:rPr>
          <w:rFonts w:eastAsia="Times New Roman" w:cs="Times New Roman"/>
          <w:color w:val="0D0D0D" w:themeColor="text1" w:themeTint="F2"/>
          <w:szCs w:val="20"/>
        </w:rPr>
        <w:t xml:space="preserve"> </w:t>
      </w:r>
      <w:r>
        <w:rPr>
          <w:rFonts w:eastAsia="Times New Roman" w:cs="Times New Roman"/>
          <w:color w:val="0D0D0D" w:themeColor="text1" w:themeTint="F2"/>
          <w:szCs w:val="20"/>
        </w:rPr>
        <w:t>RTCT</w:t>
      </w:r>
      <w:r w:rsidRPr="008D0225">
        <w:rPr>
          <w:rFonts w:eastAsia="Times New Roman" w:cs="Times New Roman"/>
          <w:color w:val="0D0D0D" w:themeColor="text1" w:themeTint="F2"/>
          <w:szCs w:val="20"/>
        </w:rPr>
        <w:t xml:space="preserve"> este veran</w:t>
      </w:r>
      <w:r w:rsidRPr="008057AF">
        <w:rPr>
          <w:rFonts w:eastAsia="Times New Roman" w:cs="Times New Roman"/>
          <w:color w:val="0D0D0D" w:themeColor="text1" w:themeTint="F2"/>
          <w:szCs w:val="20"/>
        </w:rPr>
        <w:t xml:space="preserve">o. </w:t>
      </w:r>
      <w:r>
        <w:rPr>
          <w:rFonts w:eastAsia="Times New Roman" w:cs="Times New Roman"/>
          <w:color w:val="0D0D0D" w:themeColor="text1" w:themeTint="F2"/>
          <w:szCs w:val="20"/>
        </w:rPr>
        <w:t xml:space="preserve"> </w:t>
      </w:r>
    </w:p>
    <w:p w14:paraId="1278D29C" w14:textId="77777777" w:rsidR="008D21BE" w:rsidRPr="008D0225" w:rsidRDefault="008D21BE" w:rsidP="008D21BE">
      <w:pPr>
        <w:contextualSpacing/>
        <w:rPr>
          <w:rFonts w:eastAsia="Times New Roman" w:cs="Times New Roman"/>
          <w:color w:val="EE0000"/>
          <w:szCs w:val="20"/>
        </w:rPr>
      </w:pPr>
    </w:p>
    <w:p w14:paraId="40345F32" w14:textId="77777777" w:rsidR="008D21BE" w:rsidRPr="000F7A71" w:rsidRDefault="008D21BE" w:rsidP="008D21BE">
      <w:pPr>
        <w:contextualSpacing/>
        <w:rPr>
          <w:rFonts w:eastAsia="Times New Roman" w:cs="Times New Roman"/>
          <w:color w:val="0D0D0D" w:themeColor="text1" w:themeTint="F2"/>
          <w:szCs w:val="20"/>
        </w:rPr>
      </w:pPr>
      <w:r w:rsidRPr="000F7A71">
        <w:rPr>
          <w:rFonts w:eastAsia="Times New Roman" w:cs="Times New Roman"/>
          <w:color w:val="0D0D0D" w:themeColor="text1" w:themeTint="F2"/>
          <w:szCs w:val="20"/>
        </w:rPr>
        <w:t xml:space="preserve">Los ensayos clínicos de fase temprana </w:t>
      </w:r>
      <w:r>
        <w:rPr>
          <w:rFonts w:eastAsia="Times New Roman" w:cs="Times New Roman"/>
          <w:color w:val="0D0D0D" w:themeColor="text1" w:themeTint="F2"/>
          <w:szCs w:val="20"/>
        </w:rPr>
        <w:t>son</w:t>
      </w:r>
      <w:r w:rsidRPr="000F7A71">
        <w:rPr>
          <w:rFonts w:eastAsia="Times New Roman" w:cs="Times New Roman"/>
          <w:color w:val="0D0D0D" w:themeColor="text1" w:themeTint="F2"/>
          <w:szCs w:val="20"/>
        </w:rPr>
        <w:t xml:space="preserve"> un cuello de botella en el desarrollo de fármacos, a menudo </w:t>
      </w:r>
      <w:r>
        <w:rPr>
          <w:rFonts w:eastAsia="Times New Roman" w:cs="Times New Roman"/>
          <w:color w:val="0D0D0D" w:themeColor="text1" w:themeTint="F2"/>
          <w:szCs w:val="20"/>
        </w:rPr>
        <w:t xml:space="preserve">se caracterizan </w:t>
      </w:r>
      <w:r w:rsidRPr="000F7A71">
        <w:rPr>
          <w:rFonts w:eastAsia="Times New Roman" w:cs="Times New Roman"/>
          <w:color w:val="0D0D0D" w:themeColor="text1" w:themeTint="F2"/>
          <w:szCs w:val="20"/>
        </w:rPr>
        <w:t xml:space="preserve">por </w:t>
      </w:r>
      <w:r>
        <w:rPr>
          <w:rFonts w:eastAsia="Times New Roman" w:cs="Times New Roman"/>
          <w:color w:val="0D0D0D" w:themeColor="text1" w:themeTint="F2"/>
          <w:szCs w:val="20"/>
        </w:rPr>
        <w:t>su</w:t>
      </w:r>
      <w:r w:rsidRPr="000F7A71">
        <w:rPr>
          <w:rFonts w:eastAsia="Times New Roman" w:cs="Times New Roman"/>
          <w:color w:val="0D0D0D" w:themeColor="text1" w:themeTint="F2"/>
          <w:szCs w:val="20"/>
        </w:rPr>
        <w:t xml:space="preserve"> gran incertidumbre, poblaciones de pacientes limitadas y procesos de toma de decisiones ineficientes. </w:t>
      </w:r>
      <w:r>
        <w:rPr>
          <w:rFonts w:eastAsia="Times New Roman" w:cs="Times New Roman"/>
          <w:color w:val="0D0D0D" w:themeColor="text1" w:themeTint="F2"/>
          <w:szCs w:val="20"/>
        </w:rPr>
        <w:t>Generalmente, l</w:t>
      </w:r>
      <w:r w:rsidRPr="000F7A71">
        <w:rPr>
          <w:rFonts w:eastAsia="Times New Roman" w:cs="Times New Roman"/>
          <w:color w:val="0D0D0D" w:themeColor="text1" w:themeTint="F2"/>
          <w:szCs w:val="20"/>
        </w:rPr>
        <w:t xml:space="preserve">os centros </w:t>
      </w:r>
      <w:r>
        <w:rPr>
          <w:rFonts w:eastAsia="Times New Roman" w:cs="Times New Roman"/>
          <w:color w:val="0D0D0D" w:themeColor="text1" w:themeTint="F2"/>
          <w:szCs w:val="20"/>
        </w:rPr>
        <w:t>de investigación</w:t>
      </w:r>
      <w:r w:rsidRPr="000F7A71">
        <w:rPr>
          <w:rFonts w:eastAsia="Times New Roman" w:cs="Times New Roman"/>
          <w:color w:val="0D0D0D" w:themeColor="text1" w:themeTint="F2"/>
          <w:szCs w:val="20"/>
        </w:rPr>
        <w:t xml:space="preserve"> </w:t>
      </w:r>
      <w:r>
        <w:rPr>
          <w:rFonts w:eastAsia="Times New Roman" w:cs="Times New Roman"/>
          <w:color w:val="0D0D0D" w:themeColor="text1" w:themeTint="F2"/>
          <w:szCs w:val="20"/>
        </w:rPr>
        <w:t xml:space="preserve">reportan directamente los </w:t>
      </w:r>
      <w:r w:rsidRPr="000F7A71">
        <w:rPr>
          <w:rFonts w:eastAsia="Times New Roman" w:cs="Times New Roman"/>
          <w:color w:val="0D0D0D" w:themeColor="text1" w:themeTint="F2"/>
          <w:szCs w:val="20"/>
        </w:rPr>
        <w:t xml:space="preserve">datos a los patrocinadores, quienes los analizan y posteriormente los envían a la FDA. Gracias a los avances en IA y ciencia de datos, los patrocinadores y los centros de </w:t>
      </w:r>
      <w:r>
        <w:rPr>
          <w:rFonts w:eastAsia="Times New Roman" w:cs="Times New Roman"/>
          <w:color w:val="0D0D0D" w:themeColor="text1" w:themeTint="F2"/>
          <w:szCs w:val="20"/>
        </w:rPr>
        <w:t>investigación</w:t>
      </w:r>
      <w:r w:rsidRPr="000F7A71">
        <w:rPr>
          <w:rFonts w:eastAsia="Times New Roman" w:cs="Times New Roman"/>
          <w:color w:val="0D0D0D" w:themeColor="text1" w:themeTint="F2"/>
          <w:szCs w:val="20"/>
        </w:rPr>
        <w:t xml:space="preserve"> tienen la oportunidad de realizar ensayos en tiempo real, lo que mejora </w:t>
      </w:r>
      <w:r>
        <w:rPr>
          <w:rFonts w:eastAsia="Times New Roman" w:cs="Times New Roman"/>
          <w:color w:val="0D0D0D" w:themeColor="text1" w:themeTint="F2"/>
          <w:szCs w:val="20"/>
        </w:rPr>
        <w:t>el</w:t>
      </w:r>
      <w:r w:rsidRPr="000F7A71">
        <w:rPr>
          <w:rFonts w:eastAsia="Times New Roman" w:cs="Times New Roman"/>
          <w:color w:val="0D0D0D" w:themeColor="text1" w:themeTint="F2"/>
          <w:szCs w:val="20"/>
        </w:rPr>
        <w:t xml:space="preserve"> monitor</w:t>
      </w:r>
      <w:r>
        <w:rPr>
          <w:rFonts w:eastAsia="Times New Roman" w:cs="Times New Roman"/>
          <w:color w:val="0D0D0D" w:themeColor="text1" w:themeTint="F2"/>
          <w:szCs w:val="20"/>
        </w:rPr>
        <w:t>eo</w:t>
      </w:r>
      <w:r w:rsidRPr="000F7A71">
        <w:rPr>
          <w:rFonts w:eastAsia="Times New Roman" w:cs="Times New Roman"/>
          <w:color w:val="0D0D0D" w:themeColor="text1" w:themeTint="F2"/>
          <w:szCs w:val="20"/>
        </w:rPr>
        <w:t xml:space="preserve"> de la seguridad y aumenta radicalmente la eficiencia. </w:t>
      </w:r>
      <w:r>
        <w:rPr>
          <w:rFonts w:eastAsia="Times New Roman" w:cs="Times New Roman"/>
          <w:color w:val="0D0D0D" w:themeColor="text1" w:themeTint="F2"/>
          <w:szCs w:val="20"/>
        </w:rPr>
        <w:t xml:space="preserve"> </w:t>
      </w:r>
    </w:p>
    <w:p w14:paraId="3434E7AB" w14:textId="77777777" w:rsidR="008D21BE" w:rsidRPr="000F7A71" w:rsidRDefault="008D21BE" w:rsidP="008D21BE">
      <w:pPr>
        <w:contextualSpacing/>
        <w:rPr>
          <w:rFonts w:eastAsia="Times New Roman" w:cs="Times New Roman"/>
          <w:color w:val="EE0000"/>
          <w:szCs w:val="20"/>
        </w:rPr>
      </w:pPr>
    </w:p>
    <w:p w14:paraId="5611B4FB" w14:textId="77777777" w:rsidR="00140BE1" w:rsidRDefault="008D21BE" w:rsidP="008D21BE">
      <w:pPr>
        <w:contextualSpacing/>
        <w:rPr>
          <w:rFonts w:eastAsia="Times New Roman" w:cs="Times New Roman"/>
          <w:color w:val="0D0D0D" w:themeColor="text1" w:themeTint="F2"/>
          <w:szCs w:val="20"/>
        </w:rPr>
      </w:pPr>
      <w:r w:rsidRPr="000F7A71">
        <w:rPr>
          <w:rFonts w:eastAsia="Times New Roman" w:cs="Times New Roman"/>
          <w:color w:val="0D0D0D" w:themeColor="text1" w:themeTint="F2"/>
          <w:szCs w:val="20"/>
        </w:rPr>
        <w:t>“</w:t>
      </w:r>
      <w:r>
        <w:rPr>
          <w:rFonts w:eastAsia="Times New Roman" w:cs="Times New Roman"/>
          <w:color w:val="0D0D0D" w:themeColor="text1" w:themeTint="F2"/>
          <w:szCs w:val="20"/>
        </w:rPr>
        <w:t>Hemos estado realizando los ensayos clínicos de la misma manera d</w:t>
      </w:r>
      <w:r w:rsidRPr="000F7A71">
        <w:rPr>
          <w:rFonts w:eastAsia="Times New Roman" w:cs="Times New Roman"/>
          <w:color w:val="0D0D0D" w:themeColor="text1" w:themeTint="F2"/>
          <w:szCs w:val="20"/>
        </w:rPr>
        <w:t>urante 60 años,</w:t>
      </w:r>
      <w:r>
        <w:rPr>
          <w:rFonts w:eastAsia="Times New Roman" w:cs="Times New Roman"/>
          <w:color w:val="0D0D0D" w:themeColor="text1" w:themeTint="F2"/>
          <w:szCs w:val="20"/>
        </w:rPr>
        <w:t xml:space="preserve"> y </w:t>
      </w:r>
      <w:r w:rsidRPr="000F7A71">
        <w:rPr>
          <w:rFonts w:eastAsia="Times New Roman" w:cs="Times New Roman"/>
          <w:color w:val="0D0D0D" w:themeColor="text1" w:themeTint="F2"/>
          <w:szCs w:val="20"/>
        </w:rPr>
        <w:t>las señales de datos clave pueden tardar años en llegar a la FDA. Este retraso puede demorar innecesariamente las decisiones regulatorias y ralentizar el desarrollo de fármacos”,</w:t>
      </w:r>
      <w:r>
        <w:rPr>
          <w:rFonts w:eastAsia="Times New Roman" w:cs="Times New Roman"/>
          <w:color w:val="0D0D0D" w:themeColor="text1" w:themeTint="F2"/>
          <w:szCs w:val="20"/>
        </w:rPr>
        <w:t xml:space="preserve"> </w:t>
      </w:r>
      <w:r w:rsidRPr="000F7A71">
        <w:rPr>
          <w:rFonts w:eastAsia="Times New Roman" w:cs="Times New Roman"/>
          <w:color w:val="0D0D0D" w:themeColor="text1" w:themeTint="F2"/>
          <w:szCs w:val="20"/>
        </w:rPr>
        <w:t xml:space="preserve">declaró el Dr. </w:t>
      </w:r>
      <w:proofErr w:type="spellStart"/>
      <w:r w:rsidRPr="000F7A71">
        <w:rPr>
          <w:rFonts w:eastAsia="Times New Roman" w:cs="Times New Roman"/>
          <w:color w:val="0D0D0D" w:themeColor="text1" w:themeTint="F2"/>
          <w:szCs w:val="20"/>
        </w:rPr>
        <w:t>Marty</w:t>
      </w:r>
      <w:proofErr w:type="spellEnd"/>
      <w:r w:rsidRPr="000F7A71">
        <w:rPr>
          <w:rFonts w:eastAsia="Times New Roman" w:cs="Times New Roman"/>
          <w:color w:val="0D0D0D" w:themeColor="text1" w:themeTint="F2"/>
          <w:szCs w:val="20"/>
        </w:rPr>
        <w:t xml:space="preserve"> </w:t>
      </w:r>
      <w:proofErr w:type="spellStart"/>
      <w:r w:rsidRPr="000F7A71">
        <w:rPr>
          <w:rFonts w:eastAsia="Times New Roman" w:cs="Times New Roman"/>
          <w:color w:val="0D0D0D" w:themeColor="text1" w:themeTint="F2"/>
          <w:szCs w:val="20"/>
        </w:rPr>
        <w:t>Makary</w:t>
      </w:r>
      <w:proofErr w:type="spellEnd"/>
      <w:r w:rsidRPr="000F7A71">
        <w:rPr>
          <w:rFonts w:eastAsia="Times New Roman" w:cs="Times New Roman"/>
          <w:color w:val="0D0D0D" w:themeColor="text1" w:themeTint="F2"/>
          <w:szCs w:val="20"/>
        </w:rPr>
        <w:t>, Comisionado de la FDA.</w:t>
      </w:r>
      <w:r>
        <w:rPr>
          <w:rFonts w:eastAsia="Times New Roman" w:cs="Times New Roman"/>
          <w:color w:val="0D0D0D" w:themeColor="text1" w:themeTint="F2"/>
          <w:szCs w:val="20"/>
        </w:rPr>
        <w:t xml:space="preserve"> </w:t>
      </w:r>
      <w:r w:rsidRPr="000F7A71">
        <w:rPr>
          <w:rFonts w:eastAsia="Times New Roman" w:cs="Times New Roman"/>
          <w:color w:val="0D0D0D" w:themeColor="text1" w:themeTint="F2"/>
          <w:szCs w:val="20"/>
        </w:rPr>
        <w:t>“Estamos impulsando con determinación un</w:t>
      </w:r>
      <w:r>
        <w:rPr>
          <w:rFonts w:eastAsia="Times New Roman" w:cs="Times New Roman"/>
          <w:color w:val="0D0D0D" w:themeColor="text1" w:themeTint="F2"/>
          <w:szCs w:val="20"/>
        </w:rPr>
        <w:t>a estrategia</w:t>
      </w:r>
      <w:r w:rsidRPr="000F7A71">
        <w:rPr>
          <w:rFonts w:eastAsia="Times New Roman" w:cs="Times New Roman"/>
          <w:color w:val="0D0D0D" w:themeColor="text1" w:themeTint="F2"/>
          <w:szCs w:val="20"/>
        </w:rPr>
        <w:t xml:space="preserve"> modern</w:t>
      </w:r>
      <w:r>
        <w:rPr>
          <w:rFonts w:eastAsia="Times New Roman" w:cs="Times New Roman"/>
          <w:color w:val="0D0D0D" w:themeColor="text1" w:themeTint="F2"/>
          <w:szCs w:val="20"/>
        </w:rPr>
        <w:t>a</w:t>
      </w:r>
      <w:r w:rsidRPr="000F7A71">
        <w:rPr>
          <w:rFonts w:eastAsia="Times New Roman" w:cs="Times New Roman"/>
          <w:color w:val="0D0D0D" w:themeColor="text1" w:themeTint="F2"/>
          <w:szCs w:val="20"/>
        </w:rPr>
        <w:t xml:space="preserve"> que permite </w:t>
      </w:r>
      <w:r>
        <w:rPr>
          <w:rFonts w:eastAsia="Times New Roman" w:cs="Times New Roman"/>
          <w:color w:val="0D0D0D" w:themeColor="text1" w:themeTint="F2"/>
          <w:szCs w:val="20"/>
        </w:rPr>
        <w:t>que</w:t>
      </w:r>
      <w:r w:rsidRPr="000F7A71">
        <w:rPr>
          <w:rFonts w:eastAsia="Times New Roman" w:cs="Times New Roman"/>
          <w:color w:val="0D0D0D" w:themeColor="text1" w:themeTint="F2"/>
          <w:szCs w:val="20"/>
        </w:rPr>
        <w:t xml:space="preserve"> los científicos de la FDA visuali</w:t>
      </w:r>
      <w:r>
        <w:rPr>
          <w:rFonts w:eastAsia="Times New Roman" w:cs="Times New Roman"/>
          <w:color w:val="0D0D0D" w:themeColor="text1" w:themeTint="F2"/>
          <w:szCs w:val="20"/>
        </w:rPr>
        <w:t>cen</w:t>
      </w:r>
      <w:r w:rsidRPr="000F7A71">
        <w:rPr>
          <w:rFonts w:eastAsia="Times New Roman" w:cs="Times New Roman"/>
          <w:color w:val="0D0D0D" w:themeColor="text1" w:themeTint="F2"/>
          <w:szCs w:val="20"/>
        </w:rPr>
        <w:t xml:space="preserve"> las señales de seguridad y los criterios de valoración en tiempo real</w:t>
      </w:r>
      <w:r>
        <w:rPr>
          <w:rFonts w:eastAsia="Times New Roman" w:cs="Times New Roman"/>
          <w:color w:val="0D0D0D" w:themeColor="text1" w:themeTint="F2"/>
          <w:szCs w:val="20"/>
        </w:rPr>
        <w:t>,</w:t>
      </w:r>
      <w:r w:rsidRPr="000F7A71">
        <w:rPr>
          <w:rFonts w:eastAsia="Times New Roman" w:cs="Times New Roman"/>
          <w:color w:val="0D0D0D" w:themeColor="text1" w:themeTint="F2"/>
          <w:szCs w:val="20"/>
        </w:rPr>
        <w:t xml:space="preserve"> a medida que avanza el ensayo. Esto nos ayudará a acelerar el desarrollo de terapias prometedoras y a avanzar hacia nuestro objetivo final</w:t>
      </w:r>
      <w:r>
        <w:rPr>
          <w:rFonts w:eastAsia="Times New Roman" w:cs="Times New Roman"/>
          <w:color w:val="0D0D0D" w:themeColor="text1" w:themeTint="F2"/>
          <w:szCs w:val="20"/>
        </w:rPr>
        <w:t xml:space="preserve">: que los ensayos clínicos </w:t>
      </w:r>
      <w:r w:rsidRPr="000F7A71">
        <w:rPr>
          <w:rFonts w:eastAsia="Times New Roman" w:cs="Times New Roman"/>
          <w:color w:val="0D0D0D" w:themeColor="text1" w:themeTint="F2"/>
          <w:szCs w:val="20"/>
        </w:rPr>
        <w:t>en tiempo real</w:t>
      </w:r>
      <w:r>
        <w:rPr>
          <w:rFonts w:eastAsia="Times New Roman" w:cs="Times New Roman"/>
          <w:color w:val="0D0D0D" w:themeColor="text1" w:themeTint="F2"/>
          <w:szCs w:val="20"/>
        </w:rPr>
        <w:t xml:space="preserve">, y de forma </w:t>
      </w:r>
      <w:proofErr w:type="spellStart"/>
      <w:r>
        <w:rPr>
          <w:rFonts w:eastAsia="Times New Roman" w:cs="Times New Roman"/>
          <w:color w:val="0D0D0D" w:themeColor="text1" w:themeTint="F2"/>
          <w:szCs w:val="20"/>
        </w:rPr>
        <w:t>continia</w:t>
      </w:r>
      <w:proofErr w:type="spellEnd"/>
      <w:r>
        <w:rPr>
          <w:rFonts w:eastAsia="Times New Roman" w:cs="Times New Roman"/>
          <w:color w:val="0D0D0D" w:themeColor="text1" w:themeTint="F2"/>
          <w:szCs w:val="20"/>
        </w:rPr>
        <w:t xml:space="preserve"> a lo largo </w:t>
      </w:r>
    </w:p>
    <w:p w14:paraId="6CA8512D" w14:textId="25FF8157" w:rsidR="008D21BE" w:rsidRPr="000F7A71" w:rsidRDefault="008D21BE" w:rsidP="008D21BE">
      <w:pPr>
        <w:contextualSpacing/>
        <w:rPr>
          <w:rFonts w:eastAsia="Times New Roman" w:cs="Times New Roman"/>
          <w:color w:val="0D0D0D" w:themeColor="text1" w:themeTint="F2"/>
          <w:szCs w:val="20"/>
        </w:rPr>
      </w:pPr>
      <w:r>
        <w:rPr>
          <w:rFonts w:eastAsia="Times New Roman" w:cs="Times New Roman"/>
          <w:color w:val="0D0D0D" w:themeColor="text1" w:themeTint="F2"/>
          <w:szCs w:val="20"/>
        </w:rPr>
        <w:t xml:space="preserve">de </w:t>
      </w:r>
      <w:r w:rsidRPr="000F7A71">
        <w:rPr>
          <w:rFonts w:eastAsia="Times New Roman" w:cs="Times New Roman"/>
          <w:color w:val="0D0D0D" w:themeColor="text1" w:themeTint="F2"/>
          <w:szCs w:val="20"/>
        </w:rPr>
        <w:t xml:space="preserve">todas las fases del desarrollo de fármacos”. </w:t>
      </w:r>
      <w:r>
        <w:rPr>
          <w:rFonts w:eastAsia="Times New Roman" w:cs="Times New Roman"/>
          <w:color w:val="0D0D0D" w:themeColor="text1" w:themeTint="F2"/>
          <w:szCs w:val="20"/>
        </w:rPr>
        <w:t xml:space="preserve"> </w:t>
      </w:r>
    </w:p>
    <w:p w14:paraId="103F252F" w14:textId="77777777" w:rsidR="008D21BE" w:rsidRPr="000F7A71" w:rsidRDefault="008D21BE" w:rsidP="008D21BE">
      <w:pPr>
        <w:contextualSpacing/>
        <w:rPr>
          <w:rFonts w:eastAsia="Times New Roman" w:cs="Times New Roman"/>
          <w:color w:val="EE0000"/>
          <w:szCs w:val="20"/>
        </w:rPr>
      </w:pPr>
    </w:p>
    <w:p w14:paraId="61823D09" w14:textId="77777777" w:rsidR="008D21BE" w:rsidRDefault="008D21BE" w:rsidP="008D21BE">
      <w:pPr>
        <w:contextualSpacing/>
        <w:rPr>
          <w:rFonts w:eastAsia="Times New Roman" w:cs="Times New Roman"/>
          <w:color w:val="0D0D0D" w:themeColor="text1" w:themeTint="F2"/>
          <w:szCs w:val="20"/>
        </w:rPr>
      </w:pPr>
      <w:r w:rsidRPr="007B60F6">
        <w:rPr>
          <w:rFonts w:eastAsia="Times New Roman" w:cs="Times New Roman"/>
          <w:color w:val="0D0D0D" w:themeColor="text1" w:themeTint="F2"/>
          <w:szCs w:val="20"/>
        </w:rPr>
        <w:t xml:space="preserve">La FDA anuncia el exitoso inicio de RTCT de prueba de concepto </w:t>
      </w:r>
      <w:r>
        <w:rPr>
          <w:rFonts w:eastAsia="Times New Roman" w:cs="Times New Roman"/>
          <w:color w:val="0D0D0D" w:themeColor="text1" w:themeTint="F2"/>
          <w:szCs w:val="20"/>
        </w:rPr>
        <w:t>patrocinados por</w:t>
      </w:r>
      <w:r w:rsidRPr="007B60F6">
        <w:rPr>
          <w:rFonts w:eastAsia="Times New Roman" w:cs="Times New Roman"/>
          <w:color w:val="0D0D0D" w:themeColor="text1" w:themeTint="F2"/>
          <w:szCs w:val="20"/>
        </w:rPr>
        <w:t xml:space="preserve"> AstraZeneca y Amgen. AstraZeneca está llevando a cabo </w:t>
      </w:r>
      <w:r>
        <w:rPr>
          <w:rFonts w:eastAsia="Times New Roman" w:cs="Times New Roman"/>
          <w:color w:val="0D0D0D" w:themeColor="text1" w:themeTint="F2"/>
          <w:szCs w:val="20"/>
        </w:rPr>
        <w:t>el</w:t>
      </w:r>
      <w:r w:rsidRPr="007B60F6">
        <w:rPr>
          <w:rFonts w:eastAsia="Times New Roman" w:cs="Times New Roman"/>
          <w:color w:val="0D0D0D" w:themeColor="text1" w:themeTint="F2"/>
          <w:szCs w:val="20"/>
        </w:rPr>
        <w:t xml:space="preserve"> ensayo multicéntrico TRAVERSE de </w:t>
      </w:r>
      <w:r>
        <w:rPr>
          <w:rFonts w:eastAsia="Times New Roman" w:cs="Times New Roman"/>
          <w:color w:val="0D0D0D" w:themeColor="text1" w:themeTint="F2"/>
          <w:szCs w:val="20"/>
        </w:rPr>
        <w:t>F</w:t>
      </w:r>
      <w:r w:rsidRPr="007B60F6">
        <w:rPr>
          <w:rFonts w:eastAsia="Times New Roman" w:cs="Times New Roman"/>
          <w:color w:val="0D0D0D" w:themeColor="text1" w:themeTint="F2"/>
          <w:szCs w:val="20"/>
        </w:rPr>
        <w:t xml:space="preserve">ase 2, en pacientes con linfoma de células del manto sin tratamiento previo, con la participación del Centro Oncológico MD Anderson de la Universidad de Texas y la Universidad de Pensilvania. </w:t>
      </w:r>
      <w:r w:rsidRPr="007B60F6">
        <w:rPr>
          <w:rFonts w:eastAsia="Times New Roman" w:cs="Times New Roman"/>
          <w:color w:val="0D0D0D" w:themeColor="text1" w:themeTint="F2"/>
          <w:szCs w:val="20"/>
        </w:rPr>
        <w:t xml:space="preserve">Amgen está llevando a cabo </w:t>
      </w:r>
      <w:r>
        <w:rPr>
          <w:rFonts w:eastAsia="Times New Roman" w:cs="Times New Roman"/>
          <w:color w:val="0D0D0D" w:themeColor="text1" w:themeTint="F2"/>
          <w:szCs w:val="20"/>
        </w:rPr>
        <w:t>el</w:t>
      </w:r>
      <w:r w:rsidRPr="007B60F6">
        <w:rPr>
          <w:rFonts w:eastAsia="Times New Roman" w:cs="Times New Roman"/>
          <w:color w:val="0D0D0D" w:themeColor="text1" w:themeTint="F2"/>
          <w:szCs w:val="20"/>
        </w:rPr>
        <w:t xml:space="preserve"> ensayo STREAM-SCLC de </w:t>
      </w:r>
      <w:r>
        <w:rPr>
          <w:rFonts w:eastAsia="Times New Roman" w:cs="Times New Roman"/>
          <w:color w:val="0D0D0D" w:themeColor="text1" w:themeTint="F2"/>
          <w:szCs w:val="20"/>
        </w:rPr>
        <w:t>F</w:t>
      </w:r>
      <w:r w:rsidRPr="007B60F6">
        <w:rPr>
          <w:rFonts w:eastAsia="Times New Roman" w:cs="Times New Roman"/>
          <w:color w:val="0D0D0D" w:themeColor="text1" w:themeTint="F2"/>
          <w:szCs w:val="20"/>
        </w:rPr>
        <w:t xml:space="preserve">ase 1b, en pacientes con carcinoma pulmonar de células pequeñas en estadio </w:t>
      </w:r>
      <w:r>
        <w:rPr>
          <w:rFonts w:eastAsia="Times New Roman" w:cs="Times New Roman"/>
          <w:color w:val="0D0D0D" w:themeColor="text1" w:themeTint="F2"/>
          <w:szCs w:val="20"/>
        </w:rPr>
        <w:t>tempran</w:t>
      </w:r>
      <w:r w:rsidRPr="007B60F6">
        <w:rPr>
          <w:rFonts w:eastAsia="Times New Roman" w:cs="Times New Roman"/>
          <w:color w:val="0D0D0D" w:themeColor="text1" w:themeTint="F2"/>
          <w:szCs w:val="20"/>
        </w:rPr>
        <w:t xml:space="preserve">o, </w:t>
      </w:r>
      <w:r>
        <w:rPr>
          <w:rFonts w:eastAsia="Times New Roman" w:cs="Times New Roman"/>
          <w:color w:val="0D0D0D" w:themeColor="text1" w:themeTint="F2"/>
          <w:szCs w:val="20"/>
        </w:rPr>
        <w:t>pero</w:t>
      </w:r>
      <w:r w:rsidRPr="007B60F6">
        <w:rPr>
          <w:rFonts w:eastAsia="Times New Roman" w:cs="Times New Roman"/>
          <w:color w:val="0D0D0D" w:themeColor="text1" w:themeTint="F2"/>
          <w:szCs w:val="20"/>
        </w:rPr>
        <w:t xml:space="preserve"> la selección final de </w:t>
      </w:r>
      <w:r>
        <w:rPr>
          <w:rFonts w:eastAsia="Times New Roman" w:cs="Times New Roman"/>
          <w:color w:val="0D0D0D" w:themeColor="text1" w:themeTint="F2"/>
          <w:szCs w:val="20"/>
        </w:rPr>
        <w:t xml:space="preserve">los </w:t>
      </w:r>
      <w:r w:rsidRPr="007B60F6">
        <w:rPr>
          <w:rFonts w:eastAsia="Times New Roman" w:cs="Times New Roman"/>
          <w:color w:val="0D0D0D" w:themeColor="text1" w:themeTint="F2"/>
          <w:szCs w:val="20"/>
        </w:rPr>
        <w:t xml:space="preserve">centros </w:t>
      </w:r>
      <w:r>
        <w:rPr>
          <w:rFonts w:eastAsia="Times New Roman" w:cs="Times New Roman"/>
          <w:color w:val="0D0D0D" w:themeColor="text1" w:themeTint="F2"/>
          <w:szCs w:val="20"/>
        </w:rPr>
        <w:t xml:space="preserve">en donde se realizará todavía </w:t>
      </w:r>
      <w:r w:rsidRPr="007B60F6">
        <w:rPr>
          <w:rFonts w:eastAsia="Times New Roman" w:cs="Times New Roman"/>
          <w:color w:val="0D0D0D" w:themeColor="text1" w:themeTint="F2"/>
          <w:szCs w:val="20"/>
        </w:rPr>
        <w:t xml:space="preserve">está en proceso. </w:t>
      </w:r>
    </w:p>
    <w:p w14:paraId="5C6C6E9D" w14:textId="77777777" w:rsidR="008D21BE" w:rsidRDefault="008D21BE" w:rsidP="008D21BE">
      <w:pPr>
        <w:contextualSpacing/>
        <w:rPr>
          <w:rFonts w:eastAsia="Times New Roman" w:cs="Times New Roman"/>
          <w:color w:val="0D0D0D" w:themeColor="text1" w:themeTint="F2"/>
          <w:szCs w:val="20"/>
        </w:rPr>
      </w:pPr>
    </w:p>
    <w:p w14:paraId="46DC6FE6" w14:textId="77777777" w:rsidR="008D21BE" w:rsidRPr="007B60F6" w:rsidRDefault="008D21BE" w:rsidP="008D21BE">
      <w:pPr>
        <w:contextualSpacing/>
        <w:rPr>
          <w:rFonts w:eastAsia="Times New Roman" w:cs="Times New Roman"/>
          <w:color w:val="0D0D0D" w:themeColor="text1" w:themeTint="F2"/>
          <w:szCs w:val="20"/>
        </w:rPr>
      </w:pPr>
      <w:r>
        <w:rPr>
          <w:rFonts w:eastAsia="Times New Roman" w:cs="Times New Roman"/>
          <w:color w:val="0D0D0D" w:themeColor="text1" w:themeTint="F2"/>
          <w:szCs w:val="20"/>
        </w:rPr>
        <w:t>L</w:t>
      </w:r>
      <w:r w:rsidRPr="007B60F6">
        <w:rPr>
          <w:rFonts w:eastAsia="Times New Roman" w:cs="Times New Roman"/>
          <w:color w:val="0D0D0D" w:themeColor="text1" w:themeTint="F2"/>
          <w:szCs w:val="20"/>
        </w:rPr>
        <w:t xml:space="preserve">a FDA se reunió con el patrocinador </w:t>
      </w:r>
      <w:r>
        <w:rPr>
          <w:rFonts w:eastAsia="Times New Roman" w:cs="Times New Roman"/>
          <w:color w:val="0D0D0D" w:themeColor="text1" w:themeTint="F2"/>
          <w:szCs w:val="20"/>
        </w:rPr>
        <w:t xml:space="preserve">de cada uno de los ensayos </w:t>
      </w:r>
      <w:r w:rsidRPr="007B60F6">
        <w:rPr>
          <w:rFonts w:eastAsia="Times New Roman" w:cs="Times New Roman"/>
          <w:color w:val="0D0D0D" w:themeColor="text1" w:themeTint="F2"/>
          <w:szCs w:val="20"/>
        </w:rPr>
        <w:t xml:space="preserve">para establecer los criterios de notificación de señales en tiempo real. Posteriormente, la agencia recibió y validó las señales del ensayo de AstraZeneca a través de </w:t>
      </w:r>
      <w:proofErr w:type="spellStart"/>
      <w:r w:rsidRPr="007B60F6">
        <w:rPr>
          <w:rFonts w:eastAsia="Times New Roman" w:cs="Times New Roman"/>
          <w:color w:val="0D0D0D" w:themeColor="text1" w:themeTint="F2"/>
          <w:szCs w:val="20"/>
        </w:rPr>
        <w:t>Paradigm</w:t>
      </w:r>
      <w:proofErr w:type="spellEnd"/>
      <w:r w:rsidRPr="007B60F6">
        <w:rPr>
          <w:rFonts w:eastAsia="Times New Roman" w:cs="Times New Roman"/>
          <w:color w:val="0D0D0D" w:themeColor="text1" w:themeTint="F2"/>
          <w:szCs w:val="20"/>
        </w:rPr>
        <w:t xml:space="preserve"> </w:t>
      </w:r>
      <w:proofErr w:type="spellStart"/>
      <w:r w:rsidRPr="007B60F6">
        <w:rPr>
          <w:rFonts w:eastAsia="Times New Roman" w:cs="Times New Roman"/>
          <w:color w:val="0D0D0D" w:themeColor="text1" w:themeTint="F2"/>
          <w:szCs w:val="20"/>
        </w:rPr>
        <w:t>Health</w:t>
      </w:r>
      <w:proofErr w:type="spellEnd"/>
      <w:r w:rsidRPr="007B60F6">
        <w:rPr>
          <w:rFonts w:eastAsia="Times New Roman" w:cs="Times New Roman"/>
          <w:color w:val="0D0D0D" w:themeColor="text1" w:themeTint="F2"/>
          <w:szCs w:val="20"/>
        </w:rPr>
        <w:t>, lo que demostró la viabilidad de</w:t>
      </w:r>
      <w:r>
        <w:rPr>
          <w:rFonts w:eastAsia="Times New Roman" w:cs="Times New Roman"/>
          <w:color w:val="0D0D0D" w:themeColor="text1" w:themeTint="F2"/>
          <w:szCs w:val="20"/>
        </w:rPr>
        <w:t xml:space="preserve"> la estrategia</w:t>
      </w:r>
      <w:r w:rsidRPr="007B60F6">
        <w:rPr>
          <w:rFonts w:eastAsia="Times New Roman" w:cs="Times New Roman"/>
          <w:color w:val="0D0D0D" w:themeColor="text1" w:themeTint="F2"/>
          <w:szCs w:val="20"/>
        </w:rPr>
        <w:t xml:space="preserve"> técnic</w:t>
      </w:r>
      <w:r>
        <w:rPr>
          <w:rFonts w:eastAsia="Times New Roman" w:cs="Times New Roman"/>
          <w:color w:val="0D0D0D" w:themeColor="text1" w:themeTint="F2"/>
          <w:szCs w:val="20"/>
        </w:rPr>
        <w:t xml:space="preserve">a </w:t>
      </w:r>
      <w:r w:rsidRPr="007B60F6">
        <w:rPr>
          <w:rFonts w:eastAsia="Times New Roman" w:cs="Times New Roman"/>
          <w:color w:val="0D0D0D" w:themeColor="text1" w:themeTint="F2"/>
          <w:szCs w:val="20"/>
        </w:rPr>
        <w:t>para el intercambio de señales en tiempo real.</w:t>
      </w:r>
    </w:p>
    <w:p w14:paraId="11BDB5DB" w14:textId="77777777" w:rsidR="008D21BE" w:rsidRPr="00F25512" w:rsidRDefault="008D21BE" w:rsidP="008D21BE">
      <w:pPr>
        <w:contextualSpacing/>
        <w:rPr>
          <w:rFonts w:eastAsia="Times New Roman" w:cs="Times New Roman"/>
          <w:color w:val="EE0000"/>
          <w:szCs w:val="20"/>
          <w:lang w:val="es-ES"/>
        </w:rPr>
      </w:pPr>
    </w:p>
    <w:p w14:paraId="6BD1871C" w14:textId="77777777" w:rsidR="00140BE1" w:rsidRDefault="008D21BE" w:rsidP="008D21BE">
      <w:pPr>
        <w:contextualSpacing/>
        <w:rPr>
          <w:rFonts w:eastAsia="Times New Roman" w:cs="Times New Roman"/>
          <w:color w:val="0D0D0D" w:themeColor="text1" w:themeTint="F2"/>
          <w:szCs w:val="20"/>
        </w:rPr>
      </w:pPr>
      <w:r w:rsidRPr="00E73D99">
        <w:rPr>
          <w:rFonts w:eastAsia="Times New Roman" w:cs="Times New Roman"/>
          <w:color w:val="0D0D0D" w:themeColor="text1" w:themeTint="F2"/>
          <w:szCs w:val="20"/>
        </w:rPr>
        <w:t xml:space="preserve">La FDA </w:t>
      </w:r>
      <w:r>
        <w:rPr>
          <w:rFonts w:eastAsia="Times New Roman" w:cs="Times New Roman"/>
          <w:color w:val="0D0D0D" w:themeColor="text1" w:themeTint="F2"/>
          <w:szCs w:val="20"/>
        </w:rPr>
        <w:t xml:space="preserve">quiere basarse en </w:t>
      </w:r>
      <w:r w:rsidRPr="00E73D99">
        <w:rPr>
          <w:rFonts w:eastAsia="Times New Roman" w:cs="Times New Roman"/>
          <w:color w:val="0D0D0D" w:themeColor="text1" w:themeTint="F2"/>
          <w:szCs w:val="20"/>
        </w:rPr>
        <w:t>estos programas piloto</w:t>
      </w:r>
      <w:r>
        <w:rPr>
          <w:rFonts w:eastAsia="Times New Roman" w:cs="Times New Roman"/>
          <w:color w:val="0D0D0D" w:themeColor="text1" w:themeTint="F2"/>
          <w:szCs w:val="20"/>
        </w:rPr>
        <w:t xml:space="preserve"> de prueba de concepto para diseñar un programa piloto más amplio.</w:t>
      </w:r>
      <w:r w:rsidRPr="00E73D99">
        <w:rPr>
          <w:rFonts w:eastAsia="Times New Roman" w:cs="Times New Roman"/>
          <w:color w:val="0D0D0D" w:themeColor="text1" w:themeTint="F2"/>
          <w:szCs w:val="20"/>
        </w:rPr>
        <w:t xml:space="preserve"> </w:t>
      </w:r>
    </w:p>
    <w:p w14:paraId="0A5FA0C7" w14:textId="77777777" w:rsidR="00140BE1" w:rsidRDefault="00140BE1" w:rsidP="008D21BE">
      <w:pPr>
        <w:contextualSpacing/>
        <w:rPr>
          <w:rFonts w:eastAsia="Times New Roman" w:cs="Times New Roman"/>
          <w:color w:val="0D0D0D" w:themeColor="text1" w:themeTint="F2"/>
          <w:szCs w:val="20"/>
        </w:rPr>
      </w:pPr>
    </w:p>
    <w:p w14:paraId="35F64A3B" w14:textId="60391ECE" w:rsidR="008D21BE" w:rsidRPr="00E73D99" w:rsidRDefault="008D21BE" w:rsidP="008D21BE">
      <w:pPr>
        <w:contextualSpacing/>
        <w:rPr>
          <w:rFonts w:eastAsia="Times New Roman" w:cs="Times New Roman"/>
          <w:color w:val="0D0D0D" w:themeColor="text1" w:themeTint="F2"/>
          <w:szCs w:val="20"/>
        </w:rPr>
      </w:pPr>
      <w:r w:rsidRPr="00E73D99">
        <w:rPr>
          <w:rFonts w:eastAsia="Times New Roman" w:cs="Times New Roman"/>
          <w:color w:val="0D0D0D" w:themeColor="text1" w:themeTint="F2"/>
          <w:szCs w:val="20"/>
        </w:rPr>
        <w:t xml:space="preserve">La solicitud de información publicada hoy </w:t>
      </w:r>
      <w:r>
        <w:rPr>
          <w:rFonts w:eastAsia="Times New Roman" w:cs="Times New Roman"/>
          <w:color w:val="0D0D0D" w:themeColor="text1" w:themeTint="F2"/>
          <w:szCs w:val="20"/>
        </w:rPr>
        <w:t>pretende</w:t>
      </w:r>
      <w:r w:rsidRPr="00E73D99">
        <w:rPr>
          <w:rFonts w:eastAsia="Times New Roman" w:cs="Times New Roman"/>
          <w:color w:val="0D0D0D" w:themeColor="text1" w:themeTint="F2"/>
          <w:szCs w:val="20"/>
        </w:rPr>
        <w:t xml:space="preserve"> recabar opiniones sobre el diseño y la implementación de un posible programa piloto, así como sobre l</w:t>
      </w:r>
      <w:r>
        <w:rPr>
          <w:rFonts w:eastAsia="Times New Roman" w:cs="Times New Roman"/>
          <w:color w:val="0D0D0D" w:themeColor="text1" w:themeTint="F2"/>
          <w:szCs w:val="20"/>
        </w:rPr>
        <w:t>as mediciones que se usarán en la</w:t>
      </w:r>
      <w:r w:rsidRPr="00E73D99">
        <w:rPr>
          <w:rFonts w:eastAsia="Times New Roman" w:cs="Times New Roman"/>
          <w:color w:val="0D0D0D" w:themeColor="text1" w:themeTint="F2"/>
          <w:szCs w:val="20"/>
        </w:rPr>
        <w:t xml:space="preserve"> evaluación y los criterios de éxito.</w:t>
      </w:r>
      <w:r>
        <w:rPr>
          <w:rFonts w:eastAsia="Times New Roman" w:cs="Times New Roman"/>
          <w:color w:val="0D0D0D" w:themeColor="text1" w:themeTint="F2"/>
          <w:szCs w:val="20"/>
        </w:rPr>
        <w:t xml:space="preserve"> </w:t>
      </w:r>
      <w:r w:rsidRPr="00E73D99">
        <w:rPr>
          <w:rFonts w:eastAsia="Times New Roman" w:cs="Times New Roman"/>
          <w:color w:val="0D0D0D" w:themeColor="text1" w:themeTint="F2"/>
          <w:szCs w:val="20"/>
        </w:rPr>
        <w:t xml:space="preserve">“Se ha hablado de los ensayos en tiempo real durante años. Hemos demostrado que no solo son posibles, sino que también </w:t>
      </w:r>
      <w:r>
        <w:rPr>
          <w:rFonts w:eastAsia="Times New Roman" w:cs="Times New Roman"/>
          <w:color w:val="0D0D0D" w:themeColor="text1" w:themeTint="F2"/>
          <w:szCs w:val="20"/>
        </w:rPr>
        <w:t>pueden</w:t>
      </w:r>
      <w:r w:rsidRPr="00E73D99">
        <w:rPr>
          <w:rFonts w:eastAsia="Times New Roman" w:cs="Times New Roman"/>
          <w:color w:val="0D0D0D" w:themeColor="text1" w:themeTint="F2"/>
          <w:szCs w:val="20"/>
        </w:rPr>
        <w:t xml:space="preserve"> transformar el ecosistema de los ensayos clínicos”,</w:t>
      </w:r>
      <w:r>
        <w:rPr>
          <w:rFonts w:eastAsia="Times New Roman" w:cs="Times New Roman"/>
          <w:color w:val="0D0D0D" w:themeColor="text1" w:themeTint="F2"/>
          <w:szCs w:val="20"/>
        </w:rPr>
        <w:t xml:space="preserve"> </w:t>
      </w:r>
      <w:r w:rsidRPr="00E73D99">
        <w:rPr>
          <w:rFonts w:eastAsia="Times New Roman" w:cs="Times New Roman"/>
          <w:color w:val="0D0D0D" w:themeColor="text1" w:themeTint="F2"/>
          <w:szCs w:val="20"/>
        </w:rPr>
        <w:t>afirmó Jeremy Walsh, director de IA. “Debemos considerar nuestros procesos desde la perspectiva de un paciente que espera un tratamiento potencialmente eficaz”.</w:t>
      </w:r>
    </w:p>
    <w:p w14:paraId="448A91B3" w14:textId="77777777" w:rsidR="008D21BE" w:rsidRPr="00E73D99" w:rsidRDefault="008D21BE" w:rsidP="008D21BE">
      <w:pPr>
        <w:contextualSpacing/>
        <w:rPr>
          <w:rFonts w:eastAsia="Times New Roman" w:cs="Times New Roman"/>
          <w:color w:val="EE0000"/>
          <w:szCs w:val="20"/>
        </w:rPr>
      </w:pPr>
    </w:p>
    <w:p w14:paraId="01EF6683" w14:textId="77777777" w:rsidR="00140BE1" w:rsidRDefault="008D21BE" w:rsidP="008D21BE">
      <w:pPr>
        <w:contextualSpacing/>
        <w:rPr>
          <w:rFonts w:eastAsia="Times New Roman" w:cs="Times New Roman"/>
          <w:color w:val="0D0D0D" w:themeColor="text1" w:themeTint="F2"/>
          <w:szCs w:val="20"/>
        </w:rPr>
      </w:pPr>
      <w:r w:rsidRPr="00737688">
        <w:rPr>
          <w:rFonts w:eastAsia="Times New Roman" w:cs="Times New Roman"/>
          <w:color w:val="0D0D0D" w:themeColor="text1" w:themeTint="F2"/>
          <w:szCs w:val="20"/>
        </w:rPr>
        <w:t>Los ensayos clínicos en tiempo real representan un paso importante hacia el objetivo de la agencia de facilitar los ensayos continuos. Actualmente, la mayor parte del desarrollo clínico se lleva a cabo en fases discretas</w:t>
      </w:r>
      <w:r>
        <w:rPr>
          <w:rFonts w:eastAsia="Times New Roman" w:cs="Times New Roman"/>
          <w:color w:val="0D0D0D" w:themeColor="text1" w:themeTint="F2"/>
          <w:szCs w:val="20"/>
        </w:rPr>
        <w:t>, por</w:t>
      </w:r>
      <w:r w:rsidRPr="00737688">
        <w:rPr>
          <w:rFonts w:eastAsia="Times New Roman" w:cs="Times New Roman"/>
          <w:color w:val="0D0D0D" w:themeColor="text1" w:themeTint="F2"/>
          <w:szCs w:val="20"/>
        </w:rPr>
        <w:t xml:space="preserve">que cada fase </w:t>
      </w:r>
      <w:r>
        <w:rPr>
          <w:rFonts w:eastAsia="Times New Roman" w:cs="Times New Roman"/>
          <w:color w:val="0D0D0D" w:themeColor="text1" w:themeTint="F2"/>
          <w:szCs w:val="20"/>
        </w:rPr>
        <w:t xml:space="preserve">definida </w:t>
      </w:r>
      <w:r w:rsidRPr="00737688">
        <w:rPr>
          <w:rFonts w:eastAsia="Times New Roman" w:cs="Times New Roman"/>
          <w:color w:val="0D0D0D" w:themeColor="text1" w:themeTint="F2"/>
          <w:szCs w:val="20"/>
        </w:rPr>
        <w:t>del desarrollo clínico se realiza según un protocolo y, por lo general, como un estudio independiente</w:t>
      </w:r>
      <w:r>
        <w:rPr>
          <w:rFonts w:eastAsia="Times New Roman" w:cs="Times New Roman"/>
          <w:color w:val="0D0D0D" w:themeColor="text1" w:themeTint="F2"/>
          <w:szCs w:val="20"/>
        </w:rPr>
        <w:t>.</w:t>
      </w:r>
      <w:r w:rsidRPr="00737688">
        <w:rPr>
          <w:rFonts w:eastAsia="Times New Roman" w:cs="Times New Roman"/>
          <w:color w:val="0D0D0D" w:themeColor="text1" w:themeTint="F2"/>
          <w:szCs w:val="20"/>
        </w:rPr>
        <w:t xml:space="preserve"> </w:t>
      </w:r>
    </w:p>
    <w:p w14:paraId="211E646E" w14:textId="77777777" w:rsidR="00140BE1" w:rsidRDefault="00140BE1" w:rsidP="008D21BE">
      <w:pPr>
        <w:contextualSpacing/>
        <w:rPr>
          <w:rFonts w:eastAsia="Times New Roman" w:cs="Times New Roman"/>
          <w:color w:val="0D0D0D" w:themeColor="text1" w:themeTint="F2"/>
          <w:szCs w:val="20"/>
        </w:rPr>
      </w:pPr>
    </w:p>
    <w:p w14:paraId="130458D2" w14:textId="583C6C95" w:rsidR="008D21BE" w:rsidRPr="00737688" w:rsidRDefault="008D21BE" w:rsidP="008D21BE">
      <w:pPr>
        <w:contextualSpacing/>
        <w:rPr>
          <w:rFonts w:eastAsia="Times New Roman" w:cs="Times New Roman"/>
          <w:color w:val="0D0D0D" w:themeColor="text1" w:themeTint="F2"/>
          <w:szCs w:val="20"/>
        </w:rPr>
      </w:pPr>
      <w:r>
        <w:rPr>
          <w:rFonts w:eastAsia="Times New Roman" w:cs="Times New Roman"/>
          <w:color w:val="0D0D0D" w:themeColor="text1" w:themeTint="F2"/>
          <w:szCs w:val="20"/>
        </w:rPr>
        <w:t xml:space="preserve">Entre el final de una fase y el inicio de la siguiente </w:t>
      </w:r>
      <w:r w:rsidRPr="00737688">
        <w:rPr>
          <w:rFonts w:eastAsia="Times New Roman" w:cs="Times New Roman"/>
          <w:color w:val="0D0D0D" w:themeColor="text1" w:themeTint="F2"/>
          <w:szCs w:val="20"/>
        </w:rPr>
        <w:t xml:space="preserve">suele haber una pausa en el programa de desarrollo. Esto ralentiza el ritmo de desarrollo del producto. Gracias a que los ensayos en tiempo real permiten </w:t>
      </w:r>
      <w:r>
        <w:rPr>
          <w:rFonts w:eastAsia="Times New Roman" w:cs="Times New Roman"/>
          <w:color w:val="0D0D0D" w:themeColor="text1" w:themeTint="F2"/>
          <w:szCs w:val="20"/>
        </w:rPr>
        <w:t>que</w:t>
      </w:r>
      <w:r w:rsidRPr="00737688">
        <w:rPr>
          <w:rFonts w:eastAsia="Times New Roman" w:cs="Times New Roman"/>
          <w:color w:val="0D0D0D" w:themeColor="text1" w:themeTint="F2"/>
          <w:szCs w:val="20"/>
        </w:rPr>
        <w:t xml:space="preserve"> la FDA obten</w:t>
      </w:r>
      <w:r>
        <w:rPr>
          <w:rFonts w:eastAsia="Times New Roman" w:cs="Times New Roman"/>
          <w:color w:val="0D0D0D" w:themeColor="text1" w:themeTint="F2"/>
          <w:szCs w:val="20"/>
        </w:rPr>
        <w:t>ga</w:t>
      </w:r>
      <w:r w:rsidRPr="00737688">
        <w:rPr>
          <w:rFonts w:eastAsia="Times New Roman" w:cs="Times New Roman"/>
          <w:color w:val="0D0D0D" w:themeColor="text1" w:themeTint="F2"/>
          <w:szCs w:val="20"/>
        </w:rPr>
        <w:t xml:space="preserve"> información clave en tiempo real, esta pausa podría eliminarse o reducirse al mínimo, lo que </w:t>
      </w:r>
      <w:r>
        <w:rPr>
          <w:rFonts w:eastAsia="Times New Roman" w:cs="Times New Roman"/>
          <w:color w:val="0D0D0D" w:themeColor="text1" w:themeTint="F2"/>
          <w:szCs w:val="20"/>
        </w:rPr>
        <w:t xml:space="preserve">posibilita </w:t>
      </w:r>
      <w:r w:rsidRPr="00737688">
        <w:rPr>
          <w:rFonts w:eastAsia="Times New Roman" w:cs="Times New Roman"/>
          <w:color w:val="0D0D0D" w:themeColor="text1" w:themeTint="F2"/>
          <w:szCs w:val="20"/>
        </w:rPr>
        <w:t xml:space="preserve">la realización de ensayos </w:t>
      </w:r>
      <w:r>
        <w:rPr>
          <w:rFonts w:eastAsia="Times New Roman" w:cs="Times New Roman"/>
          <w:color w:val="0D0D0D" w:themeColor="text1" w:themeTint="F2"/>
          <w:szCs w:val="20"/>
        </w:rPr>
        <w:t>¨</w:t>
      </w:r>
      <w:r w:rsidRPr="00737688">
        <w:rPr>
          <w:rFonts w:eastAsia="Times New Roman" w:cs="Times New Roman"/>
          <w:color w:val="0D0D0D" w:themeColor="text1" w:themeTint="F2"/>
          <w:szCs w:val="20"/>
        </w:rPr>
        <w:t>continuos</w:t>
      </w:r>
      <w:r>
        <w:rPr>
          <w:rFonts w:eastAsia="Times New Roman" w:cs="Times New Roman"/>
          <w:color w:val="0D0D0D" w:themeColor="text1" w:themeTint="F2"/>
          <w:szCs w:val="20"/>
        </w:rPr>
        <w:t>¨</w:t>
      </w:r>
      <w:r w:rsidRPr="00737688">
        <w:rPr>
          <w:rFonts w:eastAsia="Times New Roman" w:cs="Times New Roman"/>
          <w:color w:val="0D0D0D" w:themeColor="text1" w:themeTint="F2"/>
          <w:szCs w:val="20"/>
        </w:rPr>
        <w:t>.</w:t>
      </w:r>
    </w:p>
    <w:p w14:paraId="28D02D22" w14:textId="77777777" w:rsidR="008D21BE" w:rsidRDefault="008D21BE" w:rsidP="008D21BE">
      <w:pPr>
        <w:contextualSpacing/>
        <w:rPr>
          <w:rFonts w:eastAsia="Times New Roman" w:cs="Times New Roman"/>
          <w:color w:val="0D0D0D" w:themeColor="text1" w:themeTint="F2"/>
          <w:szCs w:val="20"/>
        </w:rPr>
      </w:pPr>
    </w:p>
    <w:p w14:paraId="556037B5" w14:textId="77777777" w:rsidR="008D21BE" w:rsidRDefault="008D21BE" w:rsidP="008D21BE">
      <w:pPr>
        <w:contextualSpacing/>
        <w:rPr>
          <w:rFonts w:eastAsia="Times New Roman" w:cs="Times New Roman"/>
          <w:color w:val="0D0D0D" w:themeColor="text1" w:themeTint="F2"/>
          <w:szCs w:val="20"/>
        </w:rPr>
      </w:pPr>
      <w:r w:rsidRPr="00737688">
        <w:rPr>
          <w:rFonts w:eastAsia="Times New Roman" w:cs="Times New Roman"/>
          <w:color w:val="0D0D0D" w:themeColor="text1" w:themeTint="F2"/>
          <w:szCs w:val="20"/>
        </w:rPr>
        <w:t xml:space="preserve">La agencia tiene previsto difundir los criterios de selección </w:t>
      </w:r>
      <w:r>
        <w:rPr>
          <w:rFonts w:eastAsia="Times New Roman" w:cs="Times New Roman"/>
          <w:color w:val="0D0D0D" w:themeColor="text1" w:themeTint="F2"/>
          <w:szCs w:val="20"/>
        </w:rPr>
        <w:t>definitivos</w:t>
      </w:r>
      <w:r w:rsidRPr="00737688">
        <w:rPr>
          <w:rFonts w:eastAsia="Times New Roman" w:cs="Times New Roman"/>
          <w:color w:val="0D0D0D" w:themeColor="text1" w:themeTint="F2"/>
          <w:szCs w:val="20"/>
        </w:rPr>
        <w:t xml:space="preserve"> en julio y completar la selección de los pilotos en agosto.</w:t>
      </w:r>
      <w:r>
        <w:rPr>
          <w:rFonts w:eastAsia="Times New Roman" w:cs="Times New Roman"/>
          <w:color w:val="0D0D0D" w:themeColor="text1" w:themeTint="F2"/>
          <w:szCs w:val="20"/>
        </w:rPr>
        <w:t xml:space="preserve"> </w:t>
      </w:r>
    </w:p>
    <w:p w14:paraId="67460A18" w14:textId="77777777" w:rsidR="008D21BE" w:rsidRPr="00737688" w:rsidRDefault="008D21BE" w:rsidP="008D21BE">
      <w:pPr>
        <w:contextualSpacing/>
        <w:rPr>
          <w:rFonts w:eastAsia="Times New Roman" w:cs="Times New Roman"/>
          <w:color w:val="0D0D0D" w:themeColor="text1" w:themeTint="F2"/>
          <w:szCs w:val="20"/>
        </w:rPr>
      </w:pPr>
    </w:p>
    <w:p w14:paraId="04FE37C7" w14:textId="77777777" w:rsidR="008D21BE" w:rsidRPr="00C3228E" w:rsidRDefault="008D21BE" w:rsidP="008D21BE">
      <w:pPr>
        <w:contextualSpacing/>
        <w:rPr>
          <w:rFonts w:eastAsia="Times New Roman" w:cs="Times New Roman"/>
          <w:b/>
          <w:bCs/>
          <w:color w:val="0D0D0D" w:themeColor="text1" w:themeTint="F2"/>
          <w:sz w:val="18"/>
          <w:szCs w:val="18"/>
        </w:rPr>
      </w:pPr>
      <w:r w:rsidRPr="00C3228E">
        <w:rPr>
          <w:rFonts w:eastAsia="Times New Roman" w:cs="Times New Roman"/>
          <w:b/>
          <w:bCs/>
          <w:color w:val="0D0D0D" w:themeColor="text1" w:themeTint="F2"/>
          <w:sz w:val="18"/>
          <w:szCs w:val="18"/>
        </w:rPr>
        <w:t>Referencias:</w:t>
      </w:r>
    </w:p>
    <w:p w14:paraId="00C38770" w14:textId="77777777" w:rsidR="00140BE1" w:rsidRDefault="008D21BE" w:rsidP="008D21BE">
      <w:pPr>
        <w:contextualSpacing/>
        <w:rPr>
          <w:rStyle w:val="Hipervnculo"/>
          <w:rFonts w:eastAsia="Times New Roman" w:cs="Times New Roman"/>
          <w:sz w:val="18"/>
          <w:szCs w:val="18"/>
        </w:rPr>
        <w:sectPr w:rsidR="00140BE1" w:rsidSect="00140BE1">
          <w:type w:val="continuous"/>
          <w:pgSz w:w="12240" w:h="15840" w:code="1"/>
          <w:pgMar w:top="720" w:right="720" w:bottom="720" w:left="720" w:header="288" w:footer="288" w:gutter="0"/>
          <w:cols w:num="2" w:space="288"/>
          <w:docGrid w:linePitch="360"/>
        </w:sectPr>
      </w:pPr>
      <w:r w:rsidRPr="00C3228E">
        <w:rPr>
          <w:rFonts w:eastAsia="Times New Roman" w:cs="Times New Roman"/>
          <w:color w:val="0D0D0D" w:themeColor="text1" w:themeTint="F2"/>
          <w:sz w:val="18"/>
          <w:szCs w:val="18"/>
        </w:rPr>
        <w:t xml:space="preserve">1.FDA National Archives. Federal </w:t>
      </w:r>
      <w:proofErr w:type="spellStart"/>
      <w:r w:rsidRPr="00C3228E">
        <w:rPr>
          <w:rFonts w:eastAsia="Times New Roman" w:cs="Times New Roman"/>
          <w:color w:val="0D0D0D" w:themeColor="text1" w:themeTint="F2"/>
          <w:sz w:val="18"/>
          <w:szCs w:val="18"/>
        </w:rPr>
        <w:t>register</w:t>
      </w:r>
      <w:proofErr w:type="spellEnd"/>
      <w:r w:rsidRPr="00C3228E">
        <w:rPr>
          <w:rFonts w:eastAsia="Times New Roman" w:cs="Times New Roman"/>
          <w:color w:val="0D0D0D" w:themeColor="text1" w:themeTint="F2"/>
          <w:sz w:val="18"/>
          <w:szCs w:val="18"/>
        </w:rPr>
        <w:t xml:space="preserve"> </w:t>
      </w:r>
      <w:hyperlink r:id="rId90" w:history="1">
        <w:r w:rsidRPr="00C3228E">
          <w:rPr>
            <w:rStyle w:val="Hipervnculo"/>
            <w:rFonts w:eastAsia="Times New Roman" w:cs="Times New Roman"/>
            <w:sz w:val="18"/>
            <w:szCs w:val="18"/>
          </w:rPr>
          <w:t>https://unblock.federalregister.gov/</w:t>
        </w:r>
      </w:hyperlink>
    </w:p>
    <w:p w14:paraId="27AE86D7" w14:textId="62375BA4" w:rsidR="008D21BE" w:rsidRPr="00C3228E" w:rsidRDefault="008D21BE" w:rsidP="008D21BE">
      <w:pPr>
        <w:contextualSpacing/>
        <w:rPr>
          <w:rFonts w:eastAsia="Times New Roman" w:cs="Times New Roman"/>
          <w:color w:val="EE0000"/>
          <w:sz w:val="18"/>
          <w:szCs w:val="18"/>
        </w:rPr>
      </w:pPr>
    </w:p>
    <w:p w14:paraId="7F7009D0" w14:textId="11A7A0E7" w:rsidR="00140BE1" w:rsidRDefault="00140BE1" w:rsidP="004D63D3">
      <w:pPr>
        <w:jc w:val="center"/>
        <w:rPr>
          <w:rFonts w:eastAsia="Times New Roman" w:cs="Times New Roman"/>
          <w:color w:val="0D0D0D" w:themeColor="text1" w:themeTint="F2"/>
          <w:szCs w:val="20"/>
        </w:rPr>
      </w:pPr>
    </w:p>
    <w:p w14:paraId="66D470A4" w14:textId="77777777" w:rsidR="00140BE1" w:rsidRDefault="00140BE1" w:rsidP="004D63D3">
      <w:pPr>
        <w:jc w:val="center"/>
        <w:rPr>
          <w:rFonts w:eastAsia="Times New Roman" w:cs="Times New Roman"/>
          <w:color w:val="0D0D0D" w:themeColor="text1" w:themeTint="F2"/>
          <w:szCs w:val="20"/>
        </w:rPr>
      </w:pPr>
    </w:p>
    <w:p w14:paraId="0A5CC5D5" w14:textId="77777777" w:rsidR="00472EFF" w:rsidRPr="00BB2F0D" w:rsidRDefault="00472EFF" w:rsidP="00472EFF">
      <w:pPr>
        <w:jc w:val="center"/>
        <w:rPr>
          <w:rFonts w:cs="Times New Roman"/>
          <w:b/>
          <w:bCs/>
          <w:szCs w:val="20"/>
        </w:rPr>
      </w:pPr>
      <w:bookmarkStart w:id="5" w:name="_Hlk238566652"/>
      <w:r w:rsidRPr="00D602C4">
        <w:rPr>
          <w:rFonts w:cs="Times New Roman"/>
          <w:szCs w:val="20"/>
        </w:rPr>
        <w:lastRenderedPageBreak/>
        <w:t>EE UU.</w:t>
      </w:r>
      <w:r>
        <w:rPr>
          <w:rFonts w:cs="Times New Roman"/>
          <w:szCs w:val="20"/>
        </w:rPr>
        <w:t xml:space="preserve"> </w:t>
      </w:r>
      <w:r w:rsidRPr="00EA71DA">
        <w:rPr>
          <w:rFonts w:cs="Times New Roman"/>
          <w:b/>
          <w:bCs/>
          <w:szCs w:val="20"/>
        </w:rPr>
        <w:t>Nuevas propuestas de reforma para acelerar los ensayos clínicos</w:t>
      </w:r>
    </w:p>
    <w:p w14:paraId="241E3CD2" w14:textId="77777777" w:rsidR="00472EFF" w:rsidRPr="009609BA" w:rsidRDefault="00472EFF" w:rsidP="00472EFF">
      <w:pPr>
        <w:jc w:val="center"/>
        <w:rPr>
          <w:rFonts w:cs="Times New Roman"/>
          <w:color w:val="FF0000"/>
          <w:szCs w:val="20"/>
        </w:rPr>
      </w:pPr>
      <w:r>
        <w:rPr>
          <w:rFonts w:cs="Times New Roman"/>
          <w:szCs w:val="20"/>
        </w:rPr>
        <w:t>Salud y Fármacos</w:t>
      </w:r>
    </w:p>
    <w:p w14:paraId="370FFFDC" w14:textId="77777777" w:rsidR="00472EFF" w:rsidRPr="00A21F37" w:rsidRDefault="00472EFF" w:rsidP="00472EFF">
      <w:pPr>
        <w:jc w:val="center"/>
        <w:rPr>
          <w:lang w:val="es-ES"/>
        </w:rPr>
      </w:pPr>
      <w:r w:rsidRPr="00CA0441">
        <w:rPr>
          <w:rFonts w:cs="Times New Roman"/>
          <w:i/>
          <w:iCs/>
          <w:szCs w:val="20"/>
          <w:lang w:val="es-ES"/>
        </w:rPr>
        <w:t xml:space="preserve">Boletín Fármacos: </w:t>
      </w:r>
      <w:r>
        <w:rPr>
          <w:rFonts w:eastAsia="Times New Roman" w:cs="Times New Roman"/>
          <w:bCs/>
          <w:i/>
          <w:iCs/>
          <w:color w:val="000000" w:themeColor="text1"/>
          <w:szCs w:val="16"/>
          <w:lang w:val="es-ES"/>
        </w:rPr>
        <w:t>Agencias Reguladoras</w:t>
      </w:r>
      <w:r w:rsidRPr="00A21F37">
        <w:rPr>
          <w:rFonts w:eastAsia="Times New Roman" w:cs="Times New Roman"/>
          <w:bCs/>
          <w:i/>
          <w:iCs/>
          <w:color w:val="000000" w:themeColor="text1"/>
          <w:szCs w:val="16"/>
          <w:lang w:val="es-ES"/>
        </w:rPr>
        <w:t xml:space="preserve"> 2026; 29(</w:t>
      </w:r>
      <w:r>
        <w:rPr>
          <w:rFonts w:eastAsia="Times New Roman" w:cs="Times New Roman"/>
          <w:bCs/>
          <w:i/>
          <w:iCs/>
          <w:color w:val="000000" w:themeColor="text1"/>
          <w:szCs w:val="16"/>
          <w:lang w:val="es-ES"/>
        </w:rPr>
        <w:t>3</w:t>
      </w:r>
      <w:r w:rsidRPr="00A21F37">
        <w:rPr>
          <w:rFonts w:eastAsia="Times New Roman" w:cs="Times New Roman"/>
          <w:bCs/>
          <w:i/>
          <w:iCs/>
          <w:color w:val="000000" w:themeColor="text1"/>
          <w:szCs w:val="16"/>
          <w:lang w:val="es-ES"/>
        </w:rPr>
        <w:t>)</w:t>
      </w:r>
    </w:p>
    <w:p w14:paraId="7BD75DE8" w14:textId="77777777" w:rsidR="00472EFF" w:rsidRDefault="00472EFF" w:rsidP="00472EFF">
      <w:pPr>
        <w:rPr>
          <w:rFonts w:cs="Times New Roman"/>
          <w:szCs w:val="20"/>
        </w:rPr>
      </w:pPr>
    </w:p>
    <w:p w14:paraId="223EFB56" w14:textId="77777777" w:rsidR="00140BE1" w:rsidRDefault="00140BE1" w:rsidP="00472EFF">
      <w:pPr>
        <w:rPr>
          <w:rFonts w:cs="Times New Roman"/>
          <w:b/>
          <w:bCs/>
          <w:sz w:val="18"/>
          <w:szCs w:val="18"/>
        </w:rPr>
        <w:sectPr w:rsidR="00140BE1" w:rsidSect="00F25512">
          <w:type w:val="continuous"/>
          <w:pgSz w:w="12240" w:h="15840" w:code="1"/>
          <w:pgMar w:top="720" w:right="720" w:bottom="720" w:left="720" w:header="288" w:footer="288" w:gutter="0"/>
          <w:cols w:space="288"/>
          <w:docGrid w:linePitch="360"/>
        </w:sectPr>
      </w:pPr>
    </w:p>
    <w:p w14:paraId="354CC1A1" w14:textId="622E389E" w:rsidR="00EA71DA" w:rsidRPr="00EA71DA" w:rsidRDefault="00EA71DA" w:rsidP="00472EFF">
      <w:pPr>
        <w:rPr>
          <w:rFonts w:cs="Times New Roman"/>
          <w:b/>
          <w:bCs/>
          <w:sz w:val="18"/>
          <w:szCs w:val="18"/>
        </w:rPr>
      </w:pPr>
      <w:r w:rsidRPr="00EA71DA">
        <w:rPr>
          <w:rFonts w:cs="Times New Roman"/>
          <w:b/>
          <w:bCs/>
          <w:sz w:val="18"/>
          <w:szCs w:val="18"/>
        </w:rPr>
        <w:t xml:space="preserve">Tags: operación </w:t>
      </w:r>
      <w:r w:rsidR="00140BE1">
        <w:rPr>
          <w:rFonts w:cs="Times New Roman"/>
          <w:b/>
          <w:bCs/>
          <w:sz w:val="18"/>
          <w:szCs w:val="18"/>
        </w:rPr>
        <w:t>p</w:t>
      </w:r>
      <w:r w:rsidRPr="00EA71DA">
        <w:rPr>
          <w:rFonts w:cs="Times New Roman"/>
          <w:b/>
          <w:bCs/>
          <w:sz w:val="18"/>
          <w:szCs w:val="18"/>
        </w:rPr>
        <w:t xml:space="preserve">ionera, aceleración de ensayos clínicos, reformas a ensayos clínicos, </w:t>
      </w:r>
      <w:proofErr w:type="spellStart"/>
      <w:r w:rsidRPr="00EA71DA">
        <w:rPr>
          <w:rFonts w:cs="Times New Roman"/>
          <w:b/>
          <w:bCs/>
          <w:i/>
          <w:iCs/>
          <w:sz w:val="18"/>
          <w:szCs w:val="18"/>
        </w:rPr>
        <w:t>Operation</w:t>
      </w:r>
      <w:proofErr w:type="spellEnd"/>
      <w:r w:rsidRPr="00EA71DA">
        <w:rPr>
          <w:rFonts w:cs="Times New Roman"/>
          <w:b/>
          <w:bCs/>
          <w:i/>
          <w:iCs/>
          <w:sz w:val="18"/>
          <w:szCs w:val="18"/>
        </w:rPr>
        <w:t xml:space="preserve"> </w:t>
      </w:r>
      <w:proofErr w:type="spellStart"/>
      <w:r w:rsidRPr="00EA71DA">
        <w:rPr>
          <w:rFonts w:cs="Times New Roman"/>
          <w:b/>
          <w:bCs/>
          <w:i/>
          <w:iCs/>
          <w:sz w:val="18"/>
          <w:szCs w:val="18"/>
        </w:rPr>
        <w:t>Trailblazer</w:t>
      </w:r>
      <w:proofErr w:type="spellEnd"/>
    </w:p>
    <w:p w14:paraId="75F1F3DE" w14:textId="77777777" w:rsidR="00EA71DA" w:rsidRDefault="00EA71DA" w:rsidP="00472EFF">
      <w:pPr>
        <w:rPr>
          <w:rFonts w:cs="Times New Roman"/>
          <w:szCs w:val="20"/>
        </w:rPr>
      </w:pPr>
    </w:p>
    <w:p w14:paraId="103A75F6" w14:textId="5CAD0DA9" w:rsidR="00472EFF" w:rsidRDefault="00472EFF" w:rsidP="00472EFF">
      <w:pPr>
        <w:rPr>
          <w:rFonts w:cs="Times New Roman"/>
          <w:szCs w:val="20"/>
        </w:rPr>
      </w:pPr>
      <w:r>
        <w:rPr>
          <w:rFonts w:cs="Times New Roman"/>
          <w:szCs w:val="20"/>
        </w:rPr>
        <w:t xml:space="preserve">La FDA, como </w:t>
      </w:r>
      <w:r w:rsidRPr="00BB2F0D">
        <w:rPr>
          <w:rFonts w:cs="Times New Roman"/>
          <w:szCs w:val="20"/>
        </w:rPr>
        <w:t>parte de un programa más amplio del Departamento de Salud y Servicios Humanos (</w:t>
      </w:r>
      <w:proofErr w:type="spellStart"/>
      <w:r w:rsidRPr="0063766B">
        <w:rPr>
          <w:rFonts w:cs="Times New Roman"/>
          <w:i/>
          <w:iCs/>
          <w:szCs w:val="20"/>
        </w:rPr>
        <w:t>Department</w:t>
      </w:r>
      <w:proofErr w:type="spellEnd"/>
      <w:r w:rsidRPr="0063766B">
        <w:rPr>
          <w:rFonts w:cs="Times New Roman"/>
          <w:i/>
          <w:iCs/>
          <w:szCs w:val="20"/>
        </w:rPr>
        <w:t xml:space="preserve"> of </w:t>
      </w:r>
      <w:proofErr w:type="spellStart"/>
      <w:r w:rsidRPr="0063766B">
        <w:rPr>
          <w:rFonts w:cs="Times New Roman"/>
          <w:i/>
          <w:iCs/>
          <w:szCs w:val="20"/>
        </w:rPr>
        <w:t>Health</w:t>
      </w:r>
      <w:proofErr w:type="spellEnd"/>
      <w:r w:rsidRPr="0063766B">
        <w:rPr>
          <w:rFonts w:cs="Times New Roman"/>
          <w:i/>
          <w:iCs/>
          <w:szCs w:val="20"/>
        </w:rPr>
        <w:t xml:space="preserve"> and Human </w:t>
      </w:r>
      <w:proofErr w:type="spellStart"/>
      <w:r w:rsidRPr="0063766B">
        <w:rPr>
          <w:rFonts w:cs="Times New Roman"/>
          <w:i/>
          <w:iCs/>
          <w:szCs w:val="20"/>
        </w:rPr>
        <w:t>Services</w:t>
      </w:r>
      <w:proofErr w:type="spellEnd"/>
      <w:r w:rsidRPr="00F8230F">
        <w:rPr>
          <w:rFonts w:cs="Times New Roman"/>
          <w:szCs w:val="20"/>
        </w:rPr>
        <w:t xml:space="preserve"> </w:t>
      </w:r>
      <w:r>
        <w:rPr>
          <w:rFonts w:cs="Times New Roman"/>
          <w:szCs w:val="20"/>
        </w:rPr>
        <w:t xml:space="preserve">o </w:t>
      </w:r>
      <w:r w:rsidRPr="00BB2F0D">
        <w:rPr>
          <w:rFonts w:cs="Times New Roman"/>
          <w:szCs w:val="20"/>
        </w:rPr>
        <w:t>HHS) denominado "Operación Pionera"</w:t>
      </w:r>
      <w:r>
        <w:rPr>
          <w:rFonts w:cs="Times New Roman"/>
          <w:szCs w:val="20"/>
        </w:rPr>
        <w:t xml:space="preserve"> </w:t>
      </w:r>
      <w:r w:rsidRPr="00421BD6">
        <w:rPr>
          <w:rFonts w:cs="Times New Roman"/>
          <w:i/>
          <w:iCs/>
          <w:szCs w:val="20"/>
        </w:rPr>
        <w:t>("</w:t>
      </w:r>
      <w:proofErr w:type="spellStart"/>
      <w:r w:rsidRPr="00421BD6">
        <w:rPr>
          <w:rFonts w:cs="Times New Roman"/>
          <w:i/>
          <w:iCs/>
          <w:szCs w:val="20"/>
        </w:rPr>
        <w:t>Operation</w:t>
      </w:r>
      <w:proofErr w:type="spellEnd"/>
      <w:r w:rsidRPr="00421BD6">
        <w:rPr>
          <w:rFonts w:cs="Times New Roman"/>
          <w:i/>
          <w:iCs/>
          <w:szCs w:val="20"/>
        </w:rPr>
        <w:t xml:space="preserve"> </w:t>
      </w:r>
      <w:proofErr w:type="spellStart"/>
      <w:r w:rsidRPr="00421BD6">
        <w:rPr>
          <w:rFonts w:cs="Times New Roman"/>
          <w:i/>
          <w:iCs/>
          <w:szCs w:val="20"/>
        </w:rPr>
        <w:t>Trailblazer</w:t>
      </w:r>
      <w:proofErr w:type="spellEnd"/>
      <w:r w:rsidRPr="00421BD6">
        <w:rPr>
          <w:rFonts w:cs="Times New Roman"/>
          <w:i/>
          <w:iCs/>
          <w:szCs w:val="20"/>
        </w:rPr>
        <w:t>"</w:t>
      </w:r>
      <w:r w:rsidRPr="0063766B">
        <w:rPr>
          <w:rFonts w:cs="Times New Roman"/>
          <w:szCs w:val="20"/>
        </w:rPr>
        <w:t>)</w:t>
      </w:r>
      <w:r>
        <w:rPr>
          <w:rFonts w:cs="Times New Roman"/>
          <w:szCs w:val="20"/>
        </w:rPr>
        <w:t xml:space="preserve">, cuyo objetivo es </w:t>
      </w:r>
      <w:r w:rsidRPr="00BB2F0D">
        <w:rPr>
          <w:rFonts w:cs="Times New Roman"/>
          <w:szCs w:val="20"/>
        </w:rPr>
        <w:t xml:space="preserve">acelerar el desarrollo de fármacos desde la etapa </w:t>
      </w:r>
      <w:r>
        <w:rPr>
          <w:rFonts w:cs="Times New Roman"/>
          <w:szCs w:val="20"/>
        </w:rPr>
        <w:t>de Nueva Droga en Investigación</w:t>
      </w:r>
      <w:r w:rsidRPr="00F8230F">
        <w:rPr>
          <w:rFonts w:cs="Times New Roman"/>
          <w:i/>
          <w:szCs w:val="20"/>
        </w:rPr>
        <w:t xml:space="preserve"> </w:t>
      </w:r>
      <w:r>
        <w:rPr>
          <w:rFonts w:cs="Times New Roman"/>
          <w:szCs w:val="20"/>
        </w:rPr>
        <w:t>(</w:t>
      </w:r>
      <w:proofErr w:type="spellStart"/>
      <w:r w:rsidRPr="00F8230F">
        <w:rPr>
          <w:rFonts w:cs="Times New Roman"/>
          <w:i/>
          <w:szCs w:val="20"/>
        </w:rPr>
        <w:t>Investigational</w:t>
      </w:r>
      <w:proofErr w:type="spellEnd"/>
      <w:r w:rsidRPr="00F8230F">
        <w:rPr>
          <w:rFonts w:cs="Times New Roman"/>
          <w:i/>
          <w:szCs w:val="20"/>
        </w:rPr>
        <w:t xml:space="preserve"> New </w:t>
      </w:r>
      <w:proofErr w:type="spellStart"/>
      <w:r w:rsidRPr="00F8230F">
        <w:rPr>
          <w:rFonts w:cs="Times New Roman"/>
          <w:i/>
          <w:szCs w:val="20"/>
        </w:rPr>
        <w:t>Drug</w:t>
      </w:r>
      <w:proofErr w:type="spellEnd"/>
      <w:r>
        <w:rPr>
          <w:rFonts w:cs="Times New Roman"/>
          <w:szCs w:val="20"/>
        </w:rPr>
        <w:t xml:space="preserve"> o </w:t>
      </w:r>
      <w:r w:rsidRPr="00F8230F">
        <w:rPr>
          <w:rFonts w:cs="Times New Roman"/>
          <w:szCs w:val="20"/>
        </w:rPr>
        <w:t>IND</w:t>
      </w:r>
      <w:r>
        <w:rPr>
          <w:rFonts w:cs="Times New Roman"/>
          <w:szCs w:val="20"/>
        </w:rPr>
        <w:t>)</w:t>
      </w:r>
      <w:r w:rsidRPr="00BB2F0D">
        <w:rPr>
          <w:rFonts w:cs="Times New Roman"/>
          <w:szCs w:val="20"/>
        </w:rPr>
        <w:t xml:space="preserve"> hasta los ensayos clínicos de fase avanzada</w:t>
      </w:r>
      <w:r>
        <w:rPr>
          <w:rFonts w:cs="Times New Roman"/>
          <w:szCs w:val="20"/>
        </w:rPr>
        <w:t xml:space="preserve">, ha lanzado dos iniciativas </w:t>
      </w:r>
    </w:p>
    <w:p w14:paraId="2DCC0867" w14:textId="77777777" w:rsidR="00472EFF" w:rsidRDefault="00472EFF" w:rsidP="00472EFF">
      <w:pPr>
        <w:rPr>
          <w:rFonts w:cs="Times New Roman"/>
          <w:szCs w:val="20"/>
        </w:rPr>
      </w:pPr>
    </w:p>
    <w:p w14:paraId="076B2D70" w14:textId="77777777" w:rsidR="00472EFF" w:rsidRPr="00BB2F0D" w:rsidRDefault="00472EFF" w:rsidP="00472EFF">
      <w:pPr>
        <w:rPr>
          <w:rFonts w:cs="Times New Roman"/>
          <w:szCs w:val="20"/>
        </w:rPr>
      </w:pPr>
      <w:r>
        <w:rPr>
          <w:rFonts w:cs="Times New Roman"/>
          <w:szCs w:val="20"/>
        </w:rPr>
        <w:t xml:space="preserve">La primera pretende </w:t>
      </w:r>
      <w:r w:rsidRPr="00BB2F0D">
        <w:rPr>
          <w:rFonts w:cs="Times New Roman"/>
          <w:szCs w:val="20"/>
        </w:rPr>
        <w:t xml:space="preserve">reducir el tiempo </w:t>
      </w:r>
      <w:r>
        <w:rPr>
          <w:rFonts w:cs="Times New Roman"/>
          <w:szCs w:val="20"/>
        </w:rPr>
        <w:t>que transcurre</w:t>
      </w:r>
      <w:r w:rsidRPr="00BB2F0D">
        <w:rPr>
          <w:rFonts w:cs="Times New Roman"/>
          <w:szCs w:val="20"/>
        </w:rPr>
        <w:t xml:space="preserve"> desde la identificación del fármaco hasta el </w:t>
      </w:r>
      <w:r>
        <w:rPr>
          <w:rFonts w:cs="Times New Roman"/>
          <w:szCs w:val="20"/>
        </w:rPr>
        <w:t>inicio del primer estudio en humanos (</w:t>
      </w:r>
      <w:proofErr w:type="spellStart"/>
      <w:r w:rsidRPr="003C73FC">
        <w:rPr>
          <w:rFonts w:cs="Times New Roman"/>
          <w:i/>
          <w:iCs/>
          <w:szCs w:val="20"/>
        </w:rPr>
        <w:t>first</w:t>
      </w:r>
      <w:proofErr w:type="spellEnd"/>
      <w:r w:rsidRPr="003C73FC">
        <w:rPr>
          <w:rFonts w:cs="Times New Roman"/>
          <w:i/>
          <w:iCs/>
          <w:szCs w:val="20"/>
        </w:rPr>
        <w:t>-</w:t>
      </w:r>
      <w:proofErr w:type="spellStart"/>
      <w:r w:rsidRPr="003C73FC">
        <w:rPr>
          <w:rFonts w:cs="Times New Roman"/>
          <w:i/>
          <w:iCs/>
          <w:szCs w:val="20"/>
        </w:rPr>
        <w:t>in-human</w:t>
      </w:r>
      <w:proofErr w:type="spellEnd"/>
      <w:r>
        <w:rPr>
          <w:rFonts w:cs="Times New Roman"/>
          <w:szCs w:val="20"/>
        </w:rPr>
        <w:t xml:space="preserve"> o FIH). La propuesta de la FDA, y sobre la que espera recibir retroalimentación, es que i</w:t>
      </w:r>
      <w:r w:rsidRPr="00BB2F0D">
        <w:rPr>
          <w:rFonts w:cs="Times New Roman"/>
          <w:szCs w:val="20"/>
        </w:rPr>
        <w:t>nstituciones externas cualificadas</w:t>
      </w:r>
      <w:r>
        <w:rPr>
          <w:rFonts w:cs="Times New Roman"/>
          <w:szCs w:val="20"/>
        </w:rPr>
        <w:t>,</w:t>
      </w:r>
      <w:r w:rsidRPr="00BB2F0D">
        <w:rPr>
          <w:rFonts w:cs="Times New Roman"/>
          <w:szCs w:val="20"/>
        </w:rPr>
        <w:t xml:space="preserve"> como centros médicos académicos u organizaciones de investigación por contrato</w:t>
      </w:r>
      <w:r>
        <w:rPr>
          <w:rFonts w:cs="Times New Roman"/>
          <w:szCs w:val="20"/>
        </w:rPr>
        <w:t>,</w:t>
      </w:r>
      <w:r w:rsidRPr="00BB2F0D">
        <w:rPr>
          <w:rFonts w:cs="Times New Roman"/>
          <w:szCs w:val="20"/>
        </w:rPr>
        <w:t xml:space="preserve"> colaborar</w:t>
      </w:r>
      <w:r>
        <w:rPr>
          <w:rFonts w:cs="Times New Roman"/>
          <w:szCs w:val="20"/>
        </w:rPr>
        <w:t>en</w:t>
      </w:r>
      <w:r w:rsidRPr="00BB2F0D">
        <w:rPr>
          <w:rFonts w:cs="Times New Roman"/>
          <w:szCs w:val="20"/>
        </w:rPr>
        <w:t xml:space="preserve"> con los patrocinadores</w:t>
      </w:r>
      <w:r>
        <w:rPr>
          <w:rFonts w:cs="Times New Roman"/>
          <w:szCs w:val="20"/>
        </w:rPr>
        <w:t xml:space="preserve"> de la I+D para </w:t>
      </w:r>
      <w:r w:rsidRPr="00F8230F">
        <w:rPr>
          <w:rFonts w:cs="Times New Roman"/>
          <w:szCs w:val="20"/>
        </w:rPr>
        <w:t xml:space="preserve">desarrollar </w:t>
      </w:r>
      <w:r>
        <w:rPr>
          <w:rFonts w:cs="Times New Roman"/>
          <w:szCs w:val="20"/>
        </w:rPr>
        <w:t>las solicitudes de</w:t>
      </w:r>
      <w:r w:rsidRPr="00F8230F">
        <w:rPr>
          <w:rFonts w:cs="Times New Roman"/>
          <w:szCs w:val="20"/>
        </w:rPr>
        <w:t xml:space="preserve"> </w:t>
      </w:r>
      <w:r>
        <w:rPr>
          <w:rFonts w:cs="Times New Roman"/>
          <w:szCs w:val="20"/>
        </w:rPr>
        <w:t>Nueva Droga en Investigación (</w:t>
      </w:r>
      <w:r w:rsidRPr="00F8230F">
        <w:rPr>
          <w:rFonts w:cs="Times New Roman"/>
          <w:szCs w:val="20"/>
        </w:rPr>
        <w:t>IND</w:t>
      </w:r>
      <w:r>
        <w:rPr>
          <w:rFonts w:cs="Times New Roman"/>
          <w:szCs w:val="20"/>
        </w:rPr>
        <w:t>)</w:t>
      </w:r>
      <w:r w:rsidRPr="00F8230F">
        <w:rPr>
          <w:rFonts w:cs="Times New Roman"/>
          <w:szCs w:val="20"/>
        </w:rPr>
        <w:t xml:space="preserve"> de Fase 1 para </w:t>
      </w:r>
      <w:r>
        <w:rPr>
          <w:rFonts w:cs="Times New Roman"/>
          <w:szCs w:val="20"/>
        </w:rPr>
        <w:t xml:space="preserve">los </w:t>
      </w:r>
      <w:r w:rsidRPr="00F8230F">
        <w:rPr>
          <w:rFonts w:cs="Times New Roman"/>
          <w:szCs w:val="20"/>
        </w:rPr>
        <w:t xml:space="preserve">ensayos clínicos </w:t>
      </w:r>
      <w:r>
        <w:rPr>
          <w:rFonts w:cs="Times New Roman"/>
          <w:szCs w:val="20"/>
        </w:rPr>
        <w:t>que utilizan nuevas moléculas por</w:t>
      </w:r>
      <w:r w:rsidRPr="00F8230F">
        <w:rPr>
          <w:rFonts w:cs="Times New Roman"/>
          <w:szCs w:val="20"/>
        </w:rPr>
        <w:t xml:space="preserve"> primera </w:t>
      </w:r>
      <w:r>
        <w:rPr>
          <w:rFonts w:cs="Times New Roman"/>
          <w:szCs w:val="20"/>
        </w:rPr>
        <w:t xml:space="preserve">vez </w:t>
      </w:r>
      <w:r w:rsidRPr="00F8230F">
        <w:rPr>
          <w:rFonts w:cs="Times New Roman"/>
          <w:szCs w:val="20"/>
        </w:rPr>
        <w:t xml:space="preserve">en </w:t>
      </w:r>
      <w:r>
        <w:rPr>
          <w:rFonts w:cs="Times New Roman"/>
          <w:szCs w:val="20"/>
        </w:rPr>
        <w:t xml:space="preserve">seres </w:t>
      </w:r>
      <w:r w:rsidRPr="00F8230F">
        <w:rPr>
          <w:rFonts w:cs="Times New Roman"/>
          <w:szCs w:val="20"/>
        </w:rPr>
        <w:t>humanos (FIH)</w:t>
      </w:r>
      <w:r>
        <w:rPr>
          <w:rFonts w:cs="Times New Roman"/>
          <w:szCs w:val="20"/>
        </w:rPr>
        <w:t>. Para ello</w:t>
      </w:r>
      <w:r w:rsidRPr="00F8230F">
        <w:rPr>
          <w:rFonts w:cs="Times New Roman"/>
          <w:szCs w:val="20"/>
        </w:rPr>
        <w:t xml:space="preserve"> utiliza</w:t>
      </w:r>
      <w:r>
        <w:rPr>
          <w:rFonts w:cs="Times New Roman"/>
          <w:szCs w:val="20"/>
        </w:rPr>
        <w:t>rán</w:t>
      </w:r>
      <w:r w:rsidRPr="00F8230F">
        <w:rPr>
          <w:rFonts w:cs="Times New Roman"/>
          <w:szCs w:val="20"/>
        </w:rPr>
        <w:t xml:space="preserve"> una plataforma de presentación continua de IND, con el objetivo de minimizar la necesidad de suspen</w:t>
      </w:r>
      <w:r>
        <w:rPr>
          <w:rFonts w:cs="Times New Roman"/>
          <w:szCs w:val="20"/>
        </w:rPr>
        <w:t>der</w:t>
      </w:r>
      <w:r w:rsidRPr="00BB2F0D">
        <w:rPr>
          <w:rFonts w:cs="Times New Roman"/>
          <w:szCs w:val="20"/>
        </w:rPr>
        <w:t xml:space="preserve"> los primeros ensayos clínicos en humanos (FIH)</w:t>
      </w:r>
      <w:r>
        <w:rPr>
          <w:rFonts w:cs="Times New Roman"/>
          <w:szCs w:val="20"/>
        </w:rPr>
        <w:t>. La fecha límite para presentar comentarios es el 22 de julio.</w:t>
      </w:r>
    </w:p>
    <w:p w14:paraId="35BAE93F" w14:textId="77777777" w:rsidR="00472EFF" w:rsidRPr="00BB2F0D" w:rsidRDefault="00472EFF" w:rsidP="00472EFF">
      <w:pPr>
        <w:rPr>
          <w:rFonts w:cs="Times New Roman"/>
          <w:szCs w:val="20"/>
        </w:rPr>
      </w:pPr>
    </w:p>
    <w:p w14:paraId="5E92DB45" w14:textId="77777777" w:rsidR="00472EFF" w:rsidRPr="00BB2F0D" w:rsidRDefault="00472EFF" w:rsidP="00472EFF">
      <w:pPr>
        <w:rPr>
          <w:rFonts w:cs="Times New Roman"/>
          <w:szCs w:val="20"/>
        </w:rPr>
      </w:pPr>
      <w:r>
        <w:rPr>
          <w:rFonts w:cs="Times New Roman"/>
          <w:szCs w:val="20"/>
        </w:rPr>
        <w:t>Por otra parte, l</w:t>
      </w:r>
      <w:r w:rsidRPr="00BB2F0D">
        <w:rPr>
          <w:rFonts w:cs="Times New Roman"/>
          <w:szCs w:val="20"/>
        </w:rPr>
        <w:t xml:space="preserve">a FDA </w:t>
      </w:r>
      <w:r>
        <w:rPr>
          <w:rFonts w:cs="Times New Roman"/>
          <w:szCs w:val="20"/>
        </w:rPr>
        <w:t>publi</w:t>
      </w:r>
      <w:r w:rsidRPr="00BB2F0D">
        <w:rPr>
          <w:rFonts w:cs="Times New Roman"/>
          <w:szCs w:val="20"/>
        </w:rPr>
        <w:t xml:space="preserve">có </w:t>
      </w:r>
      <w:r>
        <w:rPr>
          <w:rFonts w:cs="Times New Roman"/>
          <w:szCs w:val="20"/>
        </w:rPr>
        <w:t xml:space="preserve">el </w:t>
      </w:r>
      <w:r w:rsidRPr="00BB2F0D">
        <w:rPr>
          <w:rFonts w:cs="Times New Roman"/>
          <w:szCs w:val="20"/>
        </w:rPr>
        <w:t>borrador revisado de la guía</w:t>
      </w:r>
      <w:r>
        <w:rPr>
          <w:rFonts w:cs="Times New Roman"/>
          <w:szCs w:val="20"/>
        </w:rPr>
        <w:t>:</w:t>
      </w:r>
      <w:r w:rsidRPr="00BB2F0D">
        <w:rPr>
          <w:rFonts w:cs="Times New Roman"/>
          <w:szCs w:val="20"/>
        </w:rPr>
        <w:t xml:space="preserve"> «Demostración de evidencia sustancial de eficacia </w:t>
      </w:r>
      <w:r>
        <w:rPr>
          <w:rFonts w:cs="Times New Roman"/>
          <w:szCs w:val="20"/>
        </w:rPr>
        <w:t>de los</w:t>
      </w:r>
      <w:r w:rsidRPr="00BB2F0D">
        <w:rPr>
          <w:rFonts w:cs="Times New Roman"/>
          <w:szCs w:val="20"/>
        </w:rPr>
        <w:t xml:space="preserve"> medicamentos y productos biológicos </w:t>
      </w:r>
      <w:r>
        <w:rPr>
          <w:rFonts w:cs="Times New Roman"/>
          <w:szCs w:val="20"/>
        </w:rPr>
        <w:t>para</w:t>
      </w:r>
      <w:r w:rsidRPr="00BB2F0D">
        <w:rPr>
          <w:rFonts w:cs="Times New Roman"/>
          <w:szCs w:val="20"/>
        </w:rPr>
        <w:t xml:space="preserve"> uso humano»</w:t>
      </w:r>
      <w:r>
        <w:rPr>
          <w:rFonts w:cs="Times New Roman"/>
          <w:szCs w:val="20"/>
        </w:rPr>
        <w:t>, cuyo</w:t>
      </w:r>
      <w:r w:rsidRPr="00BB2F0D">
        <w:rPr>
          <w:rFonts w:cs="Times New Roman"/>
          <w:szCs w:val="20"/>
        </w:rPr>
        <w:t xml:space="preserve"> objetivo </w:t>
      </w:r>
      <w:r>
        <w:rPr>
          <w:rFonts w:cs="Times New Roman"/>
          <w:szCs w:val="20"/>
        </w:rPr>
        <w:t xml:space="preserve">es </w:t>
      </w:r>
      <w:r w:rsidRPr="00BB2F0D">
        <w:rPr>
          <w:rFonts w:cs="Times New Roman"/>
          <w:szCs w:val="20"/>
        </w:rPr>
        <w:t xml:space="preserve">aclarar </w:t>
      </w:r>
      <w:r>
        <w:rPr>
          <w:rFonts w:cs="Times New Roman"/>
          <w:szCs w:val="20"/>
        </w:rPr>
        <w:t>bajo qué</w:t>
      </w:r>
      <w:r w:rsidRPr="00BB2F0D">
        <w:rPr>
          <w:rFonts w:cs="Times New Roman"/>
          <w:szCs w:val="20"/>
        </w:rPr>
        <w:t xml:space="preserve"> circunstancias los desarrolladores de medicamentos pueden basarse en un</w:t>
      </w:r>
      <w:r>
        <w:rPr>
          <w:rFonts w:cs="Times New Roman"/>
          <w:szCs w:val="20"/>
        </w:rPr>
        <w:t xml:space="preserve"> ensayo clínico </w:t>
      </w:r>
      <w:proofErr w:type="spellStart"/>
      <w:r>
        <w:rPr>
          <w:rFonts w:cs="Times New Roman"/>
          <w:szCs w:val="20"/>
        </w:rPr>
        <w:t>pivo</w:t>
      </w:r>
      <w:r w:rsidRPr="00BB2F0D">
        <w:rPr>
          <w:rFonts w:cs="Times New Roman"/>
          <w:szCs w:val="20"/>
        </w:rPr>
        <w:t>tal</w:t>
      </w:r>
      <w:proofErr w:type="spellEnd"/>
      <w:r w:rsidRPr="00BB2F0D">
        <w:rPr>
          <w:rFonts w:cs="Times New Roman"/>
          <w:szCs w:val="20"/>
        </w:rPr>
        <w:t xml:space="preserve"> riguros</w:t>
      </w:r>
      <w:r>
        <w:rPr>
          <w:rFonts w:cs="Times New Roman"/>
          <w:szCs w:val="20"/>
        </w:rPr>
        <w:t>o</w:t>
      </w:r>
      <w:r w:rsidRPr="00BB2F0D">
        <w:rPr>
          <w:rFonts w:cs="Times New Roman"/>
          <w:szCs w:val="20"/>
        </w:rPr>
        <w:t>, adecuad</w:t>
      </w:r>
      <w:r>
        <w:rPr>
          <w:rFonts w:cs="Times New Roman"/>
          <w:szCs w:val="20"/>
        </w:rPr>
        <w:t>o</w:t>
      </w:r>
      <w:r w:rsidRPr="00BB2F0D">
        <w:rPr>
          <w:rFonts w:cs="Times New Roman"/>
          <w:szCs w:val="20"/>
        </w:rPr>
        <w:t xml:space="preserve"> y bien controlad</w:t>
      </w:r>
      <w:r>
        <w:rPr>
          <w:rFonts w:cs="Times New Roman"/>
          <w:szCs w:val="20"/>
        </w:rPr>
        <w:t>o</w:t>
      </w:r>
      <w:r w:rsidRPr="00BB2F0D">
        <w:rPr>
          <w:rFonts w:cs="Times New Roman"/>
          <w:szCs w:val="20"/>
        </w:rPr>
        <w:t xml:space="preserve">, </w:t>
      </w:r>
      <w:r>
        <w:rPr>
          <w:rFonts w:cs="Times New Roman"/>
          <w:szCs w:val="20"/>
        </w:rPr>
        <w:t>acompañado</w:t>
      </w:r>
      <w:r w:rsidRPr="00BB2F0D">
        <w:rPr>
          <w:rFonts w:cs="Times New Roman"/>
          <w:szCs w:val="20"/>
        </w:rPr>
        <w:t xml:space="preserve"> con evidencia confirmatoria, para respaldar la aprobación de fármacos</w:t>
      </w:r>
      <w:r>
        <w:rPr>
          <w:rFonts w:cs="Times New Roman"/>
          <w:szCs w:val="20"/>
        </w:rPr>
        <w:t>.</w:t>
      </w:r>
    </w:p>
    <w:p w14:paraId="42F2C78C" w14:textId="77777777" w:rsidR="00472EFF" w:rsidRPr="00BB2F0D" w:rsidRDefault="00472EFF" w:rsidP="00472EFF">
      <w:pPr>
        <w:rPr>
          <w:rFonts w:cs="Times New Roman"/>
          <w:szCs w:val="20"/>
        </w:rPr>
      </w:pPr>
    </w:p>
    <w:p w14:paraId="76DE2BC2" w14:textId="77777777" w:rsidR="00472EFF" w:rsidRDefault="00472EFF" w:rsidP="00472EFF">
      <w:pPr>
        <w:rPr>
          <w:rFonts w:cs="Times New Roman"/>
          <w:szCs w:val="20"/>
        </w:rPr>
      </w:pPr>
      <w:r>
        <w:rPr>
          <w:rFonts w:cs="Times New Roman"/>
          <w:szCs w:val="20"/>
        </w:rPr>
        <w:t>El año pasado, e</w:t>
      </w:r>
      <w:r w:rsidRPr="00BB2F0D">
        <w:rPr>
          <w:rFonts w:cs="Times New Roman"/>
          <w:szCs w:val="20"/>
        </w:rPr>
        <w:t xml:space="preserve">l </w:t>
      </w:r>
      <w:proofErr w:type="spellStart"/>
      <w:r w:rsidRPr="00BB2F0D">
        <w:rPr>
          <w:rFonts w:cs="Times New Roman"/>
          <w:szCs w:val="20"/>
        </w:rPr>
        <w:t>excomisionado</w:t>
      </w:r>
      <w:proofErr w:type="spellEnd"/>
      <w:r w:rsidRPr="00BB2F0D">
        <w:rPr>
          <w:rFonts w:cs="Times New Roman"/>
          <w:szCs w:val="20"/>
        </w:rPr>
        <w:t xml:space="preserve"> de la FDA, </w:t>
      </w:r>
      <w:proofErr w:type="spellStart"/>
      <w:r w:rsidRPr="00BB2F0D">
        <w:rPr>
          <w:rFonts w:cs="Times New Roman"/>
          <w:szCs w:val="20"/>
        </w:rPr>
        <w:t>Marty</w:t>
      </w:r>
      <w:proofErr w:type="spellEnd"/>
      <w:r w:rsidRPr="00BB2F0D">
        <w:rPr>
          <w:rFonts w:cs="Times New Roman"/>
          <w:szCs w:val="20"/>
        </w:rPr>
        <w:t xml:space="preserve"> </w:t>
      </w:r>
      <w:proofErr w:type="spellStart"/>
      <w:r w:rsidRPr="00BB2F0D">
        <w:rPr>
          <w:rFonts w:cs="Times New Roman"/>
          <w:szCs w:val="20"/>
        </w:rPr>
        <w:t>Makary</w:t>
      </w:r>
      <w:proofErr w:type="spellEnd"/>
      <w:r w:rsidRPr="00BB2F0D">
        <w:rPr>
          <w:rFonts w:cs="Times New Roman"/>
          <w:szCs w:val="20"/>
        </w:rPr>
        <w:t xml:space="preserve">, anunció </w:t>
      </w:r>
      <w:r>
        <w:rPr>
          <w:rFonts w:cs="Times New Roman"/>
          <w:szCs w:val="20"/>
        </w:rPr>
        <w:t xml:space="preserve">los </w:t>
      </w:r>
      <w:r w:rsidRPr="00BB2F0D">
        <w:rPr>
          <w:rFonts w:cs="Times New Roman"/>
          <w:szCs w:val="20"/>
        </w:rPr>
        <w:t xml:space="preserve">planes para cambiar la política tradicional de la agencia, que requería dos ensayos clínicos bien controlados y adecuados, a </w:t>
      </w:r>
      <w:r>
        <w:rPr>
          <w:rFonts w:cs="Times New Roman"/>
          <w:szCs w:val="20"/>
        </w:rPr>
        <w:t xml:space="preserve">exigir </w:t>
      </w:r>
      <w:r w:rsidRPr="00BB2F0D">
        <w:rPr>
          <w:rFonts w:cs="Times New Roman"/>
          <w:szCs w:val="20"/>
        </w:rPr>
        <w:t>solo uno. Sin embargo, el borrador de la</w:t>
      </w:r>
      <w:r>
        <w:rPr>
          <w:rFonts w:cs="Times New Roman"/>
          <w:szCs w:val="20"/>
        </w:rPr>
        <w:t xml:space="preserve"> guía</w:t>
      </w:r>
      <w:r w:rsidRPr="00BB2F0D">
        <w:rPr>
          <w:rFonts w:cs="Times New Roman"/>
          <w:szCs w:val="20"/>
        </w:rPr>
        <w:t xml:space="preserve"> para implementar esta política no se había publicado hasta ahora.</w:t>
      </w:r>
      <w:r>
        <w:rPr>
          <w:rFonts w:cs="Times New Roman"/>
          <w:szCs w:val="20"/>
        </w:rPr>
        <w:t xml:space="preserve"> </w:t>
      </w:r>
      <w:r w:rsidRPr="00BB2F0D">
        <w:rPr>
          <w:rFonts w:cs="Times New Roman"/>
          <w:szCs w:val="20"/>
        </w:rPr>
        <w:t>La fecha límite para presentar comentarios sobre el borrador de la</w:t>
      </w:r>
      <w:r>
        <w:rPr>
          <w:rFonts w:cs="Times New Roman"/>
          <w:szCs w:val="20"/>
        </w:rPr>
        <w:t xml:space="preserve"> guía</w:t>
      </w:r>
      <w:r w:rsidRPr="00BB2F0D">
        <w:rPr>
          <w:rFonts w:cs="Times New Roman"/>
          <w:szCs w:val="20"/>
        </w:rPr>
        <w:t xml:space="preserve"> es el 24 de agosto.</w:t>
      </w:r>
    </w:p>
    <w:p w14:paraId="4441B2E1" w14:textId="77777777" w:rsidR="00472EFF" w:rsidRDefault="00472EFF" w:rsidP="00472EFF">
      <w:pPr>
        <w:rPr>
          <w:rFonts w:cs="Times New Roman"/>
          <w:szCs w:val="20"/>
        </w:rPr>
      </w:pPr>
    </w:p>
    <w:p w14:paraId="27782FE4" w14:textId="77777777" w:rsidR="00472EFF" w:rsidRPr="008047C3" w:rsidRDefault="00472EFF" w:rsidP="00472EFF">
      <w:pPr>
        <w:rPr>
          <w:rFonts w:cs="Times New Roman"/>
          <w:szCs w:val="20"/>
        </w:rPr>
      </w:pPr>
      <w:r>
        <w:rPr>
          <w:rFonts w:cs="Times New Roman"/>
          <w:szCs w:val="20"/>
        </w:rPr>
        <w:t>S</w:t>
      </w:r>
      <w:r w:rsidRPr="00F8230F">
        <w:rPr>
          <w:rFonts w:cs="Times New Roman"/>
          <w:szCs w:val="20"/>
        </w:rPr>
        <w:t>egún anunció el secretario de Salud y Servicios Humanos, Robert Kennedy Jr.</w:t>
      </w:r>
      <w:r>
        <w:rPr>
          <w:rFonts w:cs="Times New Roman"/>
          <w:szCs w:val="20"/>
        </w:rPr>
        <w:t>,</w:t>
      </w:r>
      <w:r w:rsidRPr="00F8230F">
        <w:rPr>
          <w:rFonts w:cs="Times New Roman"/>
          <w:szCs w:val="20"/>
        </w:rPr>
        <w:t xml:space="preserve"> </w:t>
      </w:r>
      <w:r>
        <w:rPr>
          <w:rFonts w:cs="Times New Roman"/>
          <w:szCs w:val="20"/>
        </w:rPr>
        <w:t>e</w:t>
      </w:r>
      <w:r w:rsidRPr="00F8230F">
        <w:rPr>
          <w:rFonts w:cs="Times New Roman"/>
          <w:szCs w:val="20"/>
        </w:rPr>
        <w:t>l programa piloto "Operación Pionera" pretende contrarrestar la creciente tendencia de trasladar los ensayos clínicos a China</w:t>
      </w:r>
      <w:r>
        <w:rPr>
          <w:rFonts w:cs="Times New Roman"/>
          <w:szCs w:val="20"/>
        </w:rPr>
        <w:t>,</w:t>
      </w:r>
      <w:r w:rsidRPr="00F8230F">
        <w:rPr>
          <w:rFonts w:cs="Times New Roman"/>
          <w:szCs w:val="20"/>
        </w:rPr>
        <w:t xml:space="preserve"> y lograr que EE UU vuelva a liderar la innovación médica mundial</w:t>
      </w:r>
      <w:r>
        <w:rPr>
          <w:rFonts w:cs="Times New Roman"/>
          <w:szCs w:val="20"/>
        </w:rPr>
        <w:t>.</w:t>
      </w:r>
      <w:r w:rsidRPr="00F8230F">
        <w:rPr>
          <w:rFonts w:cs="Times New Roman"/>
          <w:szCs w:val="20"/>
        </w:rPr>
        <w:t xml:space="preserve"> </w:t>
      </w:r>
    </w:p>
    <w:p w14:paraId="48D2029D" w14:textId="77777777" w:rsidR="00472EFF" w:rsidRPr="000101F5" w:rsidRDefault="00472EFF" w:rsidP="00472EFF">
      <w:pPr>
        <w:rPr>
          <w:rFonts w:cs="Times New Roman"/>
          <w:szCs w:val="20"/>
        </w:rPr>
      </w:pPr>
    </w:p>
    <w:p w14:paraId="3BBB1122" w14:textId="77777777" w:rsidR="00472EFF" w:rsidRPr="000101F5" w:rsidRDefault="00472EFF" w:rsidP="00472EFF">
      <w:pPr>
        <w:rPr>
          <w:rFonts w:cs="Times New Roman"/>
          <w:szCs w:val="20"/>
        </w:rPr>
      </w:pPr>
      <w:r w:rsidRPr="000101F5">
        <w:rPr>
          <w:rFonts w:cs="Times New Roman"/>
          <w:szCs w:val="20"/>
        </w:rPr>
        <w:t>Como parte de esta iniciativa, la FDA también anunció</w:t>
      </w:r>
      <w:r>
        <w:rPr>
          <w:rFonts w:cs="Times New Roman"/>
          <w:szCs w:val="20"/>
        </w:rPr>
        <w:t xml:space="preserve"> la emisión de</w:t>
      </w:r>
      <w:r w:rsidRPr="000101F5">
        <w:rPr>
          <w:rFonts w:cs="Times New Roman"/>
          <w:szCs w:val="20"/>
        </w:rPr>
        <w:t xml:space="preserve"> un borrador de guía que ofrece recomendaciones </w:t>
      </w:r>
      <w:r w:rsidRPr="000101F5">
        <w:rPr>
          <w:rFonts w:cs="Times New Roman"/>
          <w:szCs w:val="20"/>
        </w:rPr>
        <w:t>sobre el uso apropiado de un enfoque basado en farmacología cuantitativa</w:t>
      </w:r>
      <w:r>
        <w:rPr>
          <w:rFonts w:cs="Times New Roman"/>
          <w:szCs w:val="20"/>
        </w:rPr>
        <w:t xml:space="preserve"> </w:t>
      </w:r>
      <w:r w:rsidRPr="000101F5">
        <w:rPr>
          <w:rFonts w:cs="Times New Roman"/>
          <w:szCs w:val="20"/>
        </w:rPr>
        <w:t>de sistemas (</w:t>
      </w:r>
      <w:proofErr w:type="spellStart"/>
      <w:r w:rsidRPr="002D415C">
        <w:rPr>
          <w:rFonts w:cs="Times New Roman"/>
          <w:i/>
          <w:iCs/>
          <w:szCs w:val="20"/>
        </w:rPr>
        <w:t>quantitative</w:t>
      </w:r>
      <w:proofErr w:type="spellEnd"/>
      <w:r w:rsidRPr="002D415C">
        <w:rPr>
          <w:rFonts w:cs="Times New Roman"/>
          <w:i/>
          <w:iCs/>
          <w:szCs w:val="20"/>
        </w:rPr>
        <w:t xml:space="preserve"> </w:t>
      </w:r>
      <w:proofErr w:type="spellStart"/>
      <w:r w:rsidRPr="002D415C">
        <w:rPr>
          <w:rFonts w:cs="Times New Roman"/>
          <w:i/>
          <w:iCs/>
          <w:szCs w:val="20"/>
        </w:rPr>
        <w:t>systems</w:t>
      </w:r>
      <w:proofErr w:type="spellEnd"/>
      <w:r w:rsidRPr="002D415C">
        <w:rPr>
          <w:rFonts w:cs="Times New Roman"/>
          <w:i/>
          <w:iCs/>
          <w:szCs w:val="20"/>
        </w:rPr>
        <w:t xml:space="preserve"> </w:t>
      </w:r>
      <w:proofErr w:type="spellStart"/>
      <w:r w:rsidRPr="002D415C">
        <w:rPr>
          <w:rFonts w:cs="Times New Roman"/>
          <w:i/>
          <w:iCs/>
          <w:szCs w:val="20"/>
        </w:rPr>
        <w:t>pharmacology</w:t>
      </w:r>
      <w:proofErr w:type="spellEnd"/>
      <w:r w:rsidRPr="000101F5">
        <w:rPr>
          <w:rFonts w:cs="Times New Roman"/>
          <w:szCs w:val="20"/>
        </w:rPr>
        <w:t xml:space="preserve"> </w:t>
      </w:r>
      <w:r>
        <w:rPr>
          <w:rFonts w:cs="Times New Roman"/>
          <w:szCs w:val="20"/>
        </w:rPr>
        <w:t xml:space="preserve">o </w:t>
      </w:r>
      <w:r w:rsidRPr="000101F5">
        <w:rPr>
          <w:rFonts w:cs="Times New Roman"/>
          <w:szCs w:val="20"/>
        </w:rPr>
        <w:t>QSP)</w:t>
      </w:r>
      <w:r>
        <w:rPr>
          <w:rFonts w:cs="Times New Roman"/>
          <w:szCs w:val="20"/>
        </w:rPr>
        <w:t xml:space="preserve"> cuyo</w:t>
      </w:r>
      <w:r w:rsidRPr="000101F5">
        <w:rPr>
          <w:rFonts w:cs="Times New Roman"/>
          <w:szCs w:val="20"/>
        </w:rPr>
        <w:t xml:space="preserve"> objetivo</w:t>
      </w:r>
      <w:r>
        <w:rPr>
          <w:rFonts w:cs="Times New Roman"/>
          <w:szCs w:val="20"/>
        </w:rPr>
        <w:t xml:space="preserve"> es</w:t>
      </w:r>
      <w:r w:rsidRPr="000101F5">
        <w:rPr>
          <w:rFonts w:cs="Times New Roman"/>
          <w:szCs w:val="20"/>
        </w:rPr>
        <w:t xml:space="preserve"> determinar</w:t>
      </w:r>
      <w:r>
        <w:rPr>
          <w:rFonts w:cs="Times New Roman"/>
          <w:szCs w:val="20"/>
        </w:rPr>
        <w:t>, como paso fundamental,</w:t>
      </w:r>
      <w:r w:rsidRPr="000101F5">
        <w:rPr>
          <w:rFonts w:cs="Times New Roman"/>
          <w:szCs w:val="20"/>
        </w:rPr>
        <w:t xml:space="preserve"> </w:t>
      </w:r>
      <w:r>
        <w:rPr>
          <w:rFonts w:cs="Times New Roman"/>
          <w:szCs w:val="20"/>
        </w:rPr>
        <w:t>el</w:t>
      </w:r>
      <w:r w:rsidRPr="000101F5">
        <w:rPr>
          <w:rFonts w:cs="Times New Roman"/>
          <w:szCs w:val="20"/>
        </w:rPr>
        <w:t xml:space="preserve"> nivel </w:t>
      </w:r>
      <w:r>
        <w:rPr>
          <w:rFonts w:cs="Times New Roman"/>
          <w:szCs w:val="20"/>
        </w:rPr>
        <w:t xml:space="preserve">mínimo </w:t>
      </w:r>
      <w:r w:rsidRPr="000101F5">
        <w:rPr>
          <w:rFonts w:cs="Times New Roman"/>
          <w:szCs w:val="20"/>
        </w:rPr>
        <w:t>de</w:t>
      </w:r>
      <w:r>
        <w:rPr>
          <w:rFonts w:cs="Times New Roman"/>
          <w:szCs w:val="20"/>
        </w:rPr>
        <w:t xml:space="preserve"> la dosis con la cual se obtendría el</w:t>
      </w:r>
      <w:r w:rsidRPr="000101F5">
        <w:rPr>
          <w:rFonts w:cs="Times New Roman"/>
          <w:szCs w:val="20"/>
        </w:rPr>
        <w:t xml:space="preserve"> efecto biológico anticipado (MABEL</w:t>
      </w:r>
      <w:r>
        <w:rPr>
          <w:rFonts w:cs="Times New Roman"/>
          <w:szCs w:val="20"/>
        </w:rPr>
        <w:t xml:space="preserve"> por su sigla en inglés </w:t>
      </w:r>
      <w:proofErr w:type="spellStart"/>
      <w:r w:rsidRPr="002D415C">
        <w:rPr>
          <w:rFonts w:cs="Times New Roman"/>
          <w:i/>
          <w:iCs/>
          <w:szCs w:val="20"/>
        </w:rPr>
        <w:t>minimum</w:t>
      </w:r>
      <w:proofErr w:type="spellEnd"/>
      <w:r w:rsidRPr="002D415C">
        <w:rPr>
          <w:rFonts w:cs="Times New Roman"/>
          <w:i/>
          <w:iCs/>
          <w:szCs w:val="20"/>
        </w:rPr>
        <w:t xml:space="preserve"> </w:t>
      </w:r>
      <w:proofErr w:type="spellStart"/>
      <w:r w:rsidRPr="002D415C">
        <w:rPr>
          <w:rFonts w:cs="Times New Roman"/>
          <w:i/>
          <w:iCs/>
          <w:szCs w:val="20"/>
        </w:rPr>
        <w:t>anticipated</w:t>
      </w:r>
      <w:proofErr w:type="spellEnd"/>
      <w:r w:rsidRPr="002D415C">
        <w:rPr>
          <w:rFonts w:cs="Times New Roman"/>
          <w:i/>
          <w:iCs/>
          <w:szCs w:val="20"/>
        </w:rPr>
        <w:t xml:space="preserve"> </w:t>
      </w:r>
      <w:proofErr w:type="spellStart"/>
      <w:r w:rsidRPr="002D415C">
        <w:rPr>
          <w:rFonts w:cs="Times New Roman"/>
          <w:i/>
          <w:iCs/>
          <w:szCs w:val="20"/>
        </w:rPr>
        <w:t>biological</w:t>
      </w:r>
      <w:proofErr w:type="spellEnd"/>
      <w:r w:rsidRPr="002D415C">
        <w:rPr>
          <w:rFonts w:cs="Times New Roman"/>
          <w:i/>
          <w:iCs/>
          <w:szCs w:val="20"/>
        </w:rPr>
        <w:t xml:space="preserve"> </w:t>
      </w:r>
      <w:proofErr w:type="spellStart"/>
      <w:r w:rsidRPr="002D415C">
        <w:rPr>
          <w:rFonts w:cs="Times New Roman"/>
          <w:i/>
          <w:iCs/>
          <w:szCs w:val="20"/>
        </w:rPr>
        <w:t>effect</w:t>
      </w:r>
      <w:proofErr w:type="spellEnd"/>
      <w:r w:rsidRPr="002D415C">
        <w:rPr>
          <w:rFonts w:cs="Times New Roman"/>
          <w:i/>
          <w:iCs/>
          <w:szCs w:val="20"/>
        </w:rPr>
        <w:t xml:space="preserve"> </w:t>
      </w:r>
      <w:proofErr w:type="spellStart"/>
      <w:r w:rsidRPr="002D415C">
        <w:rPr>
          <w:rFonts w:cs="Times New Roman"/>
          <w:i/>
          <w:iCs/>
          <w:szCs w:val="20"/>
        </w:rPr>
        <w:t>level</w:t>
      </w:r>
      <w:proofErr w:type="spellEnd"/>
      <w:r w:rsidRPr="000101F5">
        <w:rPr>
          <w:rFonts w:cs="Times New Roman"/>
          <w:szCs w:val="20"/>
        </w:rPr>
        <w:t xml:space="preserve">) en los ensayos de </w:t>
      </w:r>
      <w:r>
        <w:rPr>
          <w:rFonts w:cs="Times New Roman"/>
          <w:szCs w:val="20"/>
        </w:rPr>
        <w:t>F</w:t>
      </w:r>
      <w:r w:rsidRPr="000101F5">
        <w:rPr>
          <w:rFonts w:cs="Times New Roman"/>
          <w:szCs w:val="20"/>
        </w:rPr>
        <w:t>ase 1.</w:t>
      </w:r>
    </w:p>
    <w:p w14:paraId="128D25DD" w14:textId="77777777" w:rsidR="00472EFF" w:rsidRPr="000101F5" w:rsidRDefault="00472EFF" w:rsidP="00472EFF">
      <w:pPr>
        <w:rPr>
          <w:rFonts w:cs="Times New Roman"/>
          <w:szCs w:val="20"/>
        </w:rPr>
      </w:pPr>
    </w:p>
    <w:p w14:paraId="4BF240F6" w14:textId="77777777" w:rsidR="00472EFF" w:rsidRDefault="00472EFF" w:rsidP="00472EFF">
      <w:pPr>
        <w:rPr>
          <w:rFonts w:cs="Times New Roman"/>
          <w:szCs w:val="20"/>
        </w:rPr>
      </w:pPr>
      <w:r>
        <w:rPr>
          <w:rFonts w:cs="Times New Roman"/>
          <w:szCs w:val="20"/>
        </w:rPr>
        <w:t xml:space="preserve">La </w:t>
      </w:r>
      <w:r w:rsidRPr="000101F5">
        <w:rPr>
          <w:rFonts w:cs="Times New Roman"/>
          <w:szCs w:val="20"/>
        </w:rPr>
        <w:t>farmacología cuantitativa</w:t>
      </w:r>
      <w:r>
        <w:rPr>
          <w:rFonts w:cs="Times New Roman"/>
          <w:szCs w:val="20"/>
        </w:rPr>
        <w:t xml:space="preserve"> </w:t>
      </w:r>
      <w:r w:rsidRPr="000101F5">
        <w:rPr>
          <w:rFonts w:cs="Times New Roman"/>
          <w:szCs w:val="20"/>
        </w:rPr>
        <w:t xml:space="preserve">de sistemas </w:t>
      </w:r>
      <w:r>
        <w:rPr>
          <w:rFonts w:cs="Times New Roman"/>
          <w:szCs w:val="20"/>
        </w:rPr>
        <w:t>(</w:t>
      </w:r>
      <w:r w:rsidRPr="000101F5">
        <w:rPr>
          <w:rFonts w:cs="Times New Roman"/>
          <w:szCs w:val="20"/>
        </w:rPr>
        <w:t>QSP</w:t>
      </w:r>
      <w:r>
        <w:rPr>
          <w:rFonts w:cs="Times New Roman"/>
          <w:szCs w:val="20"/>
        </w:rPr>
        <w:t>)</w:t>
      </w:r>
      <w:r w:rsidRPr="000101F5">
        <w:rPr>
          <w:rFonts w:cs="Times New Roman"/>
          <w:szCs w:val="20"/>
        </w:rPr>
        <w:t xml:space="preserve"> se ha consolidado como una herramienta para modelar la progresión de la enfermedad y las complejas interacciones</w:t>
      </w:r>
      <w:r>
        <w:rPr>
          <w:rFonts w:cs="Times New Roman"/>
          <w:szCs w:val="20"/>
        </w:rPr>
        <w:t xml:space="preserve"> </w:t>
      </w:r>
      <w:r w:rsidRPr="000101F5">
        <w:rPr>
          <w:rFonts w:cs="Times New Roman"/>
          <w:szCs w:val="20"/>
        </w:rPr>
        <w:t xml:space="preserve">entre </w:t>
      </w:r>
      <w:r>
        <w:rPr>
          <w:rFonts w:cs="Times New Roman"/>
          <w:szCs w:val="20"/>
        </w:rPr>
        <w:t xml:space="preserve">los </w:t>
      </w:r>
      <w:r w:rsidRPr="000101F5">
        <w:rPr>
          <w:rFonts w:cs="Times New Roman"/>
          <w:szCs w:val="20"/>
        </w:rPr>
        <w:t xml:space="preserve">fármacos y </w:t>
      </w:r>
      <w:r>
        <w:rPr>
          <w:rFonts w:cs="Times New Roman"/>
          <w:szCs w:val="20"/>
        </w:rPr>
        <w:t xml:space="preserve">los </w:t>
      </w:r>
      <w:r w:rsidRPr="000101F5">
        <w:rPr>
          <w:rFonts w:cs="Times New Roman"/>
          <w:szCs w:val="20"/>
        </w:rPr>
        <w:t>sistemas biológicos</w:t>
      </w:r>
      <w:r>
        <w:rPr>
          <w:rFonts w:cs="Times New Roman"/>
          <w:szCs w:val="20"/>
        </w:rPr>
        <w:t>, e</w:t>
      </w:r>
      <w:r w:rsidRPr="000101F5">
        <w:rPr>
          <w:rFonts w:cs="Times New Roman"/>
          <w:szCs w:val="20"/>
        </w:rPr>
        <w:t xml:space="preserve"> integra la comprensión de los sistemas biológicos y la respuesta a la exposición a un fármaco</w:t>
      </w:r>
      <w:r>
        <w:rPr>
          <w:rFonts w:cs="Times New Roman"/>
          <w:szCs w:val="20"/>
        </w:rPr>
        <w:t>. La fecha límite para presentar comentarios es el 24 de julio.</w:t>
      </w:r>
    </w:p>
    <w:p w14:paraId="27B3079E" w14:textId="77777777" w:rsidR="00472EFF" w:rsidRDefault="00472EFF" w:rsidP="00472EFF">
      <w:pPr>
        <w:rPr>
          <w:rFonts w:cs="Times New Roman"/>
          <w:szCs w:val="20"/>
        </w:rPr>
      </w:pPr>
    </w:p>
    <w:p w14:paraId="1A38019B" w14:textId="77777777" w:rsidR="00472EFF" w:rsidRDefault="00472EFF" w:rsidP="00472EFF">
      <w:pPr>
        <w:rPr>
          <w:rFonts w:cs="Times New Roman"/>
          <w:szCs w:val="20"/>
        </w:rPr>
      </w:pPr>
      <w:r w:rsidRPr="00F8230F">
        <w:rPr>
          <w:rFonts w:cs="Times New Roman"/>
          <w:szCs w:val="20"/>
        </w:rPr>
        <w:t>El lanzamiento del programa incluye una nueva página web llamada "Navegador de IND de Fase 1" que proporciona las herramientas y l</w:t>
      </w:r>
      <w:r>
        <w:rPr>
          <w:rFonts w:cs="Times New Roman"/>
          <w:szCs w:val="20"/>
        </w:rPr>
        <w:t>as orientaciones</w:t>
      </w:r>
      <w:r w:rsidRPr="00F8230F">
        <w:rPr>
          <w:rFonts w:cs="Times New Roman"/>
          <w:szCs w:val="20"/>
        </w:rPr>
        <w:t xml:space="preserve"> necesarias para preparar y presentar una IND al Centro de Evaluación e Investigación de Medicamentos (CDER) y al Centro de Evaluación e Investigación de Productos Biológicos (CBER) de la FDA.</w:t>
      </w:r>
    </w:p>
    <w:p w14:paraId="71A25C8A" w14:textId="77777777" w:rsidR="00472EFF" w:rsidRDefault="00472EFF" w:rsidP="00472EFF">
      <w:pPr>
        <w:rPr>
          <w:rFonts w:cs="Times New Roman"/>
          <w:szCs w:val="20"/>
        </w:rPr>
      </w:pPr>
    </w:p>
    <w:p w14:paraId="7CC5140A" w14:textId="77777777" w:rsidR="00472EFF" w:rsidRPr="008047C3" w:rsidRDefault="00472EFF" w:rsidP="00472EFF">
      <w:pPr>
        <w:rPr>
          <w:rFonts w:cs="Times New Roman"/>
          <w:szCs w:val="20"/>
        </w:rPr>
      </w:pPr>
      <w:r w:rsidRPr="00F8230F">
        <w:rPr>
          <w:rFonts w:cs="Times New Roman"/>
          <w:szCs w:val="20"/>
        </w:rPr>
        <w:t xml:space="preserve">La agencia también lanzó una nueva página web sobre solicitudes de IND para investigaciones clínicas: información de Química, Fabricación y Control (CMC). </w:t>
      </w:r>
      <w:r>
        <w:rPr>
          <w:rFonts w:cs="Times New Roman"/>
          <w:szCs w:val="20"/>
        </w:rPr>
        <w:t>Esta</w:t>
      </w:r>
      <w:r w:rsidRPr="00F8230F">
        <w:rPr>
          <w:rFonts w:cs="Times New Roman"/>
          <w:szCs w:val="20"/>
        </w:rPr>
        <w:t xml:space="preserve"> actualización aclara los requisitos de CMC específicos para</w:t>
      </w:r>
      <w:r>
        <w:rPr>
          <w:rFonts w:cs="Times New Roman"/>
          <w:szCs w:val="20"/>
        </w:rPr>
        <w:t xml:space="preserve"> </w:t>
      </w:r>
      <w:r w:rsidRPr="00F8230F">
        <w:rPr>
          <w:rFonts w:cs="Times New Roman"/>
          <w:szCs w:val="20"/>
        </w:rPr>
        <w:t xml:space="preserve">las solicitudes de IND de Fase 1 </w:t>
      </w:r>
      <w:r>
        <w:rPr>
          <w:rFonts w:cs="Times New Roman"/>
          <w:szCs w:val="20"/>
        </w:rPr>
        <w:t>que utilicen por primera vez una nueva molécula en humanos</w:t>
      </w:r>
      <w:r w:rsidRPr="00F8230F">
        <w:rPr>
          <w:rFonts w:cs="Times New Roman"/>
          <w:szCs w:val="20"/>
        </w:rPr>
        <w:t>, garantizando que las empresas generen y presenten únicamente los datos esenciales.</w:t>
      </w:r>
    </w:p>
    <w:p w14:paraId="2F9EB1DB" w14:textId="77777777" w:rsidR="00472EFF" w:rsidRPr="000101F5" w:rsidRDefault="00472EFF" w:rsidP="00472EFF">
      <w:pPr>
        <w:rPr>
          <w:rFonts w:cs="Times New Roman"/>
          <w:szCs w:val="20"/>
        </w:rPr>
      </w:pPr>
    </w:p>
    <w:p w14:paraId="7619D986" w14:textId="77777777" w:rsidR="00472EFF" w:rsidRDefault="00472EFF" w:rsidP="00472EFF">
      <w:pPr>
        <w:rPr>
          <w:rFonts w:cs="Times New Roman"/>
          <w:szCs w:val="20"/>
        </w:rPr>
      </w:pPr>
      <w:r w:rsidRPr="000101F5">
        <w:rPr>
          <w:rFonts w:cs="Times New Roman"/>
          <w:szCs w:val="20"/>
        </w:rPr>
        <w:t xml:space="preserve">La </w:t>
      </w:r>
      <w:r>
        <w:rPr>
          <w:rFonts w:cs="Times New Roman"/>
          <w:szCs w:val="20"/>
        </w:rPr>
        <w:t>FDA también</w:t>
      </w:r>
      <w:r w:rsidRPr="000101F5">
        <w:rPr>
          <w:rFonts w:cs="Times New Roman"/>
          <w:szCs w:val="20"/>
        </w:rPr>
        <w:t xml:space="preserve"> actualiz</w:t>
      </w:r>
      <w:r>
        <w:rPr>
          <w:rFonts w:cs="Times New Roman"/>
          <w:szCs w:val="20"/>
        </w:rPr>
        <w:t>ó</w:t>
      </w:r>
      <w:r w:rsidRPr="000101F5">
        <w:rPr>
          <w:rFonts w:cs="Times New Roman"/>
          <w:szCs w:val="20"/>
        </w:rPr>
        <w:t xml:space="preserve"> </w:t>
      </w:r>
      <w:r>
        <w:rPr>
          <w:rFonts w:cs="Times New Roman"/>
          <w:szCs w:val="20"/>
        </w:rPr>
        <w:t>el</w:t>
      </w:r>
      <w:r w:rsidRPr="000101F5">
        <w:rPr>
          <w:rFonts w:cs="Times New Roman"/>
          <w:szCs w:val="20"/>
        </w:rPr>
        <w:t xml:space="preserve"> borrador sobre protocolos maestros para incluir información sobre un tipo de </w:t>
      </w:r>
      <w:r>
        <w:rPr>
          <w:rFonts w:cs="Times New Roman"/>
          <w:szCs w:val="20"/>
        </w:rPr>
        <w:t>ensayos</w:t>
      </w:r>
      <w:r w:rsidRPr="000101F5">
        <w:rPr>
          <w:rFonts w:cs="Times New Roman"/>
          <w:szCs w:val="20"/>
        </w:rPr>
        <w:t xml:space="preserve"> </w:t>
      </w:r>
      <w:r>
        <w:rPr>
          <w:rFonts w:cs="Times New Roman"/>
          <w:szCs w:val="20"/>
        </w:rPr>
        <w:t xml:space="preserve">(llamados </w:t>
      </w:r>
      <w:proofErr w:type="spellStart"/>
      <w:r>
        <w:rPr>
          <w:rFonts w:cs="Times New Roman"/>
          <w:szCs w:val="20"/>
        </w:rPr>
        <w:t>basket</w:t>
      </w:r>
      <w:proofErr w:type="spellEnd"/>
      <w:r>
        <w:rPr>
          <w:rFonts w:cs="Times New Roman"/>
          <w:szCs w:val="20"/>
        </w:rPr>
        <w:t xml:space="preserve">) </w:t>
      </w:r>
      <w:r w:rsidRPr="000101F5">
        <w:rPr>
          <w:rFonts w:cs="Times New Roman"/>
          <w:szCs w:val="20"/>
        </w:rPr>
        <w:t>que evalúa</w:t>
      </w:r>
      <w:r>
        <w:rPr>
          <w:rFonts w:cs="Times New Roman"/>
          <w:szCs w:val="20"/>
        </w:rPr>
        <w:t>n</w:t>
      </w:r>
      <w:r w:rsidRPr="000101F5">
        <w:rPr>
          <w:rFonts w:cs="Times New Roman"/>
          <w:szCs w:val="20"/>
        </w:rPr>
        <w:t xml:space="preserve"> un fármaco en múltiples enfermedades, afecciones o subtipos de enfermedades</w:t>
      </w:r>
      <w:r>
        <w:rPr>
          <w:rFonts w:cs="Times New Roman"/>
          <w:szCs w:val="20"/>
        </w:rPr>
        <w:t>.</w:t>
      </w:r>
    </w:p>
    <w:p w14:paraId="58BAE802" w14:textId="77777777" w:rsidR="00472EFF" w:rsidRDefault="00472EFF" w:rsidP="00472EFF">
      <w:pPr>
        <w:rPr>
          <w:rFonts w:cs="Times New Roman"/>
          <w:szCs w:val="20"/>
        </w:rPr>
      </w:pPr>
    </w:p>
    <w:p w14:paraId="15637829" w14:textId="77777777" w:rsidR="00472EFF" w:rsidRDefault="00472EFF" w:rsidP="00472EFF">
      <w:pPr>
        <w:rPr>
          <w:rFonts w:cs="Times New Roman"/>
          <w:szCs w:val="20"/>
        </w:rPr>
      </w:pPr>
      <w:r>
        <w:rPr>
          <w:rFonts w:cs="Times New Roman"/>
          <w:szCs w:val="20"/>
        </w:rPr>
        <w:t>El</w:t>
      </w:r>
      <w:r w:rsidRPr="008047C3">
        <w:rPr>
          <w:rFonts w:cs="Times New Roman"/>
          <w:szCs w:val="20"/>
        </w:rPr>
        <w:t xml:space="preserve"> nuevo centro de atención telefónica para ensayos de Fase 1</w:t>
      </w:r>
      <w:r>
        <w:rPr>
          <w:rFonts w:cs="Times New Roman"/>
          <w:szCs w:val="20"/>
        </w:rPr>
        <w:t xml:space="preserve"> </w:t>
      </w:r>
      <w:proofErr w:type="spellStart"/>
      <w:r>
        <w:rPr>
          <w:rFonts w:cs="Times New Roman"/>
          <w:szCs w:val="20"/>
        </w:rPr>
        <w:t>nunciado</w:t>
      </w:r>
      <w:proofErr w:type="spellEnd"/>
      <w:r>
        <w:rPr>
          <w:rFonts w:cs="Times New Roman"/>
          <w:szCs w:val="20"/>
        </w:rPr>
        <w:t xml:space="preserve"> por la FDA</w:t>
      </w:r>
      <w:r w:rsidRPr="008047C3">
        <w:rPr>
          <w:rFonts w:cs="Times New Roman"/>
          <w:szCs w:val="20"/>
        </w:rPr>
        <w:t xml:space="preserve"> puede </w:t>
      </w:r>
      <w:r>
        <w:rPr>
          <w:rFonts w:cs="Times New Roman"/>
          <w:szCs w:val="20"/>
        </w:rPr>
        <w:t xml:space="preserve">ser </w:t>
      </w:r>
      <w:r w:rsidRPr="008047C3">
        <w:rPr>
          <w:rFonts w:cs="Times New Roman"/>
          <w:szCs w:val="20"/>
        </w:rPr>
        <w:t>contacta</w:t>
      </w:r>
      <w:r>
        <w:rPr>
          <w:rFonts w:cs="Times New Roman"/>
          <w:szCs w:val="20"/>
        </w:rPr>
        <w:t>do</w:t>
      </w:r>
      <w:r w:rsidRPr="008047C3">
        <w:rPr>
          <w:rFonts w:cs="Times New Roman"/>
          <w:szCs w:val="20"/>
        </w:rPr>
        <w:t xml:space="preserve"> llamando al 240-276-9358 o escribiendo a Phase1Questions@fda.hhs.gov.</w:t>
      </w:r>
    </w:p>
    <w:p w14:paraId="240571CC" w14:textId="77777777" w:rsidR="00472EFF" w:rsidRDefault="00472EFF" w:rsidP="00472EFF">
      <w:pPr>
        <w:rPr>
          <w:rFonts w:cs="Times New Roman"/>
          <w:szCs w:val="20"/>
        </w:rPr>
      </w:pPr>
    </w:p>
    <w:p w14:paraId="7D3B88DD" w14:textId="77777777" w:rsidR="00140BE1" w:rsidRDefault="00472EFF" w:rsidP="00472EFF">
      <w:pPr>
        <w:rPr>
          <w:rFonts w:cs="Times New Roman"/>
          <w:szCs w:val="20"/>
        </w:rPr>
      </w:pPr>
      <w:r w:rsidRPr="000101F5">
        <w:rPr>
          <w:rFonts w:cs="Times New Roman"/>
          <w:b/>
          <w:bCs/>
          <w:szCs w:val="20"/>
        </w:rPr>
        <w:t>Nota de Salud y Fármacos:</w:t>
      </w:r>
      <w:r>
        <w:rPr>
          <w:rFonts w:cs="Times New Roman"/>
          <w:szCs w:val="20"/>
        </w:rPr>
        <w:t xml:space="preserve"> </w:t>
      </w:r>
    </w:p>
    <w:p w14:paraId="7FEB5BB9" w14:textId="02A13359" w:rsidR="00472EFF" w:rsidRPr="000101F5" w:rsidRDefault="00472EFF" w:rsidP="00472EFF">
      <w:pPr>
        <w:rPr>
          <w:rFonts w:cs="Times New Roman"/>
          <w:i/>
          <w:iCs/>
          <w:szCs w:val="20"/>
        </w:rPr>
      </w:pPr>
      <w:r>
        <w:rPr>
          <w:rFonts w:cs="Times New Roman"/>
          <w:szCs w:val="20"/>
        </w:rPr>
        <w:t xml:space="preserve">Descargue aquí el borrador de la guía en inglés: </w:t>
      </w:r>
      <w:proofErr w:type="spellStart"/>
      <w:r w:rsidRPr="00093246">
        <w:rPr>
          <w:rFonts w:cs="Times New Roman"/>
          <w:i/>
          <w:iCs/>
          <w:szCs w:val="20"/>
        </w:rPr>
        <w:t>Demonstrating</w:t>
      </w:r>
      <w:proofErr w:type="spellEnd"/>
      <w:r w:rsidRPr="00093246">
        <w:rPr>
          <w:rFonts w:cs="Times New Roman"/>
          <w:i/>
          <w:iCs/>
          <w:szCs w:val="20"/>
        </w:rPr>
        <w:t xml:space="preserve"> </w:t>
      </w:r>
      <w:proofErr w:type="spellStart"/>
      <w:r w:rsidRPr="00093246">
        <w:rPr>
          <w:rFonts w:cs="Times New Roman"/>
          <w:i/>
          <w:iCs/>
          <w:szCs w:val="20"/>
        </w:rPr>
        <w:t>Substantial</w:t>
      </w:r>
      <w:proofErr w:type="spellEnd"/>
      <w:r w:rsidRPr="00093246">
        <w:rPr>
          <w:rFonts w:cs="Times New Roman"/>
          <w:i/>
          <w:iCs/>
          <w:szCs w:val="20"/>
        </w:rPr>
        <w:t xml:space="preserve"> </w:t>
      </w:r>
      <w:proofErr w:type="spellStart"/>
      <w:r w:rsidRPr="00093246">
        <w:rPr>
          <w:rFonts w:cs="Times New Roman"/>
          <w:i/>
          <w:iCs/>
          <w:szCs w:val="20"/>
        </w:rPr>
        <w:t>Evidence</w:t>
      </w:r>
      <w:proofErr w:type="spellEnd"/>
      <w:r w:rsidRPr="00093246">
        <w:rPr>
          <w:rFonts w:cs="Times New Roman"/>
          <w:i/>
          <w:iCs/>
          <w:szCs w:val="20"/>
        </w:rPr>
        <w:t xml:space="preserve"> of </w:t>
      </w:r>
      <w:proofErr w:type="spellStart"/>
      <w:r w:rsidRPr="00093246">
        <w:rPr>
          <w:rFonts w:cs="Times New Roman"/>
          <w:i/>
          <w:iCs/>
          <w:szCs w:val="20"/>
        </w:rPr>
        <w:t>Effectiveness</w:t>
      </w:r>
      <w:proofErr w:type="spellEnd"/>
      <w:r w:rsidRPr="00093246">
        <w:rPr>
          <w:rFonts w:cs="Times New Roman"/>
          <w:i/>
          <w:iCs/>
          <w:szCs w:val="20"/>
        </w:rPr>
        <w:t xml:space="preserve"> for Human </w:t>
      </w:r>
      <w:proofErr w:type="spellStart"/>
      <w:r w:rsidRPr="00093246">
        <w:rPr>
          <w:rFonts w:cs="Times New Roman"/>
          <w:i/>
          <w:iCs/>
          <w:szCs w:val="20"/>
        </w:rPr>
        <w:t>Drug</w:t>
      </w:r>
      <w:proofErr w:type="spellEnd"/>
      <w:r w:rsidRPr="00093246">
        <w:rPr>
          <w:rFonts w:cs="Times New Roman"/>
          <w:i/>
          <w:iCs/>
          <w:szCs w:val="20"/>
        </w:rPr>
        <w:t xml:space="preserve"> and </w:t>
      </w:r>
      <w:proofErr w:type="spellStart"/>
      <w:r w:rsidRPr="00093246">
        <w:rPr>
          <w:rFonts w:cs="Times New Roman"/>
          <w:i/>
          <w:iCs/>
          <w:szCs w:val="20"/>
        </w:rPr>
        <w:t>Biological</w:t>
      </w:r>
      <w:proofErr w:type="spellEnd"/>
      <w:r w:rsidRPr="00093246">
        <w:rPr>
          <w:rFonts w:cs="Times New Roman"/>
          <w:i/>
          <w:iCs/>
          <w:szCs w:val="20"/>
        </w:rPr>
        <w:t xml:space="preserve"> </w:t>
      </w:r>
      <w:proofErr w:type="spellStart"/>
      <w:r w:rsidRPr="00093246">
        <w:rPr>
          <w:rFonts w:cs="Times New Roman"/>
          <w:i/>
          <w:iCs/>
          <w:szCs w:val="20"/>
        </w:rPr>
        <w:t>Products</w:t>
      </w:r>
      <w:proofErr w:type="spellEnd"/>
      <w:r>
        <w:rPr>
          <w:rFonts w:cs="Times New Roman"/>
          <w:i/>
          <w:iCs/>
          <w:szCs w:val="20"/>
        </w:rPr>
        <w:t xml:space="preserve"> </w:t>
      </w:r>
      <w:hyperlink r:id="rId91" w:history="1">
        <w:r w:rsidRPr="00093246">
          <w:rPr>
            <w:rStyle w:val="Hipervnculo"/>
            <w:rFonts w:cs="Times New Roman"/>
            <w:szCs w:val="20"/>
          </w:rPr>
          <w:t>https://www.fda.gov/regulatory-information/search-fda-guidance-documents/demonstrating-substantial-evidence-effectiveness-human-drug-and-biological-products</w:t>
        </w:r>
      </w:hyperlink>
    </w:p>
    <w:p w14:paraId="032AC664" w14:textId="77777777" w:rsidR="00472EFF" w:rsidRPr="00741B59" w:rsidRDefault="00472EFF" w:rsidP="00472EFF">
      <w:pPr>
        <w:rPr>
          <w:rFonts w:cs="Times New Roman"/>
          <w:b/>
          <w:bCs/>
          <w:szCs w:val="20"/>
        </w:rPr>
      </w:pPr>
    </w:p>
    <w:p w14:paraId="1B099950" w14:textId="77777777" w:rsidR="00472EFF" w:rsidRPr="00E320B5" w:rsidRDefault="00472EFF" w:rsidP="00472EFF">
      <w:pPr>
        <w:rPr>
          <w:rFonts w:cs="Times New Roman"/>
          <w:b/>
          <w:bCs/>
          <w:sz w:val="18"/>
          <w:szCs w:val="18"/>
          <w:lang w:val="en-US"/>
        </w:rPr>
      </w:pPr>
      <w:r w:rsidRPr="00E320B5">
        <w:rPr>
          <w:rFonts w:cs="Times New Roman"/>
          <w:b/>
          <w:bCs/>
          <w:sz w:val="18"/>
          <w:szCs w:val="18"/>
          <w:lang w:val="en-US"/>
        </w:rPr>
        <w:t>Fuente original:</w:t>
      </w:r>
    </w:p>
    <w:p w14:paraId="5A4B4145" w14:textId="77777777" w:rsidR="00472EFF" w:rsidRPr="00E320B5" w:rsidRDefault="00472EFF" w:rsidP="00472EFF">
      <w:pPr>
        <w:ind w:left="180" w:hanging="180"/>
        <w:rPr>
          <w:rFonts w:cs="Times New Roman"/>
          <w:sz w:val="18"/>
          <w:szCs w:val="18"/>
        </w:rPr>
      </w:pPr>
      <w:r w:rsidRPr="00E320B5">
        <w:rPr>
          <w:rFonts w:cs="Times New Roman"/>
          <w:sz w:val="18"/>
          <w:szCs w:val="18"/>
          <w:lang w:val="en-US"/>
        </w:rPr>
        <w:t xml:space="preserve">1.Eglovitch, J. HHS and FDA propose clinical trial reforms to expedite drug development. </w:t>
      </w:r>
      <w:proofErr w:type="spellStart"/>
      <w:r w:rsidRPr="00E320B5">
        <w:rPr>
          <w:rFonts w:cs="Times New Roman"/>
          <w:i/>
          <w:iCs/>
          <w:sz w:val="18"/>
          <w:szCs w:val="18"/>
        </w:rPr>
        <w:t>Regulatory</w:t>
      </w:r>
      <w:proofErr w:type="spellEnd"/>
      <w:r w:rsidRPr="00E320B5">
        <w:rPr>
          <w:rFonts w:cs="Times New Roman"/>
          <w:i/>
          <w:iCs/>
          <w:sz w:val="18"/>
          <w:szCs w:val="18"/>
        </w:rPr>
        <w:t xml:space="preserve"> News,</w:t>
      </w:r>
      <w:r w:rsidRPr="00E320B5">
        <w:rPr>
          <w:rFonts w:cs="Times New Roman"/>
          <w:sz w:val="18"/>
          <w:szCs w:val="18"/>
        </w:rPr>
        <w:t xml:space="preserve"> 23 de junio de 2026 </w:t>
      </w:r>
      <w:hyperlink r:id="rId92" w:history="1">
        <w:r w:rsidRPr="00E320B5">
          <w:rPr>
            <w:rStyle w:val="Hipervnculo"/>
            <w:rFonts w:cs="Times New Roman"/>
            <w:sz w:val="18"/>
            <w:szCs w:val="18"/>
          </w:rPr>
          <w:t>https://www.raps.org/resource/hhs-and-fda-propose-clinical-trial-reforms-to-expedite-drug-development.html</w:t>
        </w:r>
      </w:hyperlink>
    </w:p>
    <w:bookmarkEnd w:id="5"/>
    <w:p w14:paraId="6CA9F9C4" w14:textId="77777777" w:rsidR="00140BE1" w:rsidRDefault="00140BE1" w:rsidP="004D63D3">
      <w:pPr>
        <w:jc w:val="center"/>
        <w:rPr>
          <w:rFonts w:eastAsia="Times New Roman" w:cs="Times New Roman"/>
          <w:color w:val="0D0D0D" w:themeColor="text1" w:themeTint="F2"/>
          <w:szCs w:val="20"/>
        </w:rPr>
        <w:sectPr w:rsidR="00140BE1" w:rsidSect="00140BE1">
          <w:type w:val="continuous"/>
          <w:pgSz w:w="12240" w:h="15840" w:code="1"/>
          <w:pgMar w:top="720" w:right="720" w:bottom="720" w:left="720" w:header="288" w:footer="288" w:gutter="0"/>
          <w:cols w:num="2" w:space="288"/>
          <w:docGrid w:linePitch="360"/>
        </w:sectPr>
      </w:pPr>
    </w:p>
    <w:p w14:paraId="79DEF94E" w14:textId="653CE855" w:rsidR="00472EFF" w:rsidRDefault="00472EFF" w:rsidP="004D63D3">
      <w:pPr>
        <w:jc w:val="center"/>
        <w:rPr>
          <w:rFonts w:eastAsia="Times New Roman" w:cs="Times New Roman"/>
          <w:color w:val="0D0D0D" w:themeColor="text1" w:themeTint="F2"/>
          <w:szCs w:val="20"/>
        </w:rPr>
      </w:pPr>
    </w:p>
    <w:p w14:paraId="32C6A961" w14:textId="4FDFBBD4" w:rsidR="00472EFF" w:rsidRDefault="00472EFF" w:rsidP="004D63D3">
      <w:pPr>
        <w:jc w:val="center"/>
        <w:rPr>
          <w:rFonts w:eastAsia="Times New Roman" w:cs="Times New Roman"/>
          <w:color w:val="0D0D0D" w:themeColor="text1" w:themeTint="F2"/>
          <w:szCs w:val="20"/>
        </w:rPr>
      </w:pPr>
    </w:p>
    <w:p w14:paraId="553595F2" w14:textId="03C64E44" w:rsidR="00140BE1" w:rsidRDefault="00140BE1" w:rsidP="004D63D3">
      <w:pPr>
        <w:jc w:val="center"/>
        <w:rPr>
          <w:rFonts w:eastAsia="Times New Roman" w:cs="Times New Roman"/>
          <w:color w:val="0D0D0D" w:themeColor="text1" w:themeTint="F2"/>
          <w:szCs w:val="20"/>
        </w:rPr>
      </w:pPr>
    </w:p>
    <w:p w14:paraId="69B54903" w14:textId="6ABEEEC6" w:rsidR="00140BE1" w:rsidRDefault="00140BE1" w:rsidP="004D63D3">
      <w:pPr>
        <w:jc w:val="center"/>
        <w:rPr>
          <w:rFonts w:eastAsia="Times New Roman" w:cs="Times New Roman"/>
          <w:color w:val="0D0D0D" w:themeColor="text1" w:themeTint="F2"/>
          <w:szCs w:val="20"/>
        </w:rPr>
      </w:pPr>
    </w:p>
    <w:p w14:paraId="39DB1758" w14:textId="251B56A6" w:rsidR="00140BE1" w:rsidRDefault="00140BE1" w:rsidP="004D63D3">
      <w:pPr>
        <w:jc w:val="center"/>
        <w:rPr>
          <w:rFonts w:eastAsia="Times New Roman" w:cs="Times New Roman"/>
          <w:color w:val="0D0D0D" w:themeColor="text1" w:themeTint="F2"/>
          <w:szCs w:val="20"/>
        </w:rPr>
      </w:pPr>
    </w:p>
    <w:p w14:paraId="75F2E752" w14:textId="6FFE7494" w:rsidR="00140BE1" w:rsidRDefault="00140BE1" w:rsidP="004D63D3">
      <w:pPr>
        <w:jc w:val="center"/>
        <w:rPr>
          <w:rFonts w:eastAsia="Times New Roman" w:cs="Times New Roman"/>
          <w:color w:val="0D0D0D" w:themeColor="text1" w:themeTint="F2"/>
          <w:szCs w:val="20"/>
        </w:rPr>
      </w:pPr>
    </w:p>
    <w:p w14:paraId="0FCB5112" w14:textId="77777777" w:rsidR="00140BE1" w:rsidRDefault="00140BE1" w:rsidP="004D63D3">
      <w:pPr>
        <w:jc w:val="center"/>
        <w:rPr>
          <w:rFonts w:eastAsia="Times New Roman" w:cs="Times New Roman"/>
          <w:color w:val="0D0D0D" w:themeColor="text1" w:themeTint="F2"/>
          <w:szCs w:val="20"/>
        </w:rPr>
      </w:pPr>
    </w:p>
    <w:p w14:paraId="700CECF3" w14:textId="77777777" w:rsidR="00472EFF" w:rsidRPr="001976EE" w:rsidRDefault="00472EFF" w:rsidP="00472EFF">
      <w:pPr>
        <w:jc w:val="center"/>
        <w:rPr>
          <w:b/>
          <w:bCs/>
        </w:rPr>
      </w:pPr>
      <w:r w:rsidRPr="001976EE">
        <w:rPr>
          <w:rFonts w:eastAsia="Times New Roman" w:cs="Times New Roman"/>
          <w:color w:val="0D0D0D" w:themeColor="text1" w:themeTint="F2"/>
          <w:szCs w:val="20"/>
        </w:rPr>
        <w:lastRenderedPageBreak/>
        <w:t xml:space="preserve">EE UU. </w:t>
      </w:r>
      <w:r w:rsidRPr="00EA71DA">
        <w:rPr>
          <w:b/>
          <w:bCs/>
        </w:rPr>
        <w:t>La FDA aclara los objetivos del Programa piloto basado en Inteligencia Artificial para los ensayos Fase I</w:t>
      </w:r>
      <w:r w:rsidRPr="001976EE">
        <w:rPr>
          <w:b/>
          <w:bCs/>
        </w:rPr>
        <w:t xml:space="preserve"> </w:t>
      </w:r>
    </w:p>
    <w:p w14:paraId="3AEB1FBD" w14:textId="10355AC0" w:rsidR="00472EFF" w:rsidRPr="00E7580F" w:rsidRDefault="00472EFF" w:rsidP="00472EFF">
      <w:pPr>
        <w:jc w:val="center"/>
        <w:rPr>
          <w:rFonts w:eastAsia="Times New Roman" w:cs="Times New Roman"/>
          <w:color w:val="0D0D0D" w:themeColor="text1" w:themeTint="F2"/>
          <w:szCs w:val="20"/>
          <w:highlight w:val="cyan"/>
        </w:rPr>
      </w:pPr>
      <w:r w:rsidRPr="001976EE">
        <w:rPr>
          <w:rFonts w:eastAsia="Times New Roman" w:cs="Times New Roman"/>
          <w:color w:val="0D0D0D" w:themeColor="text1" w:themeTint="F2"/>
          <w:szCs w:val="20"/>
        </w:rPr>
        <w:t>Salud y Fármacos</w:t>
      </w:r>
    </w:p>
    <w:p w14:paraId="692D5A11" w14:textId="77777777" w:rsidR="00472EFF" w:rsidRDefault="00472EFF" w:rsidP="00472EFF">
      <w:pPr>
        <w:jc w:val="center"/>
        <w:rPr>
          <w:i/>
          <w:iCs/>
          <w:szCs w:val="20"/>
        </w:rPr>
      </w:pPr>
      <w:r w:rsidRPr="001976EE">
        <w:rPr>
          <w:i/>
          <w:iCs/>
          <w:szCs w:val="20"/>
        </w:rPr>
        <w:t xml:space="preserve">Boletín Fármacos: </w:t>
      </w:r>
      <w:r>
        <w:rPr>
          <w:i/>
          <w:iCs/>
          <w:szCs w:val="20"/>
        </w:rPr>
        <w:t>Agencia</w:t>
      </w:r>
      <w:r w:rsidRPr="001976EE">
        <w:rPr>
          <w:i/>
          <w:iCs/>
          <w:szCs w:val="20"/>
        </w:rPr>
        <w:t>s</w:t>
      </w:r>
      <w:r>
        <w:rPr>
          <w:i/>
          <w:iCs/>
          <w:szCs w:val="20"/>
        </w:rPr>
        <w:t xml:space="preserve"> Reguladoras</w:t>
      </w:r>
      <w:r w:rsidRPr="001976EE">
        <w:rPr>
          <w:i/>
          <w:iCs/>
          <w:szCs w:val="20"/>
        </w:rPr>
        <w:t xml:space="preserve"> 2026; 29(3)</w:t>
      </w:r>
    </w:p>
    <w:p w14:paraId="0BE5382A" w14:textId="77777777" w:rsidR="00472EFF" w:rsidRDefault="00472EFF" w:rsidP="00472EFF">
      <w:pPr>
        <w:jc w:val="center"/>
        <w:rPr>
          <w:i/>
          <w:iCs/>
          <w:szCs w:val="20"/>
        </w:rPr>
      </w:pPr>
    </w:p>
    <w:p w14:paraId="2CB9E9C7" w14:textId="77777777" w:rsidR="00140BE1" w:rsidRDefault="00140BE1" w:rsidP="00472EFF">
      <w:pPr>
        <w:rPr>
          <w:b/>
          <w:bCs/>
          <w:sz w:val="18"/>
          <w:szCs w:val="18"/>
        </w:rPr>
        <w:sectPr w:rsidR="00140BE1" w:rsidSect="00F25512">
          <w:type w:val="continuous"/>
          <w:pgSz w:w="12240" w:h="15840" w:code="1"/>
          <w:pgMar w:top="720" w:right="720" w:bottom="720" w:left="720" w:header="288" w:footer="288" w:gutter="0"/>
          <w:cols w:space="288"/>
          <w:docGrid w:linePitch="360"/>
        </w:sectPr>
      </w:pPr>
    </w:p>
    <w:p w14:paraId="73A84BA4" w14:textId="05F1EA65" w:rsidR="00472EFF" w:rsidRPr="00B1650C" w:rsidRDefault="00472EFF" w:rsidP="00472EFF">
      <w:pPr>
        <w:rPr>
          <w:sz w:val="18"/>
          <w:szCs w:val="18"/>
        </w:rPr>
      </w:pPr>
      <w:r w:rsidRPr="00B1650C">
        <w:rPr>
          <w:b/>
          <w:bCs/>
          <w:sz w:val="18"/>
          <w:szCs w:val="18"/>
        </w:rPr>
        <w:t xml:space="preserve">Tags: </w:t>
      </w:r>
      <w:r w:rsidRPr="00B1650C">
        <w:rPr>
          <w:b/>
          <w:bCs/>
          <w:sz w:val="18"/>
          <w:szCs w:val="22"/>
        </w:rPr>
        <w:t>objetivos piloto IA, IA y ensayos Fase 1, FDA y regulación de ensayos fase 1</w:t>
      </w:r>
      <w:r>
        <w:rPr>
          <w:b/>
          <w:bCs/>
          <w:sz w:val="18"/>
          <w:szCs w:val="22"/>
        </w:rPr>
        <w:t xml:space="preserve">, IA y ensayos clínicos </w:t>
      </w:r>
    </w:p>
    <w:p w14:paraId="1A6ACF1D" w14:textId="77777777" w:rsidR="00472EFF" w:rsidRDefault="00472EFF" w:rsidP="00472EFF">
      <w:pPr>
        <w:rPr>
          <w:szCs w:val="20"/>
        </w:rPr>
      </w:pPr>
    </w:p>
    <w:p w14:paraId="0E983AD1" w14:textId="77777777" w:rsidR="00472EFF" w:rsidRDefault="00472EFF" w:rsidP="00472EFF">
      <w:pPr>
        <w:rPr>
          <w:rFonts w:cs="Times New Roman"/>
          <w:szCs w:val="20"/>
        </w:rPr>
      </w:pPr>
      <w:r>
        <w:rPr>
          <w:rFonts w:cs="Times New Roman"/>
          <w:szCs w:val="20"/>
        </w:rPr>
        <w:t>L</w:t>
      </w:r>
      <w:r w:rsidRPr="00DC1EE7">
        <w:rPr>
          <w:rFonts w:cs="Times New Roman"/>
          <w:szCs w:val="20"/>
        </w:rPr>
        <w:t>a FDA</w:t>
      </w:r>
      <w:r>
        <w:rPr>
          <w:rFonts w:cs="Times New Roman"/>
          <w:szCs w:val="20"/>
        </w:rPr>
        <w:t xml:space="preserve"> </w:t>
      </w:r>
      <w:hyperlink r:id="rId93" w:history="1">
        <w:r w:rsidRPr="00DC1EE7">
          <w:rPr>
            <w:rFonts w:cs="Times New Roman"/>
            <w:szCs w:val="20"/>
          </w:rPr>
          <w:t>emitió</w:t>
        </w:r>
      </w:hyperlink>
      <w:r>
        <w:rPr>
          <w:rFonts w:cs="Times New Roman"/>
          <w:szCs w:val="20"/>
        </w:rPr>
        <w:t xml:space="preserve"> </w:t>
      </w:r>
      <w:r w:rsidRPr="00DC1EE7">
        <w:rPr>
          <w:rFonts w:cs="Times New Roman"/>
          <w:szCs w:val="20"/>
        </w:rPr>
        <w:t>una solicitud de información (RFI</w:t>
      </w:r>
      <w:r>
        <w:rPr>
          <w:rFonts w:cs="Times New Roman"/>
          <w:szCs w:val="20"/>
        </w:rPr>
        <w:t xml:space="preserve"> o </w:t>
      </w:r>
      <w:proofErr w:type="spellStart"/>
      <w:r w:rsidRPr="00053CDD">
        <w:rPr>
          <w:rFonts w:cs="Times New Roman"/>
          <w:i/>
          <w:iCs/>
          <w:szCs w:val="20"/>
        </w:rPr>
        <w:t>Request</w:t>
      </w:r>
      <w:proofErr w:type="spellEnd"/>
      <w:r w:rsidRPr="00053CDD">
        <w:rPr>
          <w:rFonts w:cs="Times New Roman"/>
          <w:i/>
          <w:iCs/>
          <w:szCs w:val="20"/>
        </w:rPr>
        <w:t xml:space="preserve"> for </w:t>
      </w:r>
      <w:proofErr w:type="spellStart"/>
      <w:r w:rsidRPr="00053CDD">
        <w:rPr>
          <w:rFonts w:cs="Times New Roman"/>
          <w:i/>
          <w:iCs/>
          <w:szCs w:val="20"/>
        </w:rPr>
        <w:t>Information</w:t>
      </w:r>
      <w:proofErr w:type="spellEnd"/>
      <w:r w:rsidRPr="00DC1EE7">
        <w:rPr>
          <w:rFonts w:cs="Times New Roman"/>
          <w:szCs w:val="20"/>
        </w:rPr>
        <w:t xml:space="preserve">) para </w:t>
      </w:r>
      <w:r>
        <w:rPr>
          <w:rFonts w:cs="Times New Roman"/>
          <w:szCs w:val="20"/>
        </w:rPr>
        <w:t>conocer</w:t>
      </w:r>
      <w:r w:rsidRPr="00DC1EE7">
        <w:rPr>
          <w:rFonts w:cs="Times New Roman"/>
          <w:szCs w:val="20"/>
        </w:rPr>
        <w:t xml:space="preserve"> la opinión de las partes interesadas sobre </w:t>
      </w:r>
      <w:r>
        <w:rPr>
          <w:rFonts w:cs="Times New Roman"/>
          <w:szCs w:val="20"/>
        </w:rPr>
        <w:t>su propuesta de</w:t>
      </w:r>
      <w:r w:rsidRPr="00DC1EE7">
        <w:rPr>
          <w:rFonts w:cs="Times New Roman"/>
          <w:szCs w:val="20"/>
        </w:rPr>
        <w:t xml:space="preserve"> programa piloto </w:t>
      </w:r>
      <w:r>
        <w:rPr>
          <w:rFonts w:cs="Times New Roman"/>
          <w:szCs w:val="20"/>
        </w:rPr>
        <w:t xml:space="preserve">para </w:t>
      </w:r>
      <w:r w:rsidRPr="00DC1EE7">
        <w:rPr>
          <w:rFonts w:cs="Times New Roman"/>
          <w:szCs w:val="20"/>
        </w:rPr>
        <w:t>eval</w:t>
      </w:r>
      <w:r>
        <w:rPr>
          <w:rFonts w:cs="Times New Roman"/>
          <w:szCs w:val="20"/>
        </w:rPr>
        <w:t>uar</w:t>
      </w:r>
      <w:r w:rsidRPr="00DC1EE7">
        <w:rPr>
          <w:rFonts w:cs="Times New Roman"/>
          <w:szCs w:val="20"/>
        </w:rPr>
        <w:t xml:space="preserve"> cómo las tecnologías </w:t>
      </w:r>
      <w:r>
        <w:rPr>
          <w:rFonts w:cs="Times New Roman"/>
          <w:szCs w:val="20"/>
        </w:rPr>
        <w:t>basadas en</w:t>
      </w:r>
      <w:r w:rsidRPr="00DC1EE7">
        <w:rPr>
          <w:rFonts w:cs="Times New Roman"/>
          <w:szCs w:val="20"/>
        </w:rPr>
        <w:t xml:space="preserve"> inteligencia artificial (IA) pueden contribuir a </w:t>
      </w:r>
      <w:r>
        <w:rPr>
          <w:rFonts w:cs="Times New Roman"/>
          <w:szCs w:val="20"/>
        </w:rPr>
        <w:t>agilizar</w:t>
      </w:r>
      <w:r w:rsidRPr="00DC1EE7">
        <w:rPr>
          <w:rFonts w:cs="Times New Roman"/>
          <w:szCs w:val="20"/>
        </w:rPr>
        <w:t xml:space="preserve"> los ensayos clínicos </w:t>
      </w:r>
      <w:r>
        <w:rPr>
          <w:rFonts w:cs="Times New Roman"/>
          <w:szCs w:val="20"/>
        </w:rPr>
        <w:t>Fase 1. Al-</w:t>
      </w:r>
      <w:proofErr w:type="spellStart"/>
      <w:r>
        <w:rPr>
          <w:rFonts w:cs="Times New Roman"/>
          <w:szCs w:val="20"/>
        </w:rPr>
        <w:t>Faruque</w:t>
      </w:r>
      <w:proofErr w:type="spellEnd"/>
      <w:r>
        <w:rPr>
          <w:rFonts w:cs="Times New Roman"/>
          <w:szCs w:val="20"/>
        </w:rPr>
        <w:t xml:space="preserve"> escribió un artículo [1] sobre los comentarios recibidos y otros temas relacionados con la IA en la experimentación biomédica. Lo resumimos a continuación.  </w:t>
      </w:r>
    </w:p>
    <w:p w14:paraId="01152F02" w14:textId="77777777" w:rsidR="00472EFF" w:rsidRDefault="00472EFF" w:rsidP="00472EFF">
      <w:pPr>
        <w:rPr>
          <w:rFonts w:cs="Times New Roman"/>
          <w:szCs w:val="20"/>
        </w:rPr>
      </w:pPr>
    </w:p>
    <w:p w14:paraId="24B9135B" w14:textId="77777777" w:rsidR="00472EFF" w:rsidRDefault="00472EFF" w:rsidP="00472EFF">
      <w:pPr>
        <w:rPr>
          <w:rFonts w:cs="Times New Roman"/>
          <w:szCs w:val="20"/>
        </w:rPr>
      </w:pPr>
      <w:r>
        <w:rPr>
          <w:rFonts w:cs="Times New Roman"/>
          <w:szCs w:val="20"/>
        </w:rPr>
        <w:t>En respuesta a los comentarios y a las solicitudes de información adicional de más de 230 entidades del sector farmacéutico y académico (entre otras) sobre el Programa piloto de la FDA basado en IA, l</w:t>
      </w:r>
      <w:r w:rsidRPr="00DC1EE7">
        <w:rPr>
          <w:rFonts w:cs="Times New Roman"/>
          <w:szCs w:val="20"/>
        </w:rPr>
        <w:t>a FDA aclar</w:t>
      </w:r>
      <w:r>
        <w:rPr>
          <w:rFonts w:cs="Times New Roman"/>
          <w:szCs w:val="20"/>
        </w:rPr>
        <w:t>ó</w:t>
      </w:r>
      <w:r w:rsidRPr="00DC1EE7">
        <w:rPr>
          <w:rFonts w:cs="Times New Roman"/>
          <w:szCs w:val="20"/>
        </w:rPr>
        <w:t xml:space="preserve"> </w:t>
      </w:r>
      <w:r>
        <w:rPr>
          <w:rFonts w:cs="Times New Roman"/>
          <w:szCs w:val="20"/>
        </w:rPr>
        <w:t>que su propuesta</w:t>
      </w:r>
      <w:r w:rsidRPr="00DC1EE7">
        <w:rPr>
          <w:rFonts w:cs="Times New Roman"/>
          <w:szCs w:val="20"/>
        </w:rPr>
        <w:t xml:space="preserve"> para </w:t>
      </w:r>
      <w:r>
        <w:rPr>
          <w:rFonts w:cs="Times New Roman"/>
          <w:szCs w:val="20"/>
        </w:rPr>
        <w:t>implementar el</w:t>
      </w:r>
      <w:r w:rsidRPr="00DC1EE7">
        <w:rPr>
          <w:rFonts w:cs="Times New Roman"/>
          <w:szCs w:val="20"/>
        </w:rPr>
        <w:t xml:space="preserve"> programa piloto </w:t>
      </w:r>
      <w:r>
        <w:rPr>
          <w:rFonts w:cs="Times New Roman"/>
          <w:szCs w:val="20"/>
        </w:rPr>
        <w:t xml:space="preserve">pretende </w:t>
      </w:r>
      <w:r w:rsidRPr="00DC1EE7">
        <w:rPr>
          <w:rFonts w:cs="Times New Roman"/>
          <w:szCs w:val="20"/>
        </w:rPr>
        <w:t xml:space="preserve">explorar cómo los avances en IA y ciencia de datos pueden mejorar la eficiencia de los ensayos, optimizar </w:t>
      </w:r>
      <w:r>
        <w:rPr>
          <w:rFonts w:cs="Times New Roman"/>
          <w:szCs w:val="20"/>
        </w:rPr>
        <w:t>el monitoreo</w:t>
      </w:r>
      <w:r w:rsidRPr="00DC1EE7">
        <w:rPr>
          <w:rFonts w:cs="Times New Roman"/>
          <w:szCs w:val="20"/>
        </w:rPr>
        <w:t xml:space="preserve"> de la seguridad, facilitar las decisiones sobre la selección de dosis</w:t>
      </w:r>
      <w:r>
        <w:rPr>
          <w:rFonts w:cs="Times New Roman"/>
          <w:szCs w:val="20"/>
        </w:rPr>
        <w:t>,</w:t>
      </w:r>
      <w:r w:rsidRPr="00DC1EE7">
        <w:rPr>
          <w:rFonts w:cs="Times New Roman"/>
          <w:szCs w:val="20"/>
        </w:rPr>
        <w:t xml:space="preserve"> permitir </w:t>
      </w:r>
      <w:r>
        <w:rPr>
          <w:rFonts w:cs="Times New Roman"/>
          <w:szCs w:val="20"/>
        </w:rPr>
        <w:t xml:space="preserve">la toma de </w:t>
      </w:r>
      <w:r w:rsidRPr="00DC1EE7">
        <w:rPr>
          <w:rFonts w:cs="Times New Roman"/>
          <w:szCs w:val="20"/>
        </w:rPr>
        <w:t xml:space="preserve">decisiones más informadas sobre </w:t>
      </w:r>
      <w:r>
        <w:rPr>
          <w:rFonts w:cs="Times New Roman"/>
          <w:szCs w:val="20"/>
        </w:rPr>
        <w:t>si dar</w:t>
      </w:r>
      <w:r w:rsidRPr="00DC1EE7">
        <w:rPr>
          <w:rFonts w:cs="Times New Roman"/>
          <w:szCs w:val="20"/>
        </w:rPr>
        <w:t xml:space="preserve"> </w:t>
      </w:r>
      <w:r>
        <w:rPr>
          <w:rFonts w:cs="Times New Roman"/>
          <w:szCs w:val="20"/>
        </w:rPr>
        <w:t xml:space="preserve">o no </w:t>
      </w:r>
      <w:r w:rsidRPr="00DC1EE7">
        <w:rPr>
          <w:rFonts w:cs="Times New Roman"/>
          <w:szCs w:val="20"/>
        </w:rPr>
        <w:t>continu</w:t>
      </w:r>
      <w:r>
        <w:rPr>
          <w:rFonts w:cs="Times New Roman"/>
          <w:szCs w:val="20"/>
        </w:rPr>
        <w:t>idad</w:t>
      </w:r>
      <w:r w:rsidRPr="00DC1EE7">
        <w:rPr>
          <w:rFonts w:cs="Times New Roman"/>
          <w:szCs w:val="20"/>
        </w:rPr>
        <w:t xml:space="preserve"> </w:t>
      </w:r>
      <w:r>
        <w:rPr>
          <w:rFonts w:cs="Times New Roman"/>
          <w:szCs w:val="20"/>
        </w:rPr>
        <w:t>a</w:t>
      </w:r>
      <w:r w:rsidRPr="00DC1EE7">
        <w:rPr>
          <w:rFonts w:cs="Times New Roman"/>
          <w:szCs w:val="20"/>
        </w:rPr>
        <w:t xml:space="preserve"> estudio</w:t>
      </w:r>
      <w:r>
        <w:rPr>
          <w:rFonts w:cs="Times New Roman"/>
          <w:szCs w:val="20"/>
        </w:rPr>
        <w:t>s de fase temprana,</w:t>
      </w:r>
      <w:r w:rsidRPr="00DC1EE7">
        <w:rPr>
          <w:rFonts w:cs="Times New Roman"/>
          <w:szCs w:val="20"/>
        </w:rPr>
        <w:t xml:space="preserve"> promov</w:t>
      </w:r>
      <w:r>
        <w:rPr>
          <w:rFonts w:cs="Times New Roman"/>
          <w:szCs w:val="20"/>
        </w:rPr>
        <w:t>er</w:t>
      </w:r>
      <w:r w:rsidRPr="00DC1EE7">
        <w:rPr>
          <w:rFonts w:cs="Times New Roman"/>
          <w:szCs w:val="20"/>
        </w:rPr>
        <w:t xml:space="preserve"> sistemas de IA fiables</w:t>
      </w:r>
      <w:r>
        <w:rPr>
          <w:rFonts w:cs="Times New Roman"/>
          <w:szCs w:val="20"/>
        </w:rPr>
        <w:t xml:space="preserve"> y </w:t>
      </w:r>
      <w:r w:rsidRPr="00DC1EE7">
        <w:rPr>
          <w:rFonts w:cs="Times New Roman"/>
          <w:szCs w:val="20"/>
        </w:rPr>
        <w:t>mante</w:t>
      </w:r>
      <w:r>
        <w:rPr>
          <w:rFonts w:cs="Times New Roman"/>
          <w:szCs w:val="20"/>
        </w:rPr>
        <w:t>ner</w:t>
      </w:r>
      <w:r w:rsidRPr="00DC1EE7">
        <w:rPr>
          <w:rFonts w:cs="Times New Roman"/>
          <w:szCs w:val="20"/>
        </w:rPr>
        <w:t xml:space="preserve"> estándares científicos y regulatorios </w:t>
      </w:r>
      <w:r>
        <w:rPr>
          <w:rFonts w:cs="Times New Roman"/>
          <w:szCs w:val="20"/>
        </w:rPr>
        <w:t xml:space="preserve">rigurosos. </w:t>
      </w:r>
    </w:p>
    <w:p w14:paraId="6B28434D" w14:textId="77777777" w:rsidR="00472EFF" w:rsidRDefault="00472EFF" w:rsidP="00472EFF">
      <w:pPr>
        <w:rPr>
          <w:rFonts w:cs="Times New Roman"/>
          <w:szCs w:val="20"/>
          <w:highlight w:val="yellow"/>
        </w:rPr>
      </w:pPr>
    </w:p>
    <w:p w14:paraId="02AAE3FD" w14:textId="77777777" w:rsidR="00472EFF" w:rsidRPr="0037734C" w:rsidRDefault="00472EFF" w:rsidP="00472EFF">
      <w:pPr>
        <w:rPr>
          <w:rFonts w:cs="Times New Roman"/>
          <w:szCs w:val="20"/>
        </w:rPr>
      </w:pPr>
      <w:r w:rsidRPr="0037734C">
        <w:rPr>
          <w:rFonts w:cs="Times New Roman"/>
          <w:szCs w:val="20"/>
        </w:rPr>
        <w:t>Además de solicitar aclaraciones, los grupos interesados sugirieron que la agencia desarrollara una estructura de gobernanza con m</w:t>
      </w:r>
      <w:r>
        <w:rPr>
          <w:rFonts w:cs="Times New Roman"/>
          <w:szCs w:val="20"/>
        </w:rPr>
        <w:t>ediciones</w:t>
      </w:r>
      <w:r w:rsidRPr="0037734C">
        <w:rPr>
          <w:rFonts w:cs="Times New Roman"/>
          <w:szCs w:val="20"/>
        </w:rPr>
        <w:t xml:space="preserve"> y objetivos específicos, y considerara la alineación de su enfoque con el de otras autoridades.</w:t>
      </w:r>
    </w:p>
    <w:p w14:paraId="70F91848" w14:textId="77777777" w:rsidR="00472EFF" w:rsidRPr="0037734C" w:rsidRDefault="00472EFF" w:rsidP="00472EFF">
      <w:pPr>
        <w:rPr>
          <w:rFonts w:cs="Times New Roman"/>
          <w:szCs w:val="20"/>
        </w:rPr>
      </w:pPr>
    </w:p>
    <w:p w14:paraId="1F2564EB" w14:textId="77777777" w:rsidR="00472EFF" w:rsidRPr="0037734C" w:rsidRDefault="00472EFF" w:rsidP="00472EFF">
      <w:pPr>
        <w:rPr>
          <w:rFonts w:cs="Times New Roman"/>
          <w:szCs w:val="20"/>
        </w:rPr>
      </w:pPr>
      <w:r w:rsidRPr="0037734C">
        <w:rPr>
          <w:rFonts w:cs="Times New Roman"/>
          <w:szCs w:val="20"/>
        </w:rPr>
        <w:t xml:space="preserve">La agencia resaltó que el programa piloto estará alineado con los principios del Marco de Gestión de Riesgos de IA del Instituto Nacional de Estándares y Tecnología [1]. </w:t>
      </w:r>
    </w:p>
    <w:p w14:paraId="789D3EFE" w14:textId="77777777" w:rsidR="00472EFF" w:rsidRPr="0037734C" w:rsidRDefault="00472EFF" w:rsidP="00472EFF">
      <w:pPr>
        <w:rPr>
          <w:rFonts w:cs="Times New Roman"/>
          <w:szCs w:val="20"/>
        </w:rPr>
      </w:pPr>
    </w:p>
    <w:p w14:paraId="43869C3F" w14:textId="77777777" w:rsidR="00472EFF" w:rsidRDefault="00472EFF" w:rsidP="00472EFF">
      <w:pPr>
        <w:rPr>
          <w:rFonts w:cs="Times New Roman"/>
          <w:szCs w:val="20"/>
        </w:rPr>
      </w:pPr>
      <w:r w:rsidRPr="0037734C">
        <w:rPr>
          <w:rFonts w:cs="Times New Roman"/>
          <w:szCs w:val="20"/>
          <w:lang w:val="es-ES"/>
        </w:rPr>
        <w:t>La Asociación de Fabricantes e Investigadores Farmacéuticos de EE UU (</w:t>
      </w:r>
      <w:proofErr w:type="spellStart"/>
      <w:r w:rsidRPr="0037734C">
        <w:rPr>
          <w:rFonts w:cs="Times New Roman"/>
          <w:szCs w:val="20"/>
          <w:lang w:val="es-ES"/>
        </w:rPr>
        <w:t>Pharmaceutical</w:t>
      </w:r>
      <w:proofErr w:type="spellEnd"/>
      <w:r w:rsidRPr="0037734C">
        <w:rPr>
          <w:rFonts w:cs="Times New Roman"/>
          <w:szCs w:val="20"/>
          <w:lang w:val="es-ES"/>
        </w:rPr>
        <w:t xml:space="preserve"> Research and </w:t>
      </w:r>
      <w:proofErr w:type="spellStart"/>
      <w:r w:rsidRPr="0037734C">
        <w:rPr>
          <w:rFonts w:cs="Times New Roman"/>
          <w:szCs w:val="20"/>
          <w:lang w:val="es-ES"/>
        </w:rPr>
        <w:t>Manufacturers</w:t>
      </w:r>
      <w:proofErr w:type="spellEnd"/>
      <w:r w:rsidRPr="0037734C">
        <w:rPr>
          <w:rFonts w:cs="Times New Roman"/>
          <w:szCs w:val="20"/>
          <w:lang w:val="es-ES"/>
        </w:rPr>
        <w:t xml:space="preserve"> of </w:t>
      </w:r>
      <w:proofErr w:type="spellStart"/>
      <w:r w:rsidRPr="0037734C">
        <w:rPr>
          <w:rFonts w:cs="Times New Roman"/>
          <w:szCs w:val="20"/>
          <w:lang w:val="es-ES"/>
        </w:rPr>
        <w:t>America</w:t>
      </w:r>
      <w:proofErr w:type="spellEnd"/>
      <w:r w:rsidRPr="0037734C">
        <w:rPr>
          <w:rFonts w:cs="Times New Roman"/>
          <w:szCs w:val="20"/>
          <w:lang w:val="es-ES"/>
        </w:rPr>
        <w:t xml:space="preserve"> o </w:t>
      </w:r>
      <w:proofErr w:type="spellStart"/>
      <w:r w:rsidRPr="0037734C">
        <w:rPr>
          <w:rFonts w:cs="Times New Roman"/>
          <w:szCs w:val="20"/>
          <w:lang w:val="es-ES"/>
        </w:rPr>
        <w:t>PhRMA</w:t>
      </w:r>
      <w:proofErr w:type="spellEnd"/>
      <w:r w:rsidRPr="0037734C">
        <w:rPr>
          <w:rFonts w:cs="Times New Roman"/>
          <w:szCs w:val="20"/>
          <w:lang w:val="es-ES"/>
        </w:rPr>
        <w:t xml:space="preserve">) </w:t>
      </w:r>
      <w:r w:rsidRPr="0037734C">
        <w:rPr>
          <w:rFonts w:cs="Times New Roman"/>
          <w:szCs w:val="20"/>
        </w:rPr>
        <w:t>se mostró optimista respecto al potencial de la IA para acelerar la innovación; y solicitó a la FDA que garantice</w:t>
      </w:r>
      <w:r>
        <w:rPr>
          <w:rFonts w:cs="Times New Roman"/>
          <w:szCs w:val="20"/>
        </w:rPr>
        <w:t>: (1)</w:t>
      </w:r>
      <w:r w:rsidRPr="0037734C">
        <w:rPr>
          <w:rFonts w:cs="Times New Roman"/>
          <w:szCs w:val="20"/>
        </w:rPr>
        <w:t xml:space="preserve"> que el piloto incorpora</w:t>
      </w:r>
      <w:r>
        <w:rPr>
          <w:rFonts w:cs="Times New Roman"/>
          <w:szCs w:val="20"/>
        </w:rPr>
        <w:t>rá</w:t>
      </w:r>
      <w:r w:rsidRPr="0037734C">
        <w:rPr>
          <w:rFonts w:cs="Times New Roman"/>
          <w:szCs w:val="20"/>
        </w:rPr>
        <w:t xml:space="preserve"> los enfoques de la agencia basados en el riesgo para el uso de la IA en la toma de decisiones regulatorias, y </w:t>
      </w:r>
      <w:r>
        <w:rPr>
          <w:rFonts w:cs="Times New Roman"/>
          <w:szCs w:val="20"/>
        </w:rPr>
        <w:t xml:space="preserve">(2) </w:t>
      </w:r>
      <w:r w:rsidRPr="0037734C">
        <w:rPr>
          <w:rFonts w:cs="Times New Roman"/>
          <w:szCs w:val="20"/>
        </w:rPr>
        <w:t xml:space="preserve">que los sistemas de IA se evalúen en función de su finalidad. </w:t>
      </w:r>
    </w:p>
    <w:p w14:paraId="1E24EE09" w14:textId="77777777" w:rsidR="00472EFF" w:rsidRDefault="00472EFF" w:rsidP="00472EFF">
      <w:pPr>
        <w:rPr>
          <w:rFonts w:cs="Times New Roman"/>
          <w:szCs w:val="20"/>
        </w:rPr>
      </w:pPr>
    </w:p>
    <w:p w14:paraId="09CC9E3F" w14:textId="77777777" w:rsidR="00472EFF" w:rsidRPr="0037734C" w:rsidRDefault="00472EFF" w:rsidP="00472EFF">
      <w:pPr>
        <w:rPr>
          <w:rFonts w:cs="Times New Roman"/>
          <w:szCs w:val="20"/>
        </w:rPr>
      </w:pPr>
      <w:r w:rsidRPr="0037734C">
        <w:rPr>
          <w:rFonts w:cs="Times New Roman"/>
          <w:szCs w:val="20"/>
        </w:rPr>
        <w:t>El grupo también señaló "Para 'maximizar el aprendizaje' derivado del piloto, animamos a la FDA a que los ensayos piloto correspond</w:t>
      </w:r>
      <w:r>
        <w:rPr>
          <w:rFonts w:cs="Times New Roman"/>
          <w:szCs w:val="20"/>
        </w:rPr>
        <w:t>an a</w:t>
      </w:r>
      <w:r w:rsidRPr="0037734C">
        <w:rPr>
          <w:rFonts w:cs="Times New Roman"/>
          <w:szCs w:val="20"/>
        </w:rPr>
        <w:t xml:space="preserve"> diferentes áreas terapéuticas, dando prioridad a ejemplos de amplia aplicabilidad que puedan generar conocimientos a corto plazo". También inst</w:t>
      </w:r>
      <w:r>
        <w:rPr>
          <w:rFonts w:cs="Times New Roman"/>
          <w:szCs w:val="20"/>
        </w:rPr>
        <w:t>ó</w:t>
      </w:r>
      <w:r w:rsidRPr="0037734C">
        <w:rPr>
          <w:rFonts w:cs="Times New Roman"/>
          <w:szCs w:val="20"/>
        </w:rPr>
        <w:t xml:space="preserve"> a la agencia a considerar si la IA </w:t>
      </w:r>
      <w:r>
        <w:rPr>
          <w:rFonts w:cs="Times New Roman"/>
          <w:szCs w:val="20"/>
        </w:rPr>
        <w:t xml:space="preserve">se ha evaluado previamente en </w:t>
      </w:r>
      <w:r w:rsidRPr="0037734C">
        <w:rPr>
          <w:rFonts w:cs="Times New Roman"/>
          <w:szCs w:val="20"/>
        </w:rPr>
        <w:t>el contexto de uso propuesto y si contribuirá a avanzar la toma de decisiones regulatorias.</w:t>
      </w:r>
    </w:p>
    <w:p w14:paraId="09DF9B99" w14:textId="77777777" w:rsidR="00472EFF" w:rsidRPr="0037734C" w:rsidRDefault="00472EFF" w:rsidP="00472EFF">
      <w:pPr>
        <w:rPr>
          <w:rFonts w:cs="Times New Roman"/>
          <w:szCs w:val="20"/>
        </w:rPr>
      </w:pPr>
    </w:p>
    <w:p w14:paraId="626105B6" w14:textId="77777777" w:rsidR="00472EFF" w:rsidRPr="0037734C" w:rsidRDefault="00472EFF" w:rsidP="00472EFF">
      <w:pPr>
        <w:rPr>
          <w:rFonts w:cs="Times New Roman"/>
          <w:szCs w:val="20"/>
        </w:rPr>
      </w:pPr>
      <w:r w:rsidRPr="0037734C">
        <w:rPr>
          <w:rFonts w:cs="Times New Roman"/>
          <w:szCs w:val="20"/>
        </w:rPr>
        <w:t xml:space="preserve">La </w:t>
      </w:r>
      <w:proofErr w:type="spellStart"/>
      <w:r w:rsidRPr="0037734C">
        <w:rPr>
          <w:rFonts w:cs="Times New Roman"/>
          <w:szCs w:val="20"/>
        </w:rPr>
        <w:t>PhRMA</w:t>
      </w:r>
      <w:proofErr w:type="spellEnd"/>
      <w:r w:rsidRPr="0037734C">
        <w:rPr>
          <w:rFonts w:cs="Times New Roman"/>
          <w:szCs w:val="20"/>
        </w:rPr>
        <w:t xml:space="preserve"> afirmó que el piloto debería contar con un marco de gobernanza sólido y que la FDA debería aclarar cómo protegerá la información comercial confidencial y los secretos industriales</w:t>
      </w:r>
      <w:r>
        <w:rPr>
          <w:rFonts w:cs="Times New Roman"/>
          <w:szCs w:val="20"/>
        </w:rPr>
        <w:t>,</w:t>
      </w:r>
      <w:r w:rsidRPr="0037734C">
        <w:rPr>
          <w:rFonts w:cs="Times New Roman"/>
          <w:szCs w:val="20"/>
        </w:rPr>
        <w:t xml:space="preserve"> para garantizar la confianza de los participantes y su disposición a colaborar. </w:t>
      </w:r>
    </w:p>
    <w:p w14:paraId="3F24FBBF" w14:textId="77777777" w:rsidR="00472EFF" w:rsidRPr="0037734C" w:rsidRDefault="00472EFF" w:rsidP="00472EFF">
      <w:pPr>
        <w:rPr>
          <w:rFonts w:cs="Times New Roman"/>
          <w:szCs w:val="20"/>
        </w:rPr>
      </w:pPr>
    </w:p>
    <w:p w14:paraId="08DAA60E" w14:textId="77777777" w:rsidR="00472EFF" w:rsidRPr="0037734C" w:rsidRDefault="00472EFF" w:rsidP="00472EFF">
      <w:pPr>
        <w:rPr>
          <w:rFonts w:cs="Times New Roman"/>
          <w:szCs w:val="20"/>
        </w:rPr>
      </w:pPr>
      <w:proofErr w:type="spellStart"/>
      <w:r w:rsidRPr="0037734C">
        <w:rPr>
          <w:rFonts w:cs="Times New Roman"/>
          <w:szCs w:val="20"/>
        </w:rPr>
        <w:t>PhRMA</w:t>
      </w:r>
      <w:proofErr w:type="spellEnd"/>
      <w:r w:rsidRPr="0037734C">
        <w:rPr>
          <w:rFonts w:cs="Times New Roman"/>
          <w:szCs w:val="20"/>
        </w:rPr>
        <w:t xml:space="preserve"> solicitó que la FDA aclarara si utilizaría IA como parte de su programa piloto, y de ser así cuándo y cómo la FDA utilizaría la IA, y recordó a la agencia que las herramientas de IA que utilice en el programa piloto deben someterse a una evaluación de credibilidad, y sus resultados deben ser objeto de revisión humana antes de influir en una decisión regulatoria.</w:t>
      </w:r>
    </w:p>
    <w:p w14:paraId="47212E7E" w14:textId="77777777" w:rsidR="00472EFF" w:rsidRPr="0037734C" w:rsidRDefault="00472EFF" w:rsidP="00472EFF">
      <w:pPr>
        <w:rPr>
          <w:rFonts w:cs="Times New Roman"/>
          <w:szCs w:val="20"/>
        </w:rPr>
      </w:pPr>
    </w:p>
    <w:p w14:paraId="5F017595" w14:textId="77777777" w:rsidR="00472EFF" w:rsidRPr="0037734C" w:rsidRDefault="00472EFF" w:rsidP="00472EFF">
      <w:pPr>
        <w:rPr>
          <w:rFonts w:cs="Times New Roman"/>
          <w:szCs w:val="20"/>
        </w:rPr>
      </w:pPr>
      <w:r w:rsidRPr="0037734C">
        <w:rPr>
          <w:rFonts w:cs="Times New Roman"/>
          <w:szCs w:val="20"/>
        </w:rPr>
        <w:t xml:space="preserve">Asimismo, </w:t>
      </w:r>
      <w:proofErr w:type="spellStart"/>
      <w:r w:rsidRPr="0037734C">
        <w:rPr>
          <w:rFonts w:cs="Times New Roman"/>
          <w:szCs w:val="20"/>
        </w:rPr>
        <w:t>PhRMA</w:t>
      </w:r>
      <w:proofErr w:type="spellEnd"/>
      <w:r w:rsidRPr="0037734C">
        <w:rPr>
          <w:rFonts w:cs="Times New Roman"/>
          <w:szCs w:val="20"/>
        </w:rPr>
        <w:t xml:space="preserve"> solicitó a la FDA que aclarara cómo se integran los ensayos clínicos en tiempo real (RTCT, por sus siglas en inglés) en su enfoque y pidió que celebrara reuniones preliminares con los participantes </w:t>
      </w:r>
      <w:r>
        <w:rPr>
          <w:rFonts w:cs="Times New Roman"/>
          <w:szCs w:val="20"/>
        </w:rPr>
        <w:t xml:space="preserve">en </w:t>
      </w:r>
      <w:r w:rsidRPr="0037734C">
        <w:rPr>
          <w:rFonts w:cs="Times New Roman"/>
          <w:szCs w:val="20"/>
        </w:rPr>
        <w:t>el programa piloto y confirmara que dicha participación no retrasaría ni sustituiría las reuniones regulatorias habituales con la agencia</w:t>
      </w:r>
      <w:r>
        <w:rPr>
          <w:rFonts w:cs="Times New Roman"/>
          <w:szCs w:val="20"/>
        </w:rPr>
        <w:t>.</w:t>
      </w:r>
    </w:p>
    <w:p w14:paraId="5608BEDA" w14:textId="77777777" w:rsidR="00472EFF" w:rsidRDefault="00472EFF" w:rsidP="00472EFF">
      <w:pPr>
        <w:rPr>
          <w:rFonts w:cs="Times New Roman"/>
          <w:szCs w:val="20"/>
        </w:rPr>
      </w:pPr>
    </w:p>
    <w:p w14:paraId="288E965A" w14:textId="77777777" w:rsidR="00472EFF" w:rsidRPr="0037734C" w:rsidRDefault="00472EFF" w:rsidP="00472EFF">
      <w:pPr>
        <w:rPr>
          <w:rFonts w:cs="Times New Roman"/>
          <w:szCs w:val="20"/>
        </w:rPr>
      </w:pPr>
      <w:r w:rsidRPr="0037734C">
        <w:rPr>
          <w:rFonts w:cs="Times New Roman"/>
          <w:szCs w:val="20"/>
        </w:rPr>
        <w:t xml:space="preserve">La </w:t>
      </w:r>
      <w:proofErr w:type="spellStart"/>
      <w:r w:rsidRPr="0037734C">
        <w:rPr>
          <w:rFonts w:cs="Times New Roman"/>
          <w:szCs w:val="20"/>
        </w:rPr>
        <w:t>Biotechnology</w:t>
      </w:r>
      <w:proofErr w:type="spellEnd"/>
      <w:r w:rsidRPr="0037734C">
        <w:rPr>
          <w:rFonts w:cs="Times New Roman"/>
          <w:szCs w:val="20"/>
        </w:rPr>
        <w:t xml:space="preserve"> </w:t>
      </w:r>
      <w:proofErr w:type="spellStart"/>
      <w:r w:rsidRPr="0037734C">
        <w:rPr>
          <w:rFonts w:cs="Times New Roman"/>
          <w:szCs w:val="20"/>
        </w:rPr>
        <w:t>Innovation</w:t>
      </w:r>
      <w:proofErr w:type="spellEnd"/>
      <w:r w:rsidRPr="0037734C">
        <w:rPr>
          <w:rFonts w:cs="Times New Roman"/>
          <w:szCs w:val="20"/>
        </w:rPr>
        <w:t xml:space="preserve"> </w:t>
      </w:r>
      <w:proofErr w:type="spellStart"/>
      <w:r w:rsidRPr="0037734C">
        <w:rPr>
          <w:rFonts w:cs="Times New Roman"/>
          <w:szCs w:val="20"/>
        </w:rPr>
        <w:t>Organization</w:t>
      </w:r>
      <w:proofErr w:type="spellEnd"/>
      <w:r w:rsidRPr="0037734C">
        <w:rPr>
          <w:rFonts w:cs="Times New Roman"/>
          <w:szCs w:val="20"/>
        </w:rPr>
        <w:t xml:space="preserve"> (BIO) comentó que los esfuerzos de la FDA por utilizar tecnologías novedosas, como la IA, constituyen un paso importante para mejorar la integración de datos en el desarrollo clínico. El grupo señaló que la prueba piloto propuesta debería basarse en un marco orientado a la seguridad, haciendo hincapié en los entornos de ensayos clínicos de fase temprana.</w:t>
      </w:r>
    </w:p>
    <w:p w14:paraId="012AB66B" w14:textId="77777777" w:rsidR="00472EFF" w:rsidRDefault="00472EFF" w:rsidP="00472EFF">
      <w:pPr>
        <w:rPr>
          <w:rFonts w:cs="Times New Roman"/>
          <w:szCs w:val="20"/>
        </w:rPr>
      </w:pPr>
    </w:p>
    <w:p w14:paraId="5EA4D16E" w14:textId="77777777" w:rsidR="00472EFF" w:rsidRDefault="00472EFF" w:rsidP="00472EFF">
      <w:pPr>
        <w:rPr>
          <w:rFonts w:cs="Times New Roman"/>
          <w:szCs w:val="20"/>
        </w:rPr>
      </w:pPr>
      <w:r>
        <w:rPr>
          <w:rFonts w:cs="Times New Roman"/>
          <w:szCs w:val="20"/>
        </w:rPr>
        <w:t xml:space="preserve">La BIO </w:t>
      </w:r>
      <w:r w:rsidRPr="00DC1EE7">
        <w:rPr>
          <w:rFonts w:cs="Times New Roman"/>
          <w:szCs w:val="20"/>
        </w:rPr>
        <w:t>solicitó a la agencia</w:t>
      </w:r>
      <w:r>
        <w:rPr>
          <w:rFonts w:cs="Times New Roman"/>
          <w:szCs w:val="20"/>
        </w:rPr>
        <w:t>:</w:t>
      </w:r>
      <w:r w:rsidRPr="00DC1EE7">
        <w:rPr>
          <w:rFonts w:cs="Times New Roman"/>
          <w:szCs w:val="20"/>
        </w:rPr>
        <w:t xml:space="preserve"> </w:t>
      </w:r>
    </w:p>
    <w:p w14:paraId="74034964" w14:textId="77777777" w:rsidR="00472EFF" w:rsidRDefault="00472EFF" w:rsidP="00472EFF">
      <w:pPr>
        <w:rPr>
          <w:rFonts w:cs="Times New Roman"/>
          <w:szCs w:val="20"/>
        </w:rPr>
      </w:pPr>
    </w:p>
    <w:p w14:paraId="3D23843A" w14:textId="77777777" w:rsidR="00472EFF" w:rsidRDefault="00472EFF" w:rsidP="00F25512">
      <w:pPr>
        <w:pStyle w:val="Prrafodelista"/>
        <w:numPr>
          <w:ilvl w:val="0"/>
          <w:numId w:val="38"/>
        </w:numPr>
        <w:ind w:left="180" w:hanging="180"/>
        <w:rPr>
          <w:rFonts w:cs="Times New Roman"/>
          <w:szCs w:val="20"/>
        </w:rPr>
      </w:pPr>
      <w:r>
        <w:rPr>
          <w:rFonts w:cs="Times New Roman"/>
          <w:szCs w:val="20"/>
        </w:rPr>
        <w:t>D</w:t>
      </w:r>
      <w:r w:rsidRPr="00513823">
        <w:rPr>
          <w:rFonts w:cs="Times New Roman"/>
          <w:szCs w:val="20"/>
        </w:rPr>
        <w:t xml:space="preserve">efinir con mayor claridad los objetivos de la solicitud de información, </w:t>
      </w:r>
      <w:r>
        <w:rPr>
          <w:rFonts w:cs="Times New Roman"/>
          <w:szCs w:val="20"/>
        </w:rPr>
        <w:t xml:space="preserve">y aclarar si </w:t>
      </w:r>
      <w:r w:rsidRPr="0037734C">
        <w:rPr>
          <w:rFonts w:cs="Times New Roman"/>
          <w:szCs w:val="20"/>
        </w:rPr>
        <w:t>el objetivo principal de la agencia al proponer el programa piloto e</w:t>
      </w:r>
      <w:r>
        <w:rPr>
          <w:rFonts w:cs="Times New Roman"/>
          <w:szCs w:val="20"/>
        </w:rPr>
        <w:t>s</w:t>
      </w:r>
      <w:r w:rsidRPr="0037734C">
        <w:rPr>
          <w:rFonts w:cs="Times New Roman"/>
          <w:szCs w:val="20"/>
        </w:rPr>
        <w:t xml:space="preserve"> avanzar los ensayos clínicos en tiempo real o, en un sentido más amplio, promover el uso de herramientas de IA</w:t>
      </w:r>
    </w:p>
    <w:p w14:paraId="16948B80" w14:textId="77777777" w:rsidR="00472EFF" w:rsidRPr="00513823" w:rsidRDefault="00472EFF" w:rsidP="00F25512">
      <w:pPr>
        <w:pStyle w:val="Prrafodelista"/>
        <w:ind w:left="180" w:hanging="180"/>
        <w:rPr>
          <w:rFonts w:cs="Times New Roman"/>
          <w:szCs w:val="20"/>
        </w:rPr>
      </w:pPr>
    </w:p>
    <w:p w14:paraId="5BB86C97" w14:textId="77777777" w:rsidR="00472EFF" w:rsidRDefault="00472EFF" w:rsidP="00F25512">
      <w:pPr>
        <w:pStyle w:val="Prrafodelista"/>
        <w:numPr>
          <w:ilvl w:val="0"/>
          <w:numId w:val="38"/>
        </w:numPr>
        <w:ind w:left="180" w:hanging="180"/>
        <w:rPr>
          <w:rFonts w:cs="Times New Roman"/>
          <w:szCs w:val="20"/>
        </w:rPr>
      </w:pPr>
      <w:r>
        <w:rPr>
          <w:rFonts w:cs="Times New Roman"/>
          <w:szCs w:val="20"/>
        </w:rPr>
        <w:t>C</w:t>
      </w:r>
      <w:r w:rsidRPr="0037734C">
        <w:rPr>
          <w:rFonts w:cs="Times New Roman"/>
          <w:szCs w:val="20"/>
        </w:rPr>
        <w:t>onsiderar una colaboración más amplia con la industria</w:t>
      </w:r>
      <w:r>
        <w:rPr>
          <w:rFonts w:cs="Times New Roman"/>
          <w:szCs w:val="20"/>
        </w:rPr>
        <w:t xml:space="preserve"> para hablar de</w:t>
      </w:r>
      <w:r w:rsidRPr="0037734C">
        <w:rPr>
          <w:rFonts w:cs="Times New Roman"/>
          <w:szCs w:val="20"/>
        </w:rPr>
        <w:t xml:space="preserve"> posibles </w:t>
      </w:r>
      <w:r>
        <w:rPr>
          <w:rFonts w:cs="Times New Roman"/>
          <w:szCs w:val="20"/>
        </w:rPr>
        <w:t>formas</w:t>
      </w:r>
      <w:r w:rsidRPr="0037734C">
        <w:rPr>
          <w:rFonts w:cs="Times New Roman"/>
          <w:szCs w:val="20"/>
        </w:rPr>
        <w:t xml:space="preserve"> para compartir datos en tiempo real. </w:t>
      </w:r>
      <w:r>
        <w:rPr>
          <w:rFonts w:cs="Times New Roman"/>
          <w:szCs w:val="20"/>
        </w:rPr>
        <w:t>Según la BIO,</w:t>
      </w:r>
      <w:r w:rsidRPr="0037734C">
        <w:rPr>
          <w:rFonts w:cs="Times New Roman"/>
          <w:szCs w:val="20"/>
        </w:rPr>
        <w:t xml:space="preserve"> las aplicaciones potenciales de la IA en los ensayos clínicos tienen un alcance mucho mayor que el programa piloto propuesto por la FDA,</w:t>
      </w:r>
      <w:r>
        <w:rPr>
          <w:rFonts w:cs="Times New Roman"/>
          <w:szCs w:val="20"/>
        </w:rPr>
        <w:t xml:space="preserve"> lo</w:t>
      </w:r>
      <w:r w:rsidRPr="0037734C">
        <w:rPr>
          <w:rFonts w:cs="Times New Roman"/>
          <w:szCs w:val="20"/>
        </w:rPr>
        <w:t xml:space="preserve"> que justifica un diálogo específico y separado con la industria, los grupos de pacientes y los investigadores académicos. </w:t>
      </w:r>
      <w:r>
        <w:rPr>
          <w:rFonts w:cs="Times New Roman"/>
          <w:szCs w:val="20"/>
        </w:rPr>
        <w:t>BIO propuso</w:t>
      </w:r>
      <w:r w:rsidRPr="0037734C">
        <w:rPr>
          <w:rFonts w:cs="Times New Roman"/>
          <w:szCs w:val="20"/>
        </w:rPr>
        <w:t xml:space="preserve"> que la FDA considerara la organización de un taller público para facilitar un debate abierto y colaborativo sobre las ventajas de los distintos enfoques de IA y de intercambio de dato</w:t>
      </w:r>
      <w:r>
        <w:rPr>
          <w:rFonts w:cs="Times New Roman"/>
          <w:szCs w:val="20"/>
        </w:rPr>
        <w:t>s.</w:t>
      </w:r>
    </w:p>
    <w:p w14:paraId="4D2AB472" w14:textId="77777777" w:rsidR="00472EFF" w:rsidRPr="0037734C" w:rsidRDefault="00472EFF" w:rsidP="00F25512">
      <w:pPr>
        <w:ind w:left="180" w:hanging="180"/>
        <w:rPr>
          <w:rFonts w:cs="Times New Roman"/>
          <w:szCs w:val="20"/>
        </w:rPr>
      </w:pPr>
    </w:p>
    <w:p w14:paraId="7A596036" w14:textId="77777777" w:rsidR="00472EFF" w:rsidRDefault="00472EFF" w:rsidP="00F25512">
      <w:pPr>
        <w:pStyle w:val="Prrafodelista"/>
        <w:numPr>
          <w:ilvl w:val="0"/>
          <w:numId w:val="38"/>
        </w:numPr>
        <w:ind w:left="180" w:hanging="180"/>
        <w:rPr>
          <w:rFonts w:cs="Times New Roman"/>
          <w:szCs w:val="20"/>
        </w:rPr>
      </w:pPr>
      <w:r>
        <w:rPr>
          <w:rFonts w:cs="Times New Roman"/>
          <w:szCs w:val="20"/>
        </w:rPr>
        <w:t>M</w:t>
      </w:r>
      <w:r w:rsidRPr="00513823">
        <w:rPr>
          <w:rFonts w:cs="Times New Roman"/>
          <w:szCs w:val="20"/>
        </w:rPr>
        <w:t>ayor transparencia sobre los enfoques de IA que la agencia considerará para el programa piloto.</w:t>
      </w:r>
    </w:p>
    <w:p w14:paraId="51CCFFE9" w14:textId="77777777" w:rsidR="00472EFF" w:rsidRPr="0037734C" w:rsidRDefault="00472EFF" w:rsidP="00F25512">
      <w:pPr>
        <w:ind w:left="180" w:hanging="180"/>
        <w:rPr>
          <w:rFonts w:cs="Times New Roman"/>
          <w:szCs w:val="20"/>
        </w:rPr>
      </w:pPr>
    </w:p>
    <w:p w14:paraId="40827712" w14:textId="77777777" w:rsidR="00472EFF" w:rsidRPr="000D6539" w:rsidRDefault="00472EFF" w:rsidP="00F25512">
      <w:pPr>
        <w:pStyle w:val="Prrafodelista"/>
        <w:numPr>
          <w:ilvl w:val="0"/>
          <w:numId w:val="38"/>
        </w:numPr>
        <w:ind w:left="180" w:hanging="180"/>
        <w:rPr>
          <w:rFonts w:cs="Times New Roman"/>
          <w:szCs w:val="20"/>
        </w:rPr>
      </w:pPr>
      <w:r>
        <w:rPr>
          <w:rFonts w:cs="Times New Roman"/>
          <w:szCs w:val="20"/>
        </w:rPr>
        <w:t xml:space="preserve">Aclarar las cuestiones relacionadas con: </w:t>
      </w:r>
      <w:r w:rsidRPr="000D6539">
        <w:rPr>
          <w:rFonts w:cs="Times New Roman"/>
          <w:szCs w:val="20"/>
        </w:rPr>
        <w:t xml:space="preserve"> </w:t>
      </w:r>
    </w:p>
    <w:p w14:paraId="681EB6D1" w14:textId="77777777" w:rsidR="00472EFF" w:rsidRDefault="00472EFF" w:rsidP="00F25512">
      <w:pPr>
        <w:pStyle w:val="Prrafodelista"/>
        <w:numPr>
          <w:ilvl w:val="0"/>
          <w:numId w:val="39"/>
        </w:numPr>
        <w:ind w:left="360" w:hanging="180"/>
        <w:rPr>
          <w:rFonts w:cs="Times New Roman"/>
          <w:szCs w:val="20"/>
        </w:rPr>
      </w:pPr>
      <w:r>
        <w:rPr>
          <w:rFonts w:cs="Times New Roman"/>
          <w:szCs w:val="20"/>
        </w:rPr>
        <w:t xml:space="preserve">La </w:t>
      </w:r>
      <w:r w:rsidRPr="00513823">
        <w:rPr>
          <w:rFonts w:cs="Times New Roman"/>
          <w:szCs w:val="20"/>
        </w:rPr>
        <w:t xml:space="preserve">definición de acceso y </w:t>
      </w:r>
      <w:r>
        <w:rPr>
          <w:rFonts w:cs="Times New Roman"/>
          <w:szCs w:val="20"/>
        </w:rPr>
        <w:t xml:space="preserve">la </w:t>
      </w:r>
      <w:r w:rsidRPr="00513823">
        <w:rPr>
          <w:rFonts w:cs="Times New Roman"/>
          <w:szCs w:val="20"/>
        </w:rPr>
        <w:t>revisión de datos en tiempo real y</w:t>
      </w:r>
      <w:r>
        <w:rPr>
          <w:rFonts w:cs="Times New Roman"/>
          <w:szCs w:val="20"/>
        </w:rPr>
        <w:t>,</w:t>
      </w:r>
      <w:r w:rsidRPr="00513823">
        <w:rPr>
          <w:rFonts w:cs="Times New Roman"/>
          <w:szCs w:val="20"/>
        </w:rPr>
        <w:t xml:space="preserve"> específicamente</w:t>
      </w:r>
      <w:r>
        <w:rPr>
          <w:rFonts w:cs="Times New Roman"/>
          <w:szCs w:val="20"/>
        </w:rPr>
        <w:t>,</w:t>
      </w:r>
      <w:r w:rsidRPr="00513823">
        <w:rPr>
          <w:rFonts w:cs="Times New Roman"/>
          <w:szCs w:val="20"/>
        </w:rPr>
        <w:t xml:space="preserve"> si dicho acceso se refiere a datos brutos de registros electrónicos de salud, información de captura de datos electrónicos sin depurar o conjuntos de datos publicados por el patrocinador tras la verificación y revisión de los datos de origen y la resolución de consultas</w:t>
      </w:r>
      <w:r>
        <w:rPr>
          <w:rFonts w:cs="Times New Roman"/>
          <w:szCs w:val="20"/>
        </w:rPr>
        <w:t>;</w:t>
      </w:r>
    </w:p>
    <w:p w14:paraId="7D58627D" w14:textId="77777777" w:rsidR="00472EFF" w:rsidRDefault="00472EFF" w:rsidP="00F25512">
      <w:pPr>
        <w:pStyle w:val="Prrafodelista"/>
        <w:ind w:left="360" w:hanging="180"/>
        <w:rPr>
          <w:rFonts w:cs="Times New Roman"/>
          <w:szCs w:val="20"/>
        </w:rPr>
      </w:pPr>
    </w:p>
    <w:p w14:paraId="42C74B33" w14:textId="77777777" w:rsidR="00472EFF" w:rsidRDefault="00472EFF" w:rsidP="00F25512">
      <w:pPr>
        <w:pStyle w:val="Prrafodelista"/>
        <w:numPr>
          <w:ilvl w:val="0"/>
          <w:numId w:val="39"/>
        </w:numPr>
        <w:ind w:left="360" w:hanging="180"/>
        <w:rPr>
          <w:rFonts w:cs="Times New Roman"/>
          <w:szCs w:val="20"/>
        </w:rPr>
      </w:pPr>
      <w:r>
        <w:rPr>
          <w:rFonts w:cs="Times New Roman"/>
          <w:szCs w:val="20"/>
        </w:rPr>
        <w:t>L</w:t>
      </w:r>
      <w:r w:rsidRPr="00513823">
        <w:rPr>
          <w:rFonts w:cs="Times New Roman"/>
          <w:szCs w:val="20"/>
        </w:rPr>
        <w:t xml:space="preserve">os modelos subyacentes, los </w:t>
      </w:r>
      <w:r>
        <w:rPr>
          <w:rFonts w:cs="Times New Roman"/>
          <w:szCs w:val="20"/>
        </w:rPr>
        <w:t>tipos</w:t>
      </w:r>
      <w:r w:rsidRPr="00513823">
        <w:rPr>
          <w:rFonts w:cs="Times New Roman"/>
          <w:szCs w:val="20"/>
        </w:rPr>
        <w:t xml:space="preserve"> de uso previstos y los marcos de toma de decisiones que la FDA espera evaluar</w:t>
      </w:r>
      <w:r>
        <w:rPr>
          <w:rFonts w:cs="Times New Roman"/>
          <w:szCs w:val="20"/>
        </w:rPr>
        <w:t xml:space="preserve"> (</w:t>
      </w:r>
      <w:r w:rsidRPr="00513823">
        <w:rPr>
          <w:rFonts w:cs="Times New Roman"/>
          <w:szCs w:val="20"/>
        </w:rPr>
        <w:t>cómo los patrocinadores documentan estas decisiones en las presentaciones regulatorias</w:t>
      </w:r>
      <w:r>
        <w:rPr>
          <w:rFonts w:cs="Times New Roman"/>
          <w:szCs w:val="20"/>
        </w:rPr>
        <w:t>;</w:t>
      </w:r>
      <w:r w:rsidRPr="00513823">
        <w:rPr>
          <w:rFonts w:cs="Times New Roman"/>
          <w:szCs w:val="20"/>
        </w:rPr>
        <w:t xml:space="preserve"> si los patrocinadores deben divulgar el uso de IA en </w:t>
      </w:r>
      <w:r>
        <w:rPr>
          <w:rFonts w:cs="Times New Roman"/>
          <w:szCs w:val="20"/>
        </w:rPr>
        <w:t xml:space="preserve">los </w:t>
      </w:r>
      <w:r w:rsidRPr="00513823">
        <w:rPr>
          <w:rFonts w:cs="Times New Roman"/>
          <w:szCs w:val="20"/>
        </w:rPr>
        <w:t>documentos de</w:t>
      </w:r>
      <w:r>
        <w:rPr>
          <w:rFonts w:cs="Times New Roman"/>
          <w:szCs w:val="20"/>
        </w:rPr>
        <w:t>l</w:t>
      </w:r>
      <w:r w:rsidRPr="00513823">
        <w:rPr>
          <w:rFonts w:cs="Times New Roman"/>
          <w:szCs w:val="20"/>
        </w:rPr>
        <w:t xml:space="preserve"> estudio como protocolos y formularios de consentimiento informado</w:t>
      </w:r>
      <w:r>
        <w:rPr>
          <w:rFonts w:cs="Times New Roman"/>
          <w:szCs w:val="20"/>
        </w:rPr>
        <w:t xml:space="preserve"> </w:t>
      </w:r>
      <w:r w:rsidRPr="00513823">
        <w:rPr>
          <w:rFonts w:cs="Times New Roman"/>
          <w:szCs w:val="20"/>
        </w:rPr>
        <w:t>y, s</w:t>
      </w:r>
      <w:r>
        <w:rPr>
          <w:rFonts w:cs="Times New Roman"/>
          <w:szCs w:val="20"/>
        </w:rPr>
        <w:t>i</w:t>
      </w:r>
      <w:r w:rsidRPr="00513823">
        <w:rPr>
          <w:rFonts w:cs="Times New Roman"/>
          <w:szCs w:val="20"/>
        </w:rPr>
        <w:t xml:space="preserve"> </w:t>
      </w:r>
      <w:r>
        <w:rPr>
          <w:rFonts w:cs="Times New Roman"/>
          <w:szCs w:val="20"/>
        </w:rPr>
        <w:lastRenderedPageBreak/>
        <w:t>eventuales</w:t>
      </w:r>
      <w:r w:rsidRPr="00513823">
        <w:rPr>
          <w:rFonts w:cs="Times New Roman"/>
          <w:szCs w:val="20"/>
        </w:rPr>
        <w:t xml:space="preserve"> recomendaciones generadas por IA relacionadas con la dosificación o la seguridad </w:t>
      </w:r>
      <w:r>
        <w:rPr>
          <w:rFonts w:cs="Times New Roman"/>
          <w:szCs w:val="20"/>
        </w:rPr>
        <w:t xml:space="preserve">del fármaco experimental </w:t>
      </w:r>
      <w:r w:rsidRPr="00513823">
        <w:rPr>
          <w:rFonts w:cs="Times New Roman"/>
          <w:szCs w:val="20"/>
        </w:rPr>
        <w:t xml:space="preserve">darían lugar a enmiendas </w:t>
      </w:r>
      <w:r>
        <w:rPr>
          <w:rFonts w:cs="Times New Roman"/>
          <w:szCs w:val="20"/>
        </w:rPr>
        <w:t>de</w:t>
      </w:r>
      <w:r w:rsidRPr="00513823">
        <w:rPr>
          <w:rFonts w:cs="Times New Roman"/>
          <w:szCs w:val="20"/>
        </w:rPr>
        <w:t>l protocolo</w:t>
      </w:r>
      <w:r>
        <w:rPr>
          <w:rFonts w:cs="Times New Roman"/>
          <w:szCs w:val="20"/>
        </w:rPr>
        <w:t xml:space="preserve">); </w:t>
      </w:r>
    </w:p>
    <w:p w14:paraId="729CABAE" w14:textId="77777777" w:rsidR="00472EFF" w:rsidRDefault="00472EFF" w:rsidP="00F25512">
      <w:pPr>
        <w:pStyle w:val="Prrafodelista"/>
        <w:ind w:left="360" w:hanging="180"/>
        <w:rPr>
          <w:rFonts w:cs="Times New Roman"/>
          <w:szCs w:val="20"/>
        </w:rPr>
      </w:pPr>
    </w:p>
    <w:p w14:paraId="7F732F56" w14:textId="77777777" w:rsidR="00472EFF" w:rsidRDefault="00472EFF" w:rsidP="00F25512">
      <w:pPr>
        <w:pStyle w:val="Prrafodelista"/>
        <w:numPr>
          <w:ilvl w:val="0"/>
          <w:numId w:val="39"/>
        </w:numPr>
        <w:ind w:left="360" w:hanging="180"/>
        <w:rPr>
          <w:rFonts w:cs="Times New Roman"/>
          <w:szCs w:val="20"/>
        </w:rPr>
      </w:pPr>
      <w:r>
        <w:rPr>
          <w:rFonts w:cs="Times New Roman"/>
          <w:szCs w:val="20"/>
        </w:rPr>
        <w:t>E</w:t>
      </w:r>
      <w:r w:rsidRPr="00513823">
        <w:rPr>
          <w:rFonts w:cs="Times New Roman"/>
          <w:szCs w:val="20"/>
        </w:rPr>
        <w:t>l alcance de la documentación necesaria para demostrar la alineación con el Marco de Gestión de Riesgos de IA del</w:t>
      </w:r>
      <w:r>
        <w:rPr>
          <w:rFonts w:cs="Times New Roman"/>
          <w:szCs w:val="20"/>
        </w:rPr>
        <w:t xml:space="preserve"> </w:t>
      </w:r>
      <w:r w:rsidRPr="00DC1EE7">
        <w:rPr>
          <w:rFonts w:cs="Times New Roman"/>
          <w:szCs w:val="20"/>
        </w:rPr>
        <w:t>Instituto Nacional de Estándares y Tecnología</w:t>
      </w:r>
      <w:r>
        <w:rPr>
          <w:rFonts w:cs="Times New Roman"/>
          <w:szCs w:val="20"/>
        </w:rPr>
        <w:t xml:space="preserve"> (</w:t>
      </w:r>
      <w:r w:rsidRPr="00DC1EE7">
        <w:rPr>
          <w:rFonts w:cs="Times New Roman"/>
          <w:szCs w:val="20"/>
        </w:rPr>
        <w:t>cómo la agencia pretende diferenciar entre la IA utilizada como apoyo a la toma de decisiones con intervención humana y la toma de decisiones autónoma, cómo se deben mantener la reproducibilidad y la auditabilidad, y qué protecciones se aplicarían a los datos confidenciales incorporados al marco de IA</w:t>
      </w:r>
      <w:r>
        <w:rPr>
          <w:rFonts w:cs="Times New Roman"/>
          <w:szCs w:val="20"/>
        </w:rPr>
        <w:t xml:space="preserve">); </w:t>
      </w:r>
    </w:p>
    <w:p w14:paraId="00EC03A3" w14:textId="77777777" w:rsidR="00472EFF" w:rsidRPr="0037734C" w:rsidRDefault="00472EFF" w:rsidP="00F25512">
      <w:pPr>
        <w:ind w:left="360" w:hanging="180"/>
        <w:rPr>
          <w:rFonts w:cs="Times New Roman"/>
          <w:szCs w:val="20"/>
        </w:rPr>
      </w:pPr>
    </w:p>
    <w:p w14:paraId="79542E65" w14:textId="77777777" w:rsidR="00472EFF" w:rsidRDefault="00472EFF" w:rsidP="00F25512">
      <w:pPr>
        <w:pStyle w:val="Prrafodelista"/>
        <w:numPr>
          <w:ilvl w:val="0"/>
          <w:numId w:val="39"/>
        </w:numPr>
        <w:ind w:left="360" w:hanging="180"/>
        <w:rPr>
          <w:rFonts w:cs="Times New Roman"/>
          <w:szCs w:val="20"/>
        </w:rPr>
      </w:pPr>
      <w:r>
        <w:rPr>
          <w:rFonts w:cs="Times New Roman"/>
          <w:szCs w:val="20"/>
        </w:rPr>
        <w:t xml:space="preserve">Los detalles adicionales que necesitara el patrocinador para evaluar adecuadamente </w:t>
      </w:r>
      <w:r w:rsidRPr="00067298">
        <w:rPr>
          <w:rFonts w:cs="Times New Roman"/>
          <w:szCs w:val="20"/>
        </w:rPr>
        <w:t>la idoneidad, la interpretabilidad y la fiabilidad de los métodos basados en IA</w:t>
      </w:r>
      <w:r>
        <w:rPr>
          <w:rFonts w:cs="Times New Roman"/>
          <w:szCs w:val="20"/>
        </w:rPr>
        <w:t xml:space="preserve">; </w:t>
      </w:r>
    </w:p>
    <w:p w14:paraId="2D84E303" w14:textId="77777777" w:rsidR="00472EFF" w:rsidRPr="0037734C" w:rsidRDefault="00472EFF" w:rsidP="00F25512">
      <w:pPr>
        <w:ind w:left="360" w:hanging="180"/>
        <w:rPr>
          <w:rFonts w:cs="Times New Roman"/>
          <w:szCs w:val="20"/>
        </w:rPr>
      </w:pPr>
    </w:p>
    <w:p w14:paraId="5E05B4F1" w14:textId="77777777" w:rsidR="00472EFF" w:rsidRDefault="00472EFF" w:rsidP="00F25512">
      <w:pPr>
        <w:pStyle w:val="Prrafodelista"/>
        <w:numPr>
          <w:ilvl w:val="0"/>
          <w:numId w:val="39"/>
        </w:numPr>
        <w:ind w:left="360" w:hanging="180"/>
        <w:rPr>
          <w:rFonts w:cs="Times New Roman"/>
          <w:szCs w:val="20"/>
        </w:rPr>
      </w:pPr>
      <w:r>
        <w:rPr>
          <w:rFonts w:cs="Times New Roman"/>
          <w:szCs w:val="20"/>
        </w:rPr>
        <w:t>L</w:t>
      </w:r>
      <w:r w:rsidRPr="0037734C">
        <w:rPr>
          <w:rFonts w:cs="Times New Roman"/>
          <w:szCs w:val="20"/>
        </w:rPr>
        <w:t xml:space="preserve">as expectativas de la FDA en cuanto a la gobernanza, la supervisión y la rendición de cuentas de la IA, los requisitos de documentación, las expectativas de validación y la gestión del ciclo de vida de los medicamentos; </w:t>
      </w:r>
    </w:p>
    <w:p w14:paraId="1BFB6D00" w14:textId="77777777" w:rsidR="00472EFF" w:rsidRPr="0037734C" w:rsidRDefault="00472EFF" w:rsidP="00F25512">
      <w:pPr>
        <w:ind w:left="360" w:hanging="180"/>
        <w:rPr>
          <w:rFonts w:cs="Times New Roman"/>
          <w:szCs w:val="20"/>
        </w:rPr>
      </w:pPr>
    </w:p>
    <w:p w14:paraId="17915E9C" w14:textId="77777777" w:rsidR="00472EFF" w:rsidRDefault="00472EFF" w:rsidP="00F25512">
      <w:pPr>
        <w:pStyle w:val="Prrafodelista"/>
        <w:numPr>
          <w:ilvl w:val="0"/>
          <w:numId w:val="39"/>
        </w:numPr>
        <w:ind w:left="360" w:hanging="180"/>
        <w:rPr>
          <w:rFonts w:cs="Times New Roman"/>
          <w:szCs w:val="20"/>
        </w:rPr>
      </w:pPr>
      <w:r>
        <w:rPr>
          <w:rFonts w:cs="Times New Roman"/>
          <w:szCs w:val="20"/>
        </w:rPr>
        <w:t>E</w:t>
      </w:r>
      <w:r w:rsidRPr="00067298">
        <w:rPr>
          <w:rFonts w:cs="Times New Roman"/>
          <w:szCs w:val="20"/>
        </w:rPr>
        <w:t>l mantenimiento de la declaración previa de la FDA de que no se espera que el piloto requiera la presentación de datos a nivel de paciente</w:t>
      </w:r>
      <w:r>
        <w:rPr>
          <w:rFonts w:cs="Times New Roman"/>
          <w:szCs w:val="20"/>
        </w:rPr>
        <w:t>,</w:t>
      </w:r>
      <w:r w:rsidRPr="00067298">
        <w:rPr>
          <w:rFonts w:cs="Times New Roman"/>
          <w:szCs w:val="20"/>
        </w:rPr>
        <w:t xml:space="preserve"> sino que utilizará indicadores predefinidos de seguridad y eficacia al colaborar con los patrocinadores.</w:t>
      </w:r>
    </w:p>
    <w:p w14:paraId="3EE756B2" w14:textId="77777777" w:rsidR="00472EFF" w:rsidRPr="0037734C" w:rsidRDefault="00472EFF" w:rsidP="00472EFF">
      <w:pPr>
        <w:rPr>
          <w:rFonts w:cs="Times New Roman"/>
          <w:color w:val="FF0000"/>
          <w:szCs w:val="20"/>
        </w:rPr>
      </w:pPr>
    </w:p>
    <w:p w14:paraId="4BF5C434" w14:textId="77777777" w:rsidR="00472EFF" w:rsidRDefault="00472EFF" w:rsidP="00472EFF">
      <w:pPr>
        <w:rPr>
          <w:rFonts w:cs="Times New Roman"/>
          <w:szCs w:val="20"/>
        </w:rPr>
      </w:pPr>
      <w:r w:rsidRPr="00DC1EE7">
        <w:rPr>
          <w:rFonts w:cs="Times New Roman"/>
          <w:szCs w:val="20"/>
        </w:rPr>
        <w:t>El Instituto Duke-</w:t>
      </w:r>
      <w:proofErr w:type="spellStart"/>
      <w:r w:rsidRPr="00DC1EE7">
        <w:rPr>
          <w:rFonts w:cs="Times New Roman"/>
          <w:szCs w:val="20"/>
        </w:rPr>
        <w:t>Margolis</w:t>
      </w:r>
      <w:proofErr w:type="spellEnd"/>
      <w:r w:rsidRPr="00DC1EE7">
        <w:rPr>
          <w:rFonts w:cs="Times New Roman"/>
          <w:szCs w:val="20"/>
        </w:rPr>
        <w:t xml:space="preserve"> de Políticas de Salud solicitó </w:t>
      </w:r>
      <w:r>
        <w:rPr>
          <w:rFonts w:cs="Times New Roman"/>
          <w:szCs w:val="20"/>
        </w:rPr>
        <w:t>mayor claridad sobre los vacíos</w:t>
      </w:r>
      <w:r w:rsidRPr="00DC1EE7">
        <w:rPr>
          <w:rFonts w:cs="Times New Roman"/>
          <w:szCs w:val="20"/>
        </w:rPr>
        <w:t xml:space="preserve"> regulatori</w:t>
      </w:r>
      <w:r>
        <w:rPr>
          <w:rFonts w:cs="Times New Roman"/>
          <w:szCs w:val="20"/>
        </w:rPr>
        <w:t>os</w:t>
      </w:r>
      <w:r w:rsidRPr="00DC1EE7">
        <w:rPr>
          <w:rFonts w:cs="Times New Roman"/>
          <w:szCs w:val="20"/>
        </w:rPr>
        <w:t xml:space="preserve"> </w:t>
      </w:r>
      <w:r>
        <w:rPr>
          <w:rFonts w:cs="Times New Roman"/>
          <w:szCs w:val="20"/>
        </w:rPr>
        <w:t xml:space="preserve">que el actual piloto basado </w:t>
      </w:r>
      <w:r>
        <w:rPr>
          <w:rFonts w:cs="Times New Roman"/>
          <w:szCs w:val="20"/>
        </w:rPr>
        <w:t xml:space="preserve">en IA </w:t>
      </w:r>
      <w:r w:rsidRPr="00DC1EE7">
        <w:rPr>
          <w:rFonts w:cs="Times New Roman"/>
          <w:szCs w:val="20"/>
        </w:rPr>
        <w:t>intenta subsanar</w:t>
      </w:r>
      <w:r>
        <w:rPr>
          <w:rFonts w:cs="Times New Roman"/>
          <w:szCs w:val="20"/>
        </w:rPr>
        <w:t>,</w:t>
      </w:r>
      <w:r w:rsidRPr="00DC1EE7">
        <w:rPr>
          <w:rFonts w:cs="Times New Roman"/>
          <w:szCs w:val="20"/>
        </w:rPr>
        <w:t xml:space="preserve"> para garantizar que el programa cumpla su propósito y genere la información adecuada para la toma de decisiones regulatorias</w:t>
      </w:r>
      <w:r>
        <w:rPr>
          <w:rFonts w:cs="Times New Roman"/>
          <w:szCs w:val="20"/>
        </w:rPr>
        <w:t xml:space="preserve">. El </w:t>
      </w:r>
      <w:r w:rsidRPr="00DC1EE7">
        <w:rPr>
          <w:rFonts w:cs="Times New Roman"/>
          <w:szCs w:val="20"/>
        </w:rPr>
        <w:t xml:space="preserve">plazo propuesto de tres a seis meses para el programa piloto </w:t>
      </w:r>
      <w:r>
        <w:rPr>
          <w:rFonts w:cs="Times New Roman"/>
          <w:szCs w:val="20"/>
        </w:rPr>
        <w:t xml:space="preserve">es motivo de preocupación para el </w:t>
      </w:r>
      <w:r w:rsidRPr="00DC1EE7">
        <w:rPr>
          <w:rFonts w:cs="Times New Roman"/>
          <w:szCs w:val="20"/>
        </w:rPr>
        <w:t>Instituto Duke-</w:t>
      </w:r>
      <w:proofErr w:type="spellStart"/>
      <w:r w:rsidRPr="00DC1EE7">
        <w:rPr>
          <w:rFonts w:cs="Times New Roman"/>
          <w:szCs w:val="20"/>
        </w:rPr>
        <w:t>Margolis</w:t>
      </w:r>
      <w:proofErr w:type="spellEnd"/>
      <w:r>
        <w:rPr>
          <w:rFonts w:cs="Times New Roman"/>
          <w:szCs w:val="20"/>
        </w:rPr>
        <w:t xml:space="preserve"> </w:t>
      </w:r>
      <w:r w:rsidRPr="00DC1EE7">
        <w:rPr>
          <w:rFonts w:cs="Times New Roman"/>
          <w:szCs w:val="20"/>
        </w:rPr>
        <w:t xml:space="preserve">porque parece relativamente corto </w:t>
      </w:r>
      <w:r>
        <w:rPr>
          <w:rFonts w:cs="Times New Roman"/>
          <w:szCs w:val="20"/>
        </w:rPr>
        <w:t xml:space="preserve">ese tiempo </w:t>
      </w:r>
      <w:r w:rsidRPr="00DC1EE7">
        <w:rPr>
          <w:rFonts w:cs="Times New Roman"/>
          <w:szCs w:val="20"/>
        </w:rPr>
        <w:t>para el tipo de información que l</w:t>
      </w:r>
      <w:r>
        <w:rPr>
          <w:rFonts w:cs="Times New Roman"/>
          <w:szCs w:val="20"/>
        </w:rPr>
        <w:t>a agencia</w:t>
      </w:r>
      <w:r w:rsidRPr="00DC1EE7">
        <w:rPr>
          <w:rFonts w:cs="Times New Roman"/>
          <w:szCs w:val="20"/>
        </w:rPr>
        <w:t xml:space="preserve"> espera obtener. </w:t>
      </w:r>
    </w:p>
    <w:p w14:paraId="2E74DB0E" w14:textId="77777777" w:rsidR="00472EFF" w:rsidRDefault="00472EFF" w:rsidP="00472EFF">
      <w:pPr>
        <w:rPr>
          <w:rFonts w:cs="Times New Roman"/>
          <w:szCs w:val="20"/>
        </w:rPr>
      </w:pPr>
    </w:p>
    <w:p w14:paraId="54046B98" w14:textId="77777777" w:rsidR="00472EFF" w:rsidRDefault="00472EFF" w:rsidP="00472EFF">
      <w:pPr>
        <w:rPr>
          <w:rFonts w:cs="Times New Roman"/>
          <w:szCs w:val="20"/>
        </w:rPr>
      </w:pPr>
      <w:r>
        <w:rPr>
          <w:rFonts w:cs="Times New Roman"/>
          <w:szCs w:val="20"/>
        </w:rPr>
        <w:t>P</w:t>
      </w:r>
      <w:r w:rsidRPr="00DC1EE7">
        <w:rPr>
          <w:rFonts w:cs="Times New Roman"/>
          <w:szCs w:val="20"/>
        </w:rPr>
        <w:t>es</w:t>
      </w:r>
      <w:r>
        <w:rPr>
          <w:rFonts w:cs="Times New Roman"/>
          <w:szCs w:val="20"/>
        </w:rPr>
        <w:t>e</w:t>
      </w:r>
      <w:r w:rsidRPr="00DC1EE7">
        <w:rPr>
          <w:rFonts w:cs="Times New Roman"/>
          <w:szCs w:val="20"/>
        </w:rPr>
        <w:t xml:space="preserve"> </w:t>
      </w:r>
      <w:r>
        <w:rPr>
          <w:rFonts w:cs="Times New Roman"/>
          <w:szCs w:val="20"/>
        </w:rPr>
        <w:t>a</w:t>
      </w:r>
      <w:r w:rsidRPr="00DC1EE7">
        <w:rPr>
          <w:rFonts w:cs="Times New Roman"/>
          <w:szCs w:val="20"/>
        </w:rPr>
        <w:t>l potencial de la IA para acelerar los ensayos clínicos, Duke-</w:t>
      </w:r>
      <w:proofErr w:type="spellStart"/>
      <w:r w:rsidRPr="00DC1EE7">
        <w:rPr>
          <w:rFonts w:cs="Times New Roman"/>
          <w:szCs w:val="20"/>
        </w:rPr>
        <w:t>Margolis</w:t>
      </w:r>
      <w:proofErr w:type="spellEnd"/>
      <w:r w:rsidRPr="00DC1EE7">
        <w:rPr>
          <w:rFonts w:cs="Times New Roman"/>
          <w:szCs w:val="20"/>
        </w:rPr>
        <w:t xml:space="preserve"> advirtió que no todas las decisiones se benefician de la rapidez y que </w:t>
      </w:r>
      <w:r>
        <w:rPr>
          <w:rFonts w:cs="Times New Roman"/>
          <w:szCs w:val="20"/>
        </w:rPr>
        <w:t>hay que</w:t>
      </w:r>
      <w:r w:rsidRPr="00DC1EE7">
        <w:rPr>
          <w:rFonts w:cs="Times New Roman"/>
          <w:szCs w:val="20"/>
        </w:rPr>
        <w:t xml:space="preserve"> aclarar cómo el uso de la IA puede aportar beneficios en comparación con </w:t>
      </w:r>
      <w:r>
        <w:rPr>
          <w:rFonts w:cs="Times New Roman"/>
          <w:szCs w:val="20"/>
        </w:rPr>
        <w:t>sus</w:t>
      </w:r>
      <w:r w:rsidRPr="00DC1EE7">
        <w:rPr>
          <w:rFonts w:cs="Times New Roman"/>
          <w:szCs w:val="20"/>
        </w:rPr>
        <w:t xml:space="preserve"> riesgos potenciales</w:t>
      </w:r>
      <w:r>
        <w:rPr>
          <w:rFonts w:cs="Times New Roman"/>
          <w:szCs w:val="20"/>
        </w:rPr>
        <w:t xml:space="preserve">.  </w:t>
      </w:r>
    </w:p>
    <w:p w14:paraId="48A0994F" w14:textId="77777777" w:rsidR="00472EFF" w:rsidRDefault="00472EFF" w:rsidP="00472EFF">
      <w:pPr>
        <w:rPr>
          <w:rFonts w:cs="Times New Roman"/>
          <w:szCs w:val="20"/>
        </w:rPr>
      </w:pPr>
    </w:p>
    <w:p w14:paraId="5426458A" w14:textId="77777777" w:rsidR="00472EFF" w:rsidRPr="00DC1EE7" w:rsidRDefault="00472EFF" w:rsidP="00472EFF">
      <w:pPr>
        <w:rPr>
          <w:rFonts w:cs="Times New Roman"/>
          <w:szCs w:val="20"/>
        </w:rPr>
      </w:pPr>
      <w:r>
        <w:rPr>
          <w:rFonts w:cs="Times New Roman"/>
          <w:szCs w:val="20"/>
        </w:rPr>
        <w:t xml:space="preserve">El </w:t>
      </w:r>
      <w:r w:rsidRPr="00DC1EE7">
        <w:rPr>
          <w:rFonts w:cs="Times New Roman"/>
          <w:szCs w:val="20"/>
        </w:rPr>
        <w:t>Instituto Duke-</w:t>
      </w:r>
      <w:proofErr w:type="spellStart"/>
      <w:r w:rsidRPr="00DC1EE7">
        <w:rPr>
          <w:rFonts w:cs="Times New Roman"/>
          <w:szCs w:val="20"/>
        </w:rPr>
        <w:t>Margolis</w:t>
      </w:r>
      <w:proofErr w:type="spellEnd"/>
      <w:r w:rsidRPr="00DC1EE7">
        <w:rPr>
          <w:rFonts w:cs="Times New Roman"/>
          <w:szCs w:val="20"/>
        </w:rPr>
        <w:t xml:space="preserve"> </w:t>
      </w:r>
      <w:r>
        <w:rPr>
          <w:rFonts w:cs="Times New Roman"/>
          <w:szCs w:val="20"/>
        </w:rPr>
        <w:t>también enfatizó</w:t>
      </w:r>
      <w:r w:rsidRPr="00DC1EE7">
        <w:rPr>
          <w:rFonts w:cs="Times New Roman"/>
          <w:szCs w:val="20"/>
        </w:rPr>
        <w:t xml:space="preserve"> que la agencia debería utilizar varias métricas para evaluar los enfoques basados en IA </w:t>
      </w:r>
      <w:r>
        <w:rPr>
          <w:rFonts w:cs="Times New Roman"/>
          <w:szCs w:val="20"/>
        </w:rPr>
        <w:t>en el marco del</w:t>
      </w:r>
      <w:r w:rsidRPr="00DC1EE7">
        <w:rPr>
          <w:rFonts w:cs="Times New Roman"/>
          <w:szCs w:val="20"/>
        </w:rPr>
        <w:t xml:space="preserve"> piloto</w:t>
      </w:r>
      <w:r>
        <w:rPr>
          <w:rFonts w:cs="Times New Roman"/>
          <w:szCs w:val="20"/>
        </w:rPr>
        <w:t xml:space="preserve"> (</w:t>
      </w:r>
      <w:r w:rsidRPr="00DC1EE7">
        <w:rPr>
          <w:rFonts w:cs="Times New Roman"/>
          <w:szCs w:val="20"/>
        </w:rPr>
        <w:t>eficiencia del ensayo, el tiempo de transición y la validez del sistema de IA</w:t>
      </w:r>
      <w:r>
        <w:rPr>
          <w:rFonts w:cs="Times New Roman"/>
          <w:szCs w:val="20"/>
        </w:rPr>
        <w:t>, entre otros) y</w:t>
      </w:r>
      <w:r w:rsidRPr="00DC1EE7">
        <w:rPr>
          <w:rFonts w:cs="Times New Roman"/>
          <w:szCs w:val="20"/>
        </w:rPr>
        <w:t xml:space="preserve"> compartir los marcos de evaluación de riesgo-beneficio que la agencia podría actualizar o desarrollar.</w:t>
      </w:r>
    </w:p>
    <w:p w14:paraId="5B4690CE" w14:textId="77777777" w:rsidR="00472EFF" w:rsidRDefault="00472EFF" w:rsidP="00472EFF">
      <w:pPr>
        <w:rPr>
          <w:szCs w:val="20"/>
        </w:rPr>
      </w:pPr>
    </w:p>
    <w:p w14:paraId="3D2E083A" w14:textId="77777777" w:rsidR="00472EFF" w:rsidRDefault="00472EFF" w:rsidP="00472EFF">
      <w:pPr>
        <w:rPr>
          <w:szCs w:val="20"/>
        </w:rPr>
      </w:pPr>
      <w:r w:rsidRPr="00B1650C">
        <w:rPr>
          <w:b/>
          <w:bCs/>
          <w:szCs w:val="20"/>
        </w:rPr>
        <w:t>Nota de Salud y Fármacos:</w:t>
      </w:r>
      <w:r>
        <w:rPr>
          <w:szCs w:val="20"/>
        </w:rPr>
        <w:t xml:space="preserve"> Acceda aquí a la información sobre el </w:t>
      </w:r>
      <w:r>
        <w:t xml:space="preserve">Programa piloto de optimización de ensayos clínicos de fase temprana mediante inteligencia artificial (IA) </w:t>
      </w:r>
      <w:r>
        <w:rPr>
          <w:szCs w:val="20"/>
        </w:rPr>
        <w:t xml:space="preserve">emitido por la FDA </w:t>
      </w:r>
      <w:hyperlink r:id="rId94" w:history="1">
        <w:r w:rsidRPr="00860872">
          <w:rPr>
            <w:rStyle w:val="Hipervnculo"/>
            <w:szCs w:val="20"/>
          </w:rPr>
          <w:t>https://www.regulations.gov/document/FDA-2026-N-4390-0001</w:t>
        </w:r>
      </w:hyperlink>
    </w:p>
    <w:p w14:paraId="29FE674C" w14:textId="77777777" w:rsidR="00472EFF" w:rsidRDefault="00472EFF" w:rsidP="00472EFF">
      <w:pPr>
        <w:rPr>
          <w:szCs w:val="20"/>
        </w:rPr>
      </w:pPr>
    </w:p>
    <w:p w14:paraId="1FCD9A5D" w14:textId="77777777" w:rsidR="00472EFF" w:rsidRPr="00E27CF3" w:rsidRDefault="00472EFF" w:rsidP="00472EFF">
      <w:pPr>
        <w:rPr>
          <w:b/>
          <w:bCs/>
          <w:sz w:val="18"/>
          <w:szCs w:val="18"/>
          <w:lang w:val="en-US"/>
        </w:rPr>
      </w:pPr>
      <w:r w:rsidRPr="00E27CF3">
        <w:rPr>
          <w:b/>
          <w:bCs/>
          <w:sz w:val="18"/>
          <w:szCs w:val="18"/>
          <w:lang w:val="en-US"/>
        </w:rPr>
        <w:t>Fuente Original:</w:t>
      </w:r>
    </w:p>
    <w:p w14:paraId="2DA7ADC4" w14:textId="77777777" w:rsidR="00472EFF" w:rsidRPr="00E27CF3" w:rsidRDefault="00472EFF" w:rsidP="00F25512">
      <w:pPr>
        <w:ind w:left="180" w:hanging="180"/>
        <w:rPr>
          <w:sz w:val="18"/>
          <w:szCs w:val="22"/>
          <w:lang w:val="en-US"/>
        </w:rPr>
      </w:pPr>
      <w:r w:rsidRPr="00E27CF3">
        <w:rPr>
          <w:sz w:val="18"/>
          <w:szCs w:val="22"/>
          <w:lang w:val="en-US"/>
        </w:rPr>
        <w:t xml:space="preserve">1.Al-Faruque, F. FDA asked to clarify AI pilot objectives for early-phase clinical trials. </w:t>
      </w:r>
      <w:r w:rsidRPr="00E27CF3">
        <w:rPr>
          <w:i/>
          <w:iCs/>
          <w:sz w:val="18"/>
          <w:szCs w:val="18"/>
          <w:lang w:val="en-US"/>
        </w:rPr>
        <w:t>Regulatory Focus,</w:t>
      </w:r>
      <w:r w:rsidRPr="00E27CF3">
        <w:rPr>
          <w:sz w:val="18"/>
          <w:szCs w:val="18"/>
          <w:lang w:val="en-US"/>
        </w:rPr>
        <w:t xml:space="preserve"> 1 de </w:t>
      </w:r>
      <w:proofErr w:type="spellStart"/>
      <w:r w:rsidRPr="00E27CF3">
        <w:rPr>
          <w:sz w:val="18"/>
          <w:szCs w:val="18"/>
          <w:lang w:val="en-US"/>
        </w:rPr>
        <w:t>julio</w:t>
      </w:r>
      <w:proofErr w:type="spellEnd"/>
      <w:r w:rsidRPr="00E27CF3">
        <w:rPr>
          <w:sz w:val="18"/>
          <w:szCs w:val="18"/>
          <w:lang w:val="en-US"/>
        </w:rPr>
        <w:t xml:space="preserve"> de 2026</w:t>
      </w:r>
      <w:r>
        <w:rPr>
          <w:sz w:val="18"/>
          <w:szCs w:val="18"/>
          <w:lang w:val="en-US"/>
        </w:rPr>
        <w:t xml:space="preserve"> </w:t>
      </w:r>
      <w:hyperlink r:id="rId95" w:history="1">
        <w:r w:rsidRPr="00E27CF3">
          <w:rPr>
            <w:rStyle w:val="Hipervnculo"/>
            <w:sz w:val="18"/>
            <w:szCs w:val="22"/>
            <w:lang w:val="en-US"/>
          </w:rPr>
          <w:t>https://www.raps.org/resource/fda-asked-to-clarify-ai-pilot-objectives-for-early-phase-clinical-trials.html</w:t>
        </w:r>
      </w:hyperlink>
    </w:p>
    <w:p w14:paraId="020F39F2" w14:textId="77777777" w:rsidR="00140BE1" w:rsidRDefault="00140BE1" w:rsidP="004D63D3">
      <w:pPr>
        <w:jc w:val="center"/>
        <w:rPr>
          <w:rFonts w:eastAsia="Times New Roman" w:cs="Times New Roman"/>
          <w:color w:val="0D0D0D" w:themeColor="text1" w:themeTint="F2"/>
          <w:szCs w:val="20"/>
          <w:lang w:val="en-US"/>
        </w:rPr>
        <w:sectPr w:rsidR="00140BE1" w:rsidSect="00140BE1">
          <w:type w:val="continuous"/>
          <w:pgSz w:w="12240" w:h="15840" w:code="1"/>
          <w:pgMar w:top="720" w:right="720" w:bottom="720" w:left="720" w:header="288" w:footer="288" w:gutter="0"/>
          <w:cols w:num="2" w:space="288"/>
          <w:docGrid w:linePitch="360"/>
        </w:sectPr>
      </w:pPr>
    </w:p>
    <w:p w14:paraId="6DC292CD" w14:textId="734A3CE6" w:rsidR="00472EFF" w:rsidRPr="00F25512" w:rsidRDefault="00472EFF" w:rsidP="004D63D3">
      <w:pPr>
        <w:jc w:val="center"/>
        <w:rPr>
          <w:rFonts w:eastAsia="Times New Roman" w:cs="Times New Roman"/>
          <w:color w:val="0D0D0D" w:themeColor="text1" w:themeTint="F2"/>
          <w:szCs w:val="20"/>
          <w:lang w:val="en-US"/>
        </w:rPr>
      </w:pPr>
    </w:p>
    <w:p w14:paraId="392C357E" w14:textId="77777777" w:rsidR="00472EFF" w:rsidRPr="00F25512" w:rsidRDefault="00472EFF" w:rsidP="004D63D3">
      <w:pPr>
        <w:jc w:val="center"/>
        <w:rPr>
          <w:rFonts w:eastAsia="Times New Roman" w:cs="Times New Roman"/>
          <w:color w:val="0D0D0D" w:themeColor="text1" w:themeTint="F2"/>
          <w:szCs w:val="20"/>
          <w:lang w:val="en-US"/>
        </w:rPr>
      </w:pPr>
    </w:p>
    <w:p w14:paraId="07EE2193" w14:textId="77777777" w:rsidR="009E43D5" w:rsidRPr="00D76B67" w:rsidRDefault="009E43D5" w:rsidP="009E43D5">
      <w:pPr>
        <w:jc w:val="center"/>
        <w:rPr>
          <w:rFonts w:cs="Times New Roman"/>
          <w:szCs w:val="20"/>
        </w:rPr>
      </w:pPr>
      <w:r w:rsidRPr="001D0015">
        <w:t>EE UU.</w:t>
      </w:r>
      <w:r>
        <w:rPr>
          <w:b/>
          <w:bCs/>
        </w:rPr>
        <w:t xml:space="preserve"> </w:t>
      </w:r>
      <w:r w:rsidRPr="00EA71DA">
        <w:rPr>
          <w:b/>
          <w:bCs/>
        </w:rPr>
        <w:t xml:space="preserve">Evaluación de la eficacia de un fármaco tras múltiples ensayos negativos: el recorrido de </w:t>
      </w:r>
      <w:proofErr w:type="spellStart"/>
      <w:r w:rsidRPr="00EA71DA">
        <w:rPr>
          <w:b/>
          <w:bCs/>
          <w:i/>
          <w:iCs/>
        </w:rPr>
        <w:t>gepirona</w:t>
      </w:r>
      <w:proofErr w:type="spellEnd"/>
      <w:r w:rsidRPr="00EA71DA">
        <w:rPr>
          <w:b/>
          <w:bCs/>
        </w:rPr>
        <w:t xml:space="preserve"> por </w:t>
      </w:r>
      <w:r w:rsidRPr="00EA71DA">
        <w:rPr>
          <w:rFonts w:cs="Times New Roman"/>
          <w:b/>
          <w:bCs/>
          <w:szCs w:val="20"/>
        </w:rPr>
        <w:t>la FDA</w:t>
      </w:r>
      <w:r>
        <w:rPr>
          <w:rFonts w:cs="Times New Roman"/>
          <w:b/>
          <w:bCs/>
          <w:szCs w:val="20"/>
        </w:rPr>
        <w:t xml:space="preserve"> </w:t>
      </w:r>
      <w:r w:rsidRPr="00D76B67">
        <w:rPr>
          <w:rFonts w:cs="Times New Roman"/>
          <w:i/>
          <w:iCs/>
          <w:szCs w:val="20"/>
        </w:rPr>
        <w:t>(</w:t>
      </w:r>
      <w:proofErr w:type="spellStart"/>
      <w:r w:rsidRPr="00D76B67">
        <w:rPr>
          <w:i/>
          <w:iCs/>
        </w:rPr>
        <w:t>Assessing</w:t>
      </w:r>
      <w:proofErr w:type="spellEnd"/>
      <w:r w:rsidRPr="00D76B67">
        <w:rPr>
          <w:i/>
          <w:iCs/>
        </w:rPr>
        <w:t xml:space="preserve"> </w:t>
      </w:r>
      <w:proofErr w:type="spellStart"/>
      <w:r w:rsidRPr="00D76B67">
        <w:rPr>
          <w:i/>
          <w:iCs/>
        </w:rPr>
        <w:t>Drug</w:t>
      </w:r>
      <w:proofErr w:type="spellEnd"/>
      <w:r w:rsidRPr="00D76B67">
        <w:rPr>
          <w:i/>
          <w:iCs/>
        </w:rPr>
        <w:t xml:space="preserve"> </w:t>
      </w:r>
      <w:proofErr w:type="spellStart"/>
      <w:r w:rsidRPr="00D76B67">
        <w:rPr>
          <w:i/>
          <w:iCs/>
        </w:rPr>
        <w:t>Efficacy</w:t>
      </w:r>
      <w:proofErr w:type="spellEnd"/>
      <w:r w:rsidRPr="00D76B67">
        <w:rPr>
          <w:i/>
          <w:iCs/>
        </w:rPr>
        <w:t xml:space="preserve"> After </w:t>
      </w:r>
      <w:proofErr w:type="spellStart"/>
      <w:r w:rsidRPr="00D76B67">
        <w:rPr>
          <w:i/>
          <w:iCs/>
        </w:rPr>
        <w:t>Multiple</w:t>
      </w:r>
      <w:proofErr w:type="spellEnd"/>
      <w:r w:rsidRPr="00D76B67">
        <w:rPr>
          <w:i/>
          <w:iCs/>
        </w:rPr>
        <w:t xml:space="preserve"> Negative </w:t>
      </w:r>
      <w:proofErr w:type="spellStart"/>
      <w:r w:rsidRPr="00D76B67">
        <w:rPr>
          <w:i/>
          <w:iCs/>
        </w:rPr>
        <w:t>Trials</w:t>
      </w:r>
      <w:proofErr w:type="spellEnd"/>
      <w:r w:rsidRPr="00D76B67">
        <w:rPr>
          <w:i/>
          <w:iCs/>
        </w:rPr>
        <w:t>—</w:t>
      </w:r>
      <w:proofErr w:type="spellStart"/>
      <w:r w:rsidRPr="00D76B67">
        <w:rPr>
          <w:i/>
          <w:iCs/>
        </w:rPr>
        <w:t>Gepirone’s</w:t>
      </w:r>
      <w:proofErr w:type="spellEnd"/>
      <w:r w:rsidRPr="00D76B67">
        <w:rPr>
          <w:i/>
          <w:iCs/>
        </w:rPr>
        <w:t xml:space="preserve"> </w:t>
      </w:r>
      <w:proofErr w:type="spellStart"/>
      <w:r w:rsidRPr="00D76B67">
        <w:rPr>
          <w:i/>
          <w:iCs/>
        </w:rPr>
        <w:t>Journey</w:t>
      </w:r>
      <w:proofErr w:type="spellEnd"/>
      <w:r w:rsidRPr="00D76B67">
        <w:rPr>
          <w:i/>
          <w:iCs/>
        </w:rPr>
        <w:t xml:space="preserve"> </w:t>
      </w:r>
      <w:proofErr w:type="spellStart"/>
      <w:r w:rsidRPr="00D76B67">
        <w:rPr>
          <w:i/>
          <w:iCs/>
        </w:rPr>
        <w:t>Through</w:t>
      </w:r>
      <w:proofErr w:type="spellEnd"/>
      <w:r w:rsidRPr="00D76B67">
        <w:rPr>
          <w:i/>
          <w:iCs/>
        </w:rPr>
        <w:t xml:space="preserve"> </w:t>
      </w:r>
      <w:proofErr w:type="spellStart"/>
      <w:r w:rsidRPr="00D76B67">
        <w:rPr>
          <w:i/>
          <w:iCs/>
        </w:rPr>
        <w:t>the</w:t>
      </w:r>
      <w:proofErr w:type="spellEnd"/>
      <w:r w:rsidRPr="00D76B67">
        <w:rPr>
          <w:i/>
          <w:iCs/>
        </w:rPr>
        <w:t xml:space="preserve"> FDA)</w:t>
      </w:r>
      <w:r>
        <w:rPr>
          <w:rFonts w:ascii="Helvetica" w:hAnsi="Helvetica" w:cs="Helvetica"/>
          <w:color w:val="333333"/>
          <w:sz w:val="23"/>
          <w:szCs w:val="23"/>
          <w:shd w:val="clear" w:color="auto" w:fill="FFFFFF"/>
        </w:rPr>
        <w:t xml:space="preserve"> </w:t>
      </w:r>
    </w:p>
    <w:p w14:paraId="558AB614" w14:textId="77777777" w:rsidR="009E43D5" w:rsidRPr="00E27CF3" w:rsidRDefault="009E43D5" w:rsidP="009E43D5">
      <w:pPr>
        <w:jc w:val="center"/>
        <w:rPr>
          <w:rFonts w:cs="Times New Roman"/>
          <w:szCs w:val="20"/>
          <w:lang w:val="en-US"/>
        </w:rPr>
      </w:pPr>
      <w:r w:rsidRPr="00E27CF3">
        <w:rPr>
          <w:rFonts w:cs="Times New Roman"/>
          <w:szCs w:val="20"/>
          <w:lang w:val="en-US"/>
        </w:rPr>
        <w:t>EH Turner,</w:t>
      </w:r>
      <w:r>
        <w:rPr>
          <w:rFonts w:cs="Times New Roman"/>
          <w:szCs w:val="20"/>
          <w:lang w:val="en-US"/>
        </w:rPr>
        <w:t xml:space="preserve"> </w:t>
      </w:r>
      <w:r w:rsidRPr="00E27CF3">
        <w:rPr>
          <w:rFonts w:cs="Times New Roman"/>
          <w:szCs w:val="20"/>
          <w:lang w:val="en-US"/>
        </w:rPr>
        <w:t>JH Powers,</w:t>
      </w:r>
      <w:r>
        <w:rPr>
          <w:rFonts w:cs="Times New Roman"/>
          <w:szCs w:val="20"/>
          <w:lang w:val="en-US"/>
        </w:rPr>
        <w:t xml:space="preserve"> </w:t>
      </w:r>
      <w:r w:rsidRPr="00E27CF3">
        <w:rPr>
          <w:rFonts w:cs="Times New Roman"/>
          <w:szCs w:val="20"/>
          <w:lang w:val="en-US"/>
        </w:rPr>
        <w:t xml:space="preserve">RY </w:t>
      </w:r>
      <w:proofErr w:type="spellStart"/>
      <w:r w:rsidRPr="00E27CF3">
        <w:rPr>
          <w:rFonts w:cs="Times New Roman"/>
          <w:szCs w:val="20"/>
          <w:lang w:val="en-US"/>
        </w:rPr>
        <w:t>Ahn</w:t>
      </w:r>
      <w:proofErr w:type="spellEnd"/>
      <w:r w:rsidRPr="00E27CF3">
        <w:rPr>
          <w:rFonts w:cs="Times New Roman"/>
          <w:szCs w:val="20"/>
          <w:lang w:val="en-US"/>
        </w:rPr>
        <w:t xml:space="preserve">-Horst y </w:t>
      </w:r>
      <w:r>
        <w:rPr>
          <w:rFonts w:cs="Times New Roman"/>
          <w:szCs w:val="20"/>
          <w:lang w:val="en-US"/>
        </w:rPr>
        <w:t>A</w:t>
      </w:r>
      <w:r w:rsidRPr="00E27CF3">
        <w:rPr>
          <w:rFonts w:cs="Times New Roman"/>
          <w:szCs w:val="20"/>
          <w:lang w:val="en-US"/>
        </w:rPr>
        <w:t>S</w:t>
      </w:r>
      <w:r>
        <w:rPr>
          <w:rFonts w:cs="Times New Roman"/>
          <w:szCs w:val="20"/>
          <w:lang w:val="en-US"/>
        </w:rPr>
        <w:t xml:space="preserve"> </w:t>
      </w:r>
      <w:proofErr w:type="spellStart"/>
      <w:r w:rsidRPr="00E27CF3">
        <w:rPr>
          <w:rFonts w:cs="Times New Roman"/>
          <w:szCs w:val="20"/>
          <w:lang w:val="en-US"/>
        </w:rPr>
        <w:t>Kesselheim</w:t>
      </w:r>
      <w:proofErr w:type="spellEnd"/>
    </w:p>
    <w:p w14:paraId="45780784" w14:textId="77777777" w:rsidR="009E43D5" w:rsidRPr="00D76B67" w:rsidRDefault="009E43D5" w:rsidP="009E43D5">
      <w:pPr>
        <w:jc w:val="center"/>
        <w:rPr>
          <w:rFonts w:cs="Times New Roman"/>
          <w:szCs w:val="20"/>
        </w:rPr>
      </w:pPr>
      <w:r w:rsidRPr="00D76B67">
        <w:rPr>
          <w:rFonts w:cs="Times New Roman"/>
          <w:i/>
          <w:iCs/>
          <w:szCs w:val="20"/>
        </w:rPr>
        <w:t xml:space="preserve">JAMA </w:t>
      </w:r>
      <w:proofErr w:type="spellStart"/>
      <w:r w:rsidRPr="00D76B67">
        <w:rPr>
          <w:rFonts w:cs="Times New Roman"/>
          <w:i/>
          <w:iCs/>
          <w:szCs w:val="20"/>
        </w:rPr>
        <w:t>Psychiatry</w:t>
      </w:r>
      <w:proofErr w:type="spellEnd"/>
      <w:r w:rsidRPr="00D76B67">
        <w:rPr>
          <w:rFonts w:cs="Times New Roman"/>
          <w:i/>
          <w:iCs/>
          <w:szCs w:val="20"/>
        </w:rPr>
        <w:t>.</w:t>
      </w:r>
      <w:r>
        <w:rPr>
          <w:rFonts w:cs="Times New Roman"/>
          <w:szCs w:val="20"/>
        </w:rPr>
        <w:t xml:space="preserve"> </w:t>
      </w:r>
      <w:r w:rsidRPr="00D76B67">
        <w:rPr>
          <w:rFonts w:cs="Times New Roman"/>
          <w:szCs w:val="20"/>
        </w:rPr>
        <w:t xml:space="preserve">2026;83(8):864–869. </w:t>
      </w:r>
      <w:r>
        <w:rPr>
          <w:rFonts w:cs="Times New Roman"/>
          <w:szCs w:val="20"/>
        </w:rPr>
        <w:t>DOI</w:t>
      </w:r>
      <w:r w:rsidRPr="00D76B67">
        <w:rPr>
          <w:rFonts w:cs="Times New Roman"/>
          <w:szCs w:val="20"/>
        </w:rPr>
        <w:t>:10.1001/jamapsychiatry.2026.1438</w:t>
      </w:r>
    </w:p>
    <w:p w14:paraId="28C51C29" w14:textId="77777777" w:rsidR="009E43D5" w:rsidRPr="00D76B67" w:rsidRDefault="00B00DA4" w:rsidP="009E43D5">
      <w:pPr>
        <w:jc w:val="center"/>
      </w:pPr>
      <w:hyperlink r:id="rId96" w:history="1">
        <w:r w:rsidR="009E43D5" w:rsidRPr="00D76B67">
          <w:rPr>
            <w:rStyle w:val="Hipervnculo"/>
          </w:rPr>
          <w:t>https://jamanetwork.com/journals/jamapsychiatry/article-abstract/2850581</w:t>
        </w:r>
      </w:hyperlink>
    </w:p>
    <w:p w14:paraId="2CD61621" w14:textId="77777777" w:rsidR="009E43D5" w:rsidRDefault="009E43D5" w:rsidP="009E43D5">
      <w:pPr>
        <w:jc w:val="center"/>
        <w:rPr>
          <w:i/>
          <w:iCs/>
          <w:szCs w:val="20"/>
        </w:rPr>
      </w:pPr>
      <w:r w:rsidRPr="00D76B67">
        <w:rPr>
          <w:szCs w:val="20"/>
        </w:rPr>
        <w:t>Traducido por Salud y Fármacos, publicado en</w:t>
      </w:r>
      <w:r>
        <w:rPr>
          <w:i/>
          <w:iCs/>
          <w:szCs w:val="20"/>
        </w:rPr>
        <w:t xml:space="preserve"> </w:t>
      </w:r>
      <w:r w:rsidRPr="001976EE">
        <w:rPr>
          <w:i/>
          <w:iCs/>
          <w:szCs w:val="20"/>
        </w:rPr>
        <w:t xml:space="preserve">Boletín Fármacos: </w:t>
      </w:r>
      <w:r>
        <w:rPr>
          <w:i/>
          <w:iCs/>
          <w:szCs w:val="20"/>
        </w:rPr>
        <w:t>Agencia</w:t>
      </w:r>
      <w:r w:rsidRPr="001976EE">
        <w:rPr>
          <w:i/>
          <w:iCs/>
          <w:szCs w:val="20"/>
        </w:rPr>
        <w:t>s</w:t>
      </w:r>
      <w:r>
        <w:rPr>
          <w:i/>
          <w:iCs/>
          <w:szCs w:val="20"/>
        </w:rPr>
        <w:t xml:space="preserve"> Reguladoras</w:t>
      </w:r>
      <w:r w:rsidRPr="001976EE">
        <w:rPr>
          <w:i/>
          <w:iCs/>
          <w:szCs w:val="20"/>
        </w:rPr>
        <w:t xml:space="preserve"> 2026; 29(3)</w:t>
      </w:r>
    </w:p>
    <w:p w14:paraId="2C1BC389" w14:textId="77777777" w:rsidR="009E43D5" w:rsidRDefault="009E43D5" w:rsidP="009E43D5">
      <w:pPr>
        <w:rPr>
          <w:b/>
          <w:bCs/>
        </w:rPr>
      </w:pPr>
    </w:p>
    <w:p w14:paraId="0B0E2036" w14:textId="77777777" w:rsidR="00421B71" w:rsidRDefault="00421B71" w:rsidP="009E43D5">
      <w:pPr>
        <w:rPr>
          <w:b/>
          <w:bCs/>
          <w:sz w:val="18"/>
          <w:szCs w:val="22"/>
        </w:rPr>
        <w:sectPr w:rsidR="00421B71" w:rsidSect="00F25512">
          <w:type w:val="continuous"/>
          <w:pgSz w:w="12240" w:h="15840" w:code="1"/>
          <w:pgMar w:top="720" w:right="720" w:bottom="720" w:left="720" w:header="288" w:footer="288" w:gutter="0"/>
          <w:cols w:space="288"/>
          <w:docGrid w:linePitch="360"/>
        </w:sectPr>
      </w:pPr>
    </w:p>
    <w:p w14:paraId="4029268D" w14:textId="7D38E74B" w:rsidR="009E43D5" w:rsidRPr="00D76B67" w:rsidRDefault="009E43D5" w:rsidP="009E43D5">
      <w:pPr>
        <w:rPr>
          <w:b/>
          <w:bCs/>
          <w:sz w:val="18"/>
          <w:szCs w:val="22"/>
        </w:rPr>
      </w:pPr>
      <w:r w:rsidRPr="00D76B67">
        <w:rPr>
          <w:b/>
          <w:bCs/>
          <w:sz w:val="18"/>
          <w:szCs w:val="22"/>
        </w:rPr>
        <w:t xml:space="preserve">Tags: eficacia de </w:t>
      </w:r>
      <w:proofErr w:type="spellStart"/>
      <w:r w:rsidRPr="000D6539">
        <w:rPr>
          <w:b/>
          <w:bCs/>
          <w:i/>
          <w:iCs/>
          <w:sz w:val="18"/>
          <w:szCs w:val="22"/>
        </w:rPr>
        <w:t>gepirona</w:t>
      </w:r>
      <w:proofErr w:type="spellEnd"/>
      <w:r w:rsidRPr="00D76B67">
        <w:rPr>
          <w:b/>
          <w:bCs/>
          <w:sz w:val="18"/>
          <w:szCs w:val="22"/>
        </w:rPr>
        <w:t xml:space="preserve">, ensayos negativos, </w:t>
      </w:r>
      <w:proofErr w:type="spellStart"/>
      <w:r w:rsidRPr="00D76B67">
        <w:rPr>
          <w:b/>
          <w:bCs/>
          <w:i/>
          <w:iCs/>
          <w:sz w:val="18"/>
          <w:szCs w:val="22"/>
        </w:rPr>
        <w:t>gepirona</w:t>
      </w:r>
      <w:proofErr w:type="spellEnd"/>
      <w:r w:rsidRPr="00D76B67">
        <w:rPr>
          <w:b/>
          <w:bCs/>
          <w:sz w:val="18"/>
          <w:szCs w:val="22"/>
        </w:rPr>
        <w:t xml:space="preserve"> y </w:t>
      </w:r>
      <w:r w:rsidRPr="00D76B67">
        <w:rPr>
          <w:rFonts w:cs="Times New Roman"/>
          <w:b/>
          <w:bCs/>
          <w:sz w:val="18"/>
          <w:szCs w:val="18"/>
        </w:rPr>
        <w:t xml:space="preserve">la FDA, aprobación de </w:t>
      </w:r>
      <w:proofErr w:type="spellStart"/>
      <w:r w:rsidRPr="000D6539">
        <w:rPr>
          <w:rFonts w:cs="Times New Roman"/>
          <w:b/>
          <w:bCs/>
          <w:i/>
          <w:iCs/>
          <w:sz w:val="18"/>
          <w:szCs w:val="18"/>
        </w:rPr>
        <w:t>gepirona</w:t>
      </w:r>
      <w:proofErr w:type="spellEnd"/>
    </w:p>
    <w:p w14:paraId="05B8C984" w14:textId="77777777" w:rsidR="009E43D5" w:rsidRPr="00D76B67" w:rsidRDefault="009E43D5" w:rsidP="009E43D5">
      <w:pPr>
        <w:rPr>
          <w:b/>
          <w:bCs/>
          <w:kern w:val="36"/>
          <w14:ligatures w14:val="none"/>
        </w:rPr>
      </w:pPr>
    </w:p>
    <w:p w14:paraId="1D177BB6" w14:textId="77777777" w:rsidR="009E43D5" w:rsidRDefault="009E43D5" w:rsidP="009E43D5">
      <w:pPr>
        <w:rPr>
          <w:rFonts w:cs="Times New Roman"/>
          <w:b/>
          <w:bCs/>
          <w:szCs w:val="20"/>
        </w:rPr>
      </w:pPr>
      <w:r w:rsidRPr="00D76B67">
        <w:rPr>
          <w:rFonts w:cs="Times New Roman"/>
          <w:b/>
          <w:bCs/>
          <w:szCs w:val="20"/>
        </w:rPr>
        <w:t>Resumen</w:t>
      </w:r>
    </w:p>
    <w:p w14:paraId="28F1B5C8" w14:textId="77777777" w:rsidR="009E43D5" w:rsidRPr="00D76B67" w:rsidRDefault="009E43D5" w:rsidP="009E43D5">
      <w:pPr>
        <w:rPr>
          <w:rFonts w:cs="Times New Roman"/>
          <w:szCs w:val="20"/>
        </w:rPr>
      </w:pPr>
      <w:r>
        <w:rPr>
          <w:rFonts w:cs="Times New Roman"/>
          <w:b/>
          <w:bCs/>
          <w:szCs w:val="20"/>
        </w:rPr>
        <w:t xml:space="preserve">Importancia. </w:t>
      </w:r>
      <w:r w:rsidRPr="00D76B67">
        <w:rPr>
          <w:rFonts w:cs="Times New Roman"/>
          <w:szCs w:val="20"/>
        </w:rPr>
        <w:t>Las encuestas sobre la importancia de los medicamentos</w:t>
      </w:r>
      <w:r>
        <w:rPr>
          <w:rFonts w:cs="Times New Roman"/>
          <w:szCs w:val="20"/>
        </w:rPr>
        <w:t xml:space="preserve"> </w:t>
      </w:r>
      <w:r w:rsidRPr="00D76B67">
        <w:rPr>
          <w:rFonts w:cs="Times New Roman"/>
          <w:szCs w:val="20"/>
        </w:rPr>
        <w:t>han indicado que tanto pacientes como médicos pueden sobreestimar la eficacia y la seguridad de los fármacos aprobados por la FDA. En los últimos años, solo aproximadamente la mitad de las aprobaciones de nuevos fármacos se han basado en dos o más ensayos adecuados y bien controlados; además, las regulaciones no limitan la cantidad de ensayos que se pueden realizar ni proporcionan directrices claras sobre cómo la FDA debe considerar un fármaco con evidencia contradictoria de beneficio proveniente de múltiples ensayos.</w:t>
      </w:r>
    </w:p>
    <w:p w14:paraId="5BD78A21" w14:textId="77777777" w:rsidR="009E43D5" w:rsidRDefault="009E43D5" w:rsidP="009E43D5">
      <w:pPr>
        <w:rPr>
          <w:rFonts w:cs="Times New Roman"/>
          <w:b/>
          <w:bCs/>
          <w:szCs w:val="20"/>
        </w:rPr>
      </w:pPr>
    </w:p>
    <w:p w14:paraId="76DAF0F9" w14:textId="77777777" w:rsidR="009E43D5" w:rsidRPr="00D76B67" w:rsidRDefault="009E43D5" w:rsidP="009E43D5">
      <w:pPr>
        <w:rPr>
          <w:rFonts w:cs="Times New Roman"/>
          <w:szCs w:val="20"/>
        </w:rPr>
      </w:pPr>
      <w:r w:rsidRPr="00D76B67">
        <w:rPr>
          <w:rFonts w:cs="Times New Roman"/>
          <w:b/>
          <w:bCs/>
          <w:szCs w:val="20"/>
        </w:rPr>
        <w:t>Objetivo</w:t>
      </w:r>
      <w:r>
        <w:rPr>
          <w:rFonts w:cs="Times New Roman"/>
          <w:b/>
          <w:bCs/>
          <w:szCs w:val="20"/>
        </w:rPr>
        <w:t xml:space="preserve">. </w:t>
      </w:r>
      <w:r w:rsidRPr="00D76B67">
        <w:rPr>
          <w:rFonts w:cs="Times New Roman"/>
          <w:szCs w:val="20"/>
        </w:rPr>
        <w:t>Comprender cómo la FDA evaluó un</w:t>
      </w:r>
      <w:r>
        <w:rPr>
          <w:rFonts w:cs="Times New Roman"/>
          <w:szCs w:val="20"/>
        </w:rPr>
        <w:t xml:space="preserve"> solo fármaco experimental, con el que se habían hecho </w:t>
      </w:r>
      <w:r w:rsidRPr="00D76B67">
        <w:rPr>
          <w:rFonts w:cs="Times New Roman"/>
          <w:szCs w:val="20"/>
        </w:rPr>
        <w:t xml:space="preserve">ensayos </w:t>
      </w:r>
      <w:r>
        <w:rPr>
          <w:rFonts w:cs="Times New Roman"/>
          <w:szCs w:val="20"/>
        </w:rPr>
        <w:t>que aportaban tanto resultados</w:t>
      </w:r>
      <w:r w:rsidRPr="00D76B67">
        <w:rPr>
          <w:rFonts w:cs="Times New Roman"/>
          <w:szCs w:val="20"/>
        </w:rPr>
        <w:t xml:space="preserve"> positivos como negativos</w:t>
      </w:r>
      <w:r>
        <w:rPr>
          <w:rFonts w:cs="Times New Roman"/>
          <w:szCs w:val="20"/>
        </w:rPr>
        <w:t xml:space="preserve">, </w:t>
      </w:r>
      <w:r w:rsidRPr="00D76B67">
        <w:rPr>
          <w:rFonts w:cs="Times New Roman"/>
          <w:szCs w:val="20"/>
        </w:rPr>
        <w:t>previos a la aprobación</w:t>
      </w:r>
      <w:r>
        <w:rPr>
          <w:rFonts w:cs="Times New Roman"/>
          <w:szCs w:val="20"/>
        </w:rPr>
        <w:t>.</w:t>
      </w:r>
    </w:p>
    <w:p w14:paraId="485B6A41" w14:textId="77777777" w:rsidR="009E43D5" w:rsidRPr="00F25512" w:rsidRDefault="009E43D5" w:rsidP="009E43D5">
      <w:pPr>
        <w:rPr>
          <w:rStyle w:val="Textoennegrita"/>
          <w:rFonts w:cs="Times New Roman"/>
          <w:color w:val="FF0000"/>
          <w:lang w:val="es-ES"/>
        </w:rPr>
      </w:pPr>
    </w:p>
    <w:p w14:paraId="76082BBB" w14:textId="77777777" w:rsidR="009E43D5" w:rsidRDefault="009E43D5" w:rsidP="009E43D5">
      <w:pPr>
        <w:rPr>
          <w:rFonts w:cs="Times New Roman"/>
          <w:szCs w:val="20"/>
        </w:rPr>
      </w:pPr>
      <w:r w:rsidRPr="00D76B67">
        <w:rPr>
          <w:rFonts w:cs="Times New Roman"/>
          <w:b/>
          <w:bCs/>
          <w:szCs w:val="20"/>
        </w:rPr>
        <w:t>Hallazgos</w:t>
      </w:r>
      <w:r>
        <w:rPr>
          <w:rFonts w:cs="Times New Roman"/>
          <w:b/>
          <w:bCs/>
          <w:szCs w:val="20"/>
        </w:rPr>
        <w:t xml:space="preserve">. </w:t>
      </w:r>
      <w:r w:rsidRPr="00D76B67">
        <w:rPr>
          <w:rFonts w:cs="Times New Roman"/>
          <w:szCs w:val="20"/>
        </w:rPr>
        <w:t xml:space="preserve">Se revisó el caso de </w:t>
      </w:r>
      <w:proofErr w:type="spellStart"/>
      <w:r w:rsidRPr="00D76B67">
        <w:rPr>
          <w:rFonts w:cs="Times New Roman"/>
          <w:i/>
          <w:iCs/>
          <w:szCs w:val="20"/>
        </w:rPr>
        <w:t>gepirona</w:t>
      </w:r>
      <w:proofErr w:type="spellEnd"/>
      <w:r w:rsidRPr="00D76B67">
        <w:rPr>
          <w:rFonts w:cs="Times New Roman"/>
          <w:szCs w:val="20"/>
        </w:rPr>
        <w:t xml:space="preserve"> de liberación prolongada (</w:t>
      </w:r>
      <w:r>
        <w:rPr>
          <w:rFonts w:cs="Times New Roman"/>
          <w:szCs w:val="20"/>
        </w:rPr>
        <w:t>LP</w:t>
      </w:r>
      <w:r w:rsidRPr="00D76B67">
        <w:rPr>
          <w:rFonts w:cs="Times New Roman"/>
          <w:szCs w:val="20"/>
        </w:rPr>
        <w:t xml:space="preserve">), aprobada para el trastorno depresivo mayor. La FDA basó su evaluación de eficacia de </w:t>
      </w:r>
      <w:proofErr w:type="spellStart"/>
      <w:r w:rsidRPr="00D76B67">
        <w:rPr>
          <w:rFonts w:cs="Times New Roman"/>
          <w:i/>
          <w:iCs/>
          <w:szCs w:val="20"/>
        </w:rPr>
        <w:t>gepirona</w:t>
      </w:r>
      <w:proofErr w:type="spellEnd"/>
      <w:r w:rsidRPr="00D76B67">
        <w:rPr>
          <w:rFonts w:cs="Times New Roman"/>
          <w:szCs w:val="20"/>
        </w:rPr>
        <w:t xml:space="preserve"> </w:t>
      </w:r>
      <w:r>
        <w:rPr>
          <w:rFonts w:cs="Times New Roman"/>
          <w:szCs w:val="20"/>
        </w:rPr>
        <w:t>LP</w:t>
      </w:r>
      <w:r w:rsidRPr="00D76B67">
        <w:rPr>
          <w:rFonts w:cs="Times New Roman"/>
          <w:szCs w:val="20"/>
        </w:rPr>
        <w:t xml:space="preserve"> en 13 </w:t>
      </w:r>
      <w:r w:rsidRPr="00D76B67">
        <w:rPr>
          <w:rFonts w:cs="Times New Roman"/>
          <w:szCs w:val="20"/>
        </w:rPr>
        <w:t xml:space="preserve">ensayos: 12 ensayos </w:t>
      </w:r>
      <w:r>
        <w:rPr>
          <w:rFonts w:cs="Times New Roman"/>
          <w:szCs w:val="20"/>
        </w:rPr>
        <w:t>la utilizaron como</w:t>
      </w:r>
      <w:r w:rsidRPr="00D76B67">
        <w:rPr>
          <w:rFonts w:cs="Times New Roman"/>
          <w:szCs w:val="20"/>
        </w:rPr>
        <w:t xml:space="preserve"> tratamiento agudo y </w:t>
      </w:r>
      <w:r>
        <w:rPr>
          <w:rFonts w:cs="Times New Roman"/>
          <w:szCs w:val="20"/>
        </w:rPr>
        <w:t>un</w:t>
      </w:r>
      <w:r w:rsidRPr="00D76B67">
        <w:rPr>
          <w:rFonts w:cs="Times New Roman"/>
          <w:szCs w:val="20"/>
        </w:rPr>
        <w:t xml:space="preserve"> ensayo </w:t>
      </w:r>
      <w:r>
        <w:rPr>
          <w:rFonts w:cs="Times New Roman"/>
          <w:szCs w:val="20"/>
        </w:rPr>
        <w:t>como tratamiento de</w:t>
      </w:r>
      <w:r w:rsidRPr="00D76B67">
        <w:rPr>
          <w:rFonts w:cs="Times New Roman"/>
          <w:szCs w:val="20"/>
        </w:rPr>
        <w:t xml:space="preserve"> mantenimiento o prevención de recaídas. </w:t>
      </w:r>
    </w:p>
    <w:p w14:paraId="3282A942" w14:textId="77777777" w:rsidR="009E43D5" w:rsidRDefault="009E43D5" w:rsidP="009E43D5">
      <w:pPr>
        <w:rPr>
          <w:rFonts w:cs="Times New Roman"/>
          <w:szCs w:val="20"/>
        </w:rPr>
      </w:pPr>
    </w:p>
    <w:p w14:paraId="59A41A6C" w14:textId="77777777" w:rsidR="009E43D5" w:rsidRDefault="009E43D5" w:rsidP="009E43D5">
      <w:pPr>
        <w:rPr>
          <w:rFonts w:cs="Times New Roman"/>
          <w:szCs w:val="20"/>
        </w:rPr>
      </w:pPr>
      <w:r w:rsidRPr="00D76B67">
        <w:rPr>
          <w:rFonts w:cs="Times New Roman"/>
          <w:szCs w:val="20"/>
        </w:rPr>
        <w:t xml:space="preserve">La FDA consideró positivos </w:t>
      </w:r>
      <w:r>
        <w:rPr>
          <w:rFonts w:cs="Times New Roman"/>
          <w:szCs w:val="20"/>
        </w:rPr>
        <w:t>dos</w:t>
      </w:r>
      <w:r w:rsidRPr="00D76B67">
        <w:rPr>
          <w:rFonts w:cs="Times New Roman"/>
          <w:szCs w:val="20"/>
        </w:rPr>
        <w:t xml:space="preserve"> ensayos de tratamiento agudo. En los demás, </w:t>
      </w:r>
      <w:proofErr w:type="spellStart"/>
      <w:r w:rsidRPr="00D76B67">
        <w:rPr>
          <w:rFonts w:cs="Times New Roman"/>
          <w:i/>
          <w:iCs/>
          <w:szCs w:val="20"/>
        </w:rPr>
        <w:t>gepirona</w:t>
      </w:r>
      <w:proofErr w:type="spellEnd"/>
      <w:r w:rsidRPr="00D76B67">
        <w:rPr>
          <w:rFonts w:cs="Times New Roman"/>
          <w:szCs w:val="20"/>
        </w:rPr>
        <w:t xml:space="preserve"> </w:t>
      </w:r>
      <w:r>
        <w:rPr>
          <w:rFonts w:cs="Times New Roman"/>
          <w:szCs w:val="20"/>
        </w:rPr>
        <w:t>LP</w:t>
      </w:r>
      <w:r w:rsidRPr="00D76B67">
        <w:rPr>
          <w:rFonts w:cs="Times New Roman"/>
          <w:szCs w:val="20"/>
        </w:rPr>
        <w:t xml:space="preserve"> no demostró superioridad sobre placebo; y para </w:t>
      </w:r>
      <w:r>
        <w:rPr>
          <w:rFonts w:cs="Times New Roman"/>
          <w:szCs w:val="20"/>
        </w:rPr>
        <w:t>tres ensayos</w:t>
      </w:r>
      <w:r w:rsidRPr="00D76B67">
        <w:rPr>
          <w:rFonts w:cs="Times New Roman"/>
          <w:szCs w:val="20"/>
        </w:rPr>
        <w:t xml:space="preserve">, la FDA encontró evidencia de inferioridad estadística frente a un comparador activo. </w:t>
      </w:r>
    </w:p>
    <w:p w14:paraId="07968C16" w14:textId="77777777" w:rsidR="009E43D5" w:rsidRDefault="009E43D5" w:rsidP="009E43D5">
      <w:pPr>
        <w:rPr>
          <w:rFonts w:cs="Times New Roman"/>
          <w:szCs w:val="20"/>
        </w:rPr>
      </w:pPr>
    </w:p>
    <w:p w14:paraId="3588DC38" w14:textId="77777777" w:rsidR="009E43D5" w:rsidRDefault="009E43D5" w:rsidP="009E43D5">
      <w:pPr>
        <w:rPr>
          <w:rFonts w:cs="Times New Roman"/>
          <w:szCs w:val="20"/>
        </w:rPr>
      </w:pPr>
      <w:r w:rsidRPr="00D76B67">
        <w:rPr>
          <w:rFonts w:cs="Times New Roman"/>
          <w:szCs w:val="20"/>
        </w:rPr>
        <w:t xml:space="preserve">Preocupada </w:t>
      </w:r>
      <w:r>
        <w:rPr>
          <w:rFonts w:cs="Times New Roman"/>
          <w:szCs w:val="20"/>
        </w:rPr>
        <w:t>por</w:t>
      </w:r>
      <w:r w:rsidRPr="00D76B67">
        <w:rPr>
          <w:rFonts w:cs="Times New Roman"/>
          <w:szCs w:val="20"/>
        </w:rPr>
        <w:t>que los ensayos positivos pudieran haber ocurrido por casualidad y</w:t>
      </w:r>
      <w:r>
        <w:rPr>
          <w:rFonts w:cs="Times New Roman"/>
          <w:szCs w:val="20"/>
        </w:rPr>
        <w:t>,</w:t>
      </w:r>
      <w:r w:rsidRPr="00D76B67">
        <w:rPr>
          <w:rFonts w:cs="Times New Roman"/>
          <w:szCs w:val="20"/>
        </w:rPr>
        <w:t xml:space="preserve"> por la cantidad de evidencia en contra, la FDA rechazó </w:t>
      </w:r>
      <w:r>
        <w:rPr>
          <w:rFonts w:cs="Times New Roman"/>
          <w:szCs w:val="20"/>
        </w:rPr>
        <w:t>cuatro</w:t>
      </w:r>
      <w:r w:rsidRPr="00D76B67">
        <w:rPr>
          <w:rFonts w:cs="Times New Roman"/>
          <w:szCs w:val="20"/>
        </w:rPr>
        <w:t xml:space="preserve"> veces la Solicitud de Nuevo Medicamento del patrocinador (</w:t>
      </w:r>
      <w:proofErr w:type="spellStart"/>
      <w:r w:rsidRPr="00D76B67">
        <w:rPr>
          <w:rFonts w:cs="Times New Roman"/>
          <w:szCs w:val="20"/>
        </w:rPr>
        <w:t>Organon</w:t>
      </w:r>
      <w:proofErr w:type="spellEnd"/>
      <w:r w:rsidRPr="00D76B67">
        <w:rPr>
          <w:rFonts w:cs="Times New Roman"/>
          <w:szCs w:val="20"/>
        </w:rPr>
        <w:t xml:space="preserve"> en 1999, 2002 y 2004, y Fabre-Kramer </w:t>
      </w:r>
      <w:proofErr w:type="spellStart"/>
      <w:r w:rsidRPr="00D76B67">
        <w:rPr>
          <w:rFonts w:cs="Times New Roman"/>
          <w:szCs w:val="20"/>
        </w:rPr>
        <w:t>Pharmaceuticals</w:t>
      </w:r>
      <w:proofErr w:type="spellEnd"/>
      <w:r w:rsidRPr="00D76B67">
        <w:rPr>
          <w:rFonts w:cs="Times New Roman"/>
          <w:szCs w:val="20"/>
        </w:rPr>
        <w:t xml:space="preserve">, Inc. en 2007). </w:t>
      </w:r>
    </w:p>
    <w:p w14:paraId="5E751AF9" w14:textId="77777777" w:rsidR="009E43D5" w:rsidRDefault="009E43D5" w:rsidP="009E43D5">
      <w:pPr>
        <w:rPr>
          <w:rFonts w:cs="Times New Roman"/>
          <w:szCs w:val="20"/>
        </w:rPr>
      </w:pPr>
    </w:p>
    <w:p w14:paraId="4D989900" w14:textId="77777777" w:rsidR="009E43D5" w:rsidRPr="00D76B67" w:rsidRDefault="009E43D5" w:rsidP="009E43D5">
      <w:pPr>
        <w:rPr>
          <w:rFonts w:cs="Times New Roman"/>
          <w:szCs w:val="20"/>
        </w:rPr>
      </w:pPr>
      <w:r w:rsidRPr="00D76B67">
        <w:rPr>
          <w:rFonts w:cs="Times New Roman"/>
          <w:szCs w:val="20"/>
        </w:rPr>
        <w:t xml:space="preserve">En 2014, el patrocinador presentó una solicitud de resolución de disputas, lo que </w:t>
      </w:r>
      <w:r>
        <w:rPr>
          <w:rFonts w:cs="Times New Roman"/>
          <w:szCs w:val="20"/>
        </w:rPr>
        <w:t xml:space="preserve">hizo que </w:t>
      </w:r>
      <w:r w:rsidRPr="00D76B67">
        <w:rPr>
          <w:rFonts w:cs="Times New Roman"/>
          <w:szCs w:val="20"/>
        </w:rPr>
        <w:t>interv</w:t>
      </w:r>
      <w:r>
        <w:rPr>
          <w:rFonts w:cs="Times New Roman"/>
          <w:szCs w:val="20"/>
        </w:rPr>
        <w:t>inieran</w:t>
      </w:r>
      <w:r w:rsidRPr="00D76B67">
        <w:rPr>
          <w:rFonts w:cs="Times New Roman"/>
          <w:szCs w:val="20"/>
        </w:rPr>
        <w:t xml:space="preserve"> </w:t>
      </w:r>
      <w:r>
        <w:rPr>
          <w:rFonts w:cs="Times New Roman"/>
          <w:szCs w:val="20"/>
        </w:rPr>
        <w:t xml:space="preserve">los </w:t>
      </w:r>
      <w:r w:rsidRPr="00D76B67">
        <w:rPr>
          <w:rFonts w:cs="Times New Roman"/>
          <w:szCs w:val="20"/>
        </w:rPr>
        <w:t xml:space="preserve">altos </w:t>
      </w:r>
      <w:r>
        <w:rPr>
          <w:rFonts w:cs="Times New Roman"/>
          <w:szCs w:val="20"/>
        </w:rPr>
        <w:t>mandos</w:t>
      </w:r>
      <w:r w:rsidRPr="00D76B67">
        <w:rPr>
          <w:rFonts w:cs="Times New Roman"/>
          <w:szCs w:val="20"/>
        </w:rPr>
        <w:t xml:space="preserve"> de la FDA. En 2015, un Comité Asesor de la FDA votó que no se había demostrado la eficacia del medicamento. No obstante, los responsables de la FDA acabaron coincidiendo con los argumentos del patrocinador de que los dos ensayos positivos no habían sido fruto del azar y el fármaco cumplía con la norma </w:t>
      </w:r>
      <w:r w:rsidRPr="00D76B67">
        <w:rPr>
          <w:rFonts w:cs="Times New Roman"/>
          <w:szCs w:val="20"/>
        </w:rPr>
        <w:lastRenderedPageBreak/>
        <w:t>legal de la FDA en cuanto a eficacia, por lo que el fármaco fue aprobado.</w:t>
      </w:r>
    </w:p>
    <w:p w14:paraId="723266F8" w14:textId="77777777" w:rsidR="009E43D5" w:rsidRDefault="009E43D5" w:rsidP="009E43D5">
      <w:pPr>
        <w:rPr>
          <w:rFonts w:cs="Times New Roman"/>
          <w:b/>
          <w:bCs/>
          <w:szCs w:val="20"/>
        </w:rPr>
      </w:pPr>
    </w:p>
    <w:p w14:paraId="12A52D5C" w14:textId="77777777" w:rsidR="009E43D5" w:rsidRDefault="009E43D5" w:rsidP="009E43D5">
      <w:pPr>
        <w:rPr>
          <w:rFonts w:cs="Times New Roman"/>
          <w:szCs w:val="20"/>
        </w:rPr>
      </w:pPr>
      <w:r w:rsidRPr="00D76B67">
        <w:rPr>
          <w:rFonts w:cs="Times New Roman"/>
          <w:b/>
          <w:bCs/>
          <w:szCs w:val="20"/>
        </w:rPr>
        <w:t>Conclusiones y relevancia</w:t>
      </w:r>
      <w:r>
        <w:rPr>
          <w:rFonts w:cs="Times New Roman"/>
          <w:b/>
          <w:bCs/>
          <w:szCs w:val="20"/>
        </w:rPr>
        <w:t xml:space="preserve">. </w:t>
      </w:r>
      <w:r w:rsidRPr="00D76B67">
        <w:rPr>
          <w:rFonts w:cs="Times New Roman"/>
          <w:szCs w:val="20"/>
        </w:rPr>
        <w:t xml:space="preserve">El caso de la </w:t>
      </w:r>
      <w:proofErr w:type="spellStart"/>
      <w:r w:rsidRPr="00D76B67">
        <w:rPr>
          <w:rFonts w:cs="Times New Roman"/>
          <w:i/>
          <w:iCs/>
          <w:szCs w:val="20"/>
        </w:rPr>
        <w:t>gepirona</w:t>
      </w:r>
      <w:proofErr w:type="spellEnd"/>
      <w:r w:rsidRPr="00D76B67">
        <w:rPr>
          <w:rFonts w:cs="Times New Roman"/>
          <w:szCs w:val="20"/>
        </w:rPr>
        <w:t xml:space="preserve"> demuestra cómo la FDA evaluó un fármaco e</w:t>
      </w:r>
      <w:r>
        <w:rPr>
          <w:rFonts w:cs="Times New Roman"/>
          <w:szCs w:val="20"/>
        </w:rPr>
        <w:t>xperimental</w:t>
      </w:r>
      <w:r w:rsidRPr="00D76B67">
        <w:rPr>
          <w:rFonts w:cs="Times New Roman"/>
          <w:szCs w:val="20"/>
        </w:rPr>
        <w:t xml:space="preserve"> con evidencia contradictoria. En ocasiones, la FDA ejerce «flexibilidad regulatoria» y se centra en la significan</w:t>
      </w:r>
      <w:r>
        <w:rPr>
          <w:rFonts w:cs="Times New Roman"/>
          <w:szCs w:val="20"/>
        </w:rPr>
        <w:t>cia</w:t>
      </w:r>
      <w:r w:rsidRPr="00D76B67">
        <w:rPr>
          <w:rFonts w:cs="Times New Roman"/>
          <w:szCs w:val="20"/>
        </w:rPr>
        <w:t xml:space="preserve"> estadística (en lugar de la </w:t>
      </w:r>
      <w:r>
        <w:rPr>
          <w:rFonts w:cs="Times New Roman"/>
          <w:szCs w:val="20"/>
        </w:rPr>
        <w:t xml:space="preserve">significancia </w:t>
      </w:r>
      <w:r w:rsidRPr="00D76B67">
        <w:rPr>
          <w:rFonts w:cs="Times New Roman"/>
          <w:szCs w:val="20"/>
        </w:rPr>
        <w:t xml:space="preserve">clínica) en </w:t>
      </w:r>
      <w:r>
        <w:rPr>
          <w:rFonts w:cs="Times New Roman"/>
          <w:szCs w:val="20"/>
        </w:rPr>
        <w:t>algun</w:t>
      </w:r>
      <w:r w:rsidRPr="00D76B67">
        <w:rPr>
          <w:rFonts w:cs="Times New Roman"/>
          <w:szCs w:val="20"/>
        </w:rPr>
        <w:t xml:space="preserve">os ensayos, lo que </w:t>
      </w:r>
      <w:r>
        <w:rPr>
          <w:rFonts w:cs="Times New Roman"/>
          <w:szCs w:val="20"/>
        </w:rPr>
        <w:t>favorec</w:t>
      </w:r>
      <w:r w:rsidRPr="00D76B67">
        <w:rPr>
          <w:rFonts w:cs="Times New Roman"/>
          <w:szCs w:val="20"/>
        </w:rPr>
        <w:t xml:space="preserve">e la aprobación de fármacos con escasos beneficios. </w:t>
      </w:r>
    </w:p>
    <w:p w14:paraId="65C9E03C" w14:textId="77777777" w:rsidR="009E43D5" w:rsidRDefault="009E43D5" w:rsidP="009E43D5">
      <w:pPr>
        <w:rPr>
          <w:rFonts w:cs="Times New Roman"/>
          <w:szCs w:val="20"/>
        </w:rPr>
      </w:pPr>
    </w:p>
    <w:p w14:paraId="0CAC5862" w14:textId="77777777" w:rsidR="009E43D5" w:rsidRPr="00D76B67" w:rsidRDefault="009E43D5" w:rsidP="009E43D5">
      <w:pPr>
        <w:rPr>
          <w:rFonts w:cs="Times New Roman"/>
          <w:szCs w:val="20"/>
        </w:rPr>
      </w:pPr>
      <w:r>
        <w:rPr>
          <w:rFonts w:cs="Times New Roman"/>
          <w:szCs w:val="20"/>
        </w:rPr>
        <w:t>P</w:t>
      </w:r>
      <w:r w:rsidRPr="00D76B67">
        <w:rPr>
          <w:rFonts w:cs="Times New Roman"/>
          <w:szCs w:val="20"/>
        </w:rPr>
        <w:t>ara que los médicos puedan tomar decisiones de prescripción mejor fundamentadas</w:t>
      </w:r>
      <w:r>
        <w:rPr>
          <w:rFonts w:cs="Times New Roman"/>
          <w:szCs w:val="20"/>
        </w:rPr>
        <w:t>, e</w:t>
      </w:r>
      <w:r w:rsidRPr="00D76B67">
        <w:rPr>
          <w:rFonts w:cs="Times New Roman"/>
          <w:szCs w:val="20"/>
        </w:rPr>
        <w:t xml:space="preserve">l etiquetado del producto debe informar de forma transparente sobre todos los ensayos adecuados y bien controlados </w:t>
      </w:r>
      <w:r>
        <w:rPr>
          <w:rFonts w:cs="Times New Roman"/>
          <w:szCs w:val="20"/>
        </w:rPr>
        <w:t xml:space="preserve">que tienen </w:t>
      </w:r>
      <w:r w:rsidRPr="00D76B67">
        <w:rPr>
          <w:rFonts w:cs="Times New Roman"/>
          <w:szCs w:val="20"/>
        </w:rPr>
        <w:t>relaci</w:t>
      </w:r>
      <w:r>
        <w:rPr>
          <w:rFonts w:cs="Times New Roman"/>
          <w:szCs w:val="20"/>
        </w:rPr>
        <w:t>ón</w:t>
      </w:r>
      <w:r w:rsidRPr="00D76B67">
        <w:rPr>
          <w:rFonts w:cs="Times New Roman"/>
          <w:szCs w:val="20"/>
        </w:rPr>
        <w:t xml:space="preserve"> con </w:t>
      </w:r>
      <w:r>
        <w:rPr>
          <w:rFonts w:cs="Times New Roman"/>
          <w:szCs w:val="20"/>
        </w:rPr>
        <w:t>l</w:t>
      </w:r>
      <w:r w:rsidRPr="00D76B67">
        <w:rPr>
          <w:rFonts w:cs="Times New Roman"/>
          <w:szCs w:val="20"/>
        </w:rPr>
        <w:t>a indicación aprobada por la FDA, no solo aquellos con resultados positivos.</w:t>
      </w:r>
    </w:p>
    <w:p w14:paraId="4AC7615F" w14:textId="77777777" w:rsidR="009E43D5" w:rsidRDefault="009E43D5" w:rsidP="009E43D5">
      <w:pPr>
        <w:rPr>
          <w:rFonts w:cs="Times New Roman"/>
          <w:szCs w:val="20"/>
        </w:rPr>
      </w:pPr>
    </w:p>
    <w:p w14:paraId="5DEF5513" w14:textId="77777777" w:rsidR="009E43D5" w:rsidRDefault="009E43D5" w:rsidP="009E43D5">
      <w:pPr>
        <w:rPr>
          <w:rFonts w:cs="Times New Roman"/>
          <w:szCs w:val="20"/>
        </w:rPr>
      </w:pPr>
      <w:r w:rsidRPr="0013506D">
        <w:rPr>
          <w:rFonts w:cs="Times New Roman"/>
          <w:b/>
          <w:bCs/>
          <w:szCs w:val="20"/>
        </w:rPr>
        <w:t>Comentario de Salud y Fármacos:</w:t>
      </w:r>
      <w:r>
        <w:rPr>
          <w:rFonts w:cs="Times New Roman"/>
          <w:szCs w:val="20"/>
        </w:rPr>
        <w:t xml:space="preserve"> L</w:t>
      </w:r>
      <w:r w:rsidRPr="00A14E19">
        <w:rPr>
          <w:rFonts w:cs="Times New Roman"/>
          <w:szCs w:val="20"/>
        </w:rPr>
        <w:t xml:space="preserve">a </w:t>
      </w:r>
      <w:r>
        <w:rPr>
          <w:rFonts w:cs="Times New Roman"/>
          <w:szCs w:val="20"/>
        </w:rPr>
        <w:t>FDA</w:t>
      </w:r>
      <w:r w:rsidRPr="00A14E19">
        <w:rPr>
          <w:rFonts w:cs="Times New Roman"/>
          <w:szCs w:val="20"/>
        </w:rPr>
        <w:t xml:space="preserve"> aprobó el medicamento en </w:t>
      </w:r>
      <w:r>
        <w:rPr>
          <w:rFonts w:cs="Times New Roman"/>
          <w:szCs w:val="20"/>
        </w:rPr>
        <w:t xml:space="preserve">base a los resultados de </w:t>
      </w:r>
      <w:r w:rsidRPr="00A14E19">
        <w:rPr>
          <w:rFonts w:cs="Times New Roman"/>
          <w:szCs w:val="20"/>
        </w:rPr>
        <w:t>dos ensayos que mostraron un beneficio</w:t>
      </w:r>
      <w:r>
        <w:rPr>
          <w:rFonts w:cs="Times New Roman"/>
          <w:szCs w:val="20"/>
        </w:rPr>
        <w:t xml:space="preserve"> marginal</w:t>
      </w:r>
      <w:r w:rsidRPr="00A14E19">
        <w:rPr>
          <w:rFonts w:cs="Times New Roman"/>
          <w:szCs w:val="20"/>
        </w:rPr>
        <w:t xml:space="preserve"> pero estadísticamente significativo</w:t>
      </w:r>
      <w:r>
        <w:rPr>
          <w:rFonts w:cs="Times New Roman"/>
          <w:szCs w:val="20"/>
        </w:rPr>
        <w:t xml:space="preserve"> (</w:t>
      </w:r>
      <w:r w:rsidRPr="00A14E19">
        <w:rPr>
          <w:rFonts w:cs="Times New Roman"/>
          <w:szCs w:val="20"/>
        </w:rPr>
        <w:t>menos de medio punto de diferencia en la Escala de Calificación de Depresión de Hamilton</w:t>
      </w:r>
      <w:r>
        <w:rPr>
          <w:rFonts w:cs="Times New Roman"/>
          <w:szCs w:val="20"/>
        </w:rPr>
        <w:t>);</w:t>
      </w:r>
      <w:r w:rsidRPr="00A14E19">
        <w:rPr>
          <w:rFonts w:cs="Times New Roman"/>
          <w:szCs w:val="20"/>
        </w:rPr>
        <w:t xml:space="preserve"> </w:t>
      </w:r>
      <w:r>
        <w:rPr>
          <w:rFonts w:cs="Times New Roman"/>
          <w:szCs w:val="20"/>
        </w:rPr>
        <w:t>al parecer, subestim</w:t>
      </w:r>
      <w:r w:rsidRPr="00A14E19">
        <w:rPr>
          <w:rFonts w:cs="Times New Roman"/>
          <w:szCs w:val="20"/>
        </w:rPr>
        <w:t>ando</w:t>
      </w:r>
      <w:r>
        <w:rPr>
          <w:rFonts w:cs="Times New Roman"/>
          <w:szCs w:val="20"/>
        </w:rPr>
        <w:t xml:space="preserve"> los resultados de</w:t>
      </w:r>
      <w:r w:rsidRPr="00A14E19">
        <w:rPr>
          <w:rFonts w:cs="Times New Roman"/>
          <w:szCs w:val="20"/>
        </w:rPr>
        <w:t xml:space="preserve"> otros 11 estudios que demostraron que el medicamento no era mejor que el placebo, según inform</w:t>
      </w:r>
      <w:r>
        <w:rPr>
          <w:rFonts w:cs="Times New Roman"/>
          <w:szCs w:val="20"/>
        </w:rPr>
        <w:t>aron</w:t>
      </w:r>
      <w:r w:rsidRPr="00A14E19">
        <w:rPr>
          <w:rFonts w:cs="Times New Roman"/>
          <w:szCs w:val="20"/>
        </w:rPr>
        <w:t xml:space="preserve"> Erick Turner, </w:t>
      </w:r>
      <w:r>
        <w:rPr>
          <w:rFonts w:cs="Times New Roman"/>
          <w:szCs w:val="20"/>
        </w:rPr>
        <w:t xml:space="preserve">médico </w:t>
      </w:r>
      <w:r w:rsidRPr="00A14E19">
        <w:rPr>
          <w:rFonts w:cs="Times New Roman"/>
          <w:szCs w:val="20"/>
        </w:rPr>
        <w:t>de la Universidad de Salud y Ciencias de Oregón en Portland, y sus colegas</w:t>
      </w:r>
      <w:r>
        <w:rPr>
          <w:rFonts w:cs="Times New Roman"/>
          <w:szCs w:val="20"/>
        </w:rPr>
        <w:t xml:space="preserve"> [1]</w:t>
      </w:r>
      <w:r w:rsidRPr="00A14E19">
        <w:rPr>
          <w:rFonts w:cs="Times New Roman"/>
          <w:szCs w:val="20"/>
        </w:rPr>
        <w:t>.</w:t>
      </w:r>
    </w:p>
    <w:p w14:paraId="419F9265" w14:textId="77777777" w:rsidR="009E43D5" w:rsidRPr="00A14E19" w:rsidRDefault="009E43D5" w:rsidP="009E43D5">
      <w:pPr>
        <w:rPr>
          <w:rFonts w:cs="Times New Roman"/>
          <w:szCs w:val="20"/>
        </w:rPr>
      </w:pPr>
    </w:p>
    <w:p w14:paraId="21BFF406" w14:textId="77777777" w:rsidR="009E43D5" w:rsidRDefault="009E43D5" w:rsidP="009E43D5">
      <w:pPr>
        <w:rPr>
          <w:rFonts w:cs="Times New Roman"/>
          <w:szCs w:val="20"/>
        </w:rPr>
      </w:pPr>
      <w:r>
        <w:rPr>
          <w:rFonts w:cs="Times New Roman"/>
          <w:szCs w:val="20"/>
        </w:rPr>
        <w:t xml:space="preserve">Además, la </w:t>
      </w:r>
      <w:proofErr w:type="spellStart"/>
      <w:r>
        <w:rPr>
          <w:rFonts w:cs="Times New Roman"/>
          <w:i/>
          <w:iCs/>
          <w:szCs w:val="20"/>
        </w:rPr>
        <w:t>g</w:t>
      </w:r>
      <w:r w:rsidRPr="00A14E19">
        <w:rPr>
          <w:rFonts w:cs="Times New Roman"/>
          <w:i/>
          <w:iCs/>
          <w:szCs w:val="20"/>
        </w:rPr>
        <w:t>epiron</w:t>
      </w:r>
      <w:r>
        <w:rPr>
          <w:rFonts w:cs="Times New Roman"/>
          <w:i/>
          <w:iCs/>
          <w:szCs w:val="20"/>
        </w:rPr>
        <w:t>a</w:t>
      </w:r>
      <w:proofErr w:type="spellEnd"/>
      <w:r w:rsidRPr="00A14E19">
        <w:rPr>
          <w:rFonts w:cs="Times New Roman"/>
          <w:szCs w:val="20"/>
        </w:rPr>
        <w:t xml:space="preserve"> es car</w:t>
      </w:r>
      <w:r>
        <w:rPr>
          <w:rFonts w:cs="Times New Roman"/>
          <w:szCs w:val="20"/>
        </w:rPr>
        <w:t>a</w:t>
      </w:r>
      <w:r w:rsidRPr="00A14E19">
        <w:rPr>
          <w:rFonts w:cs="Times New Roman"/>
          <w:szCs w:val="20"/>
        </w:rPr>
        <w:t xml:space="preserve">, </w:t>
      </w:r>
      <w:r>
        <w:rPr>
          <w:rFonts w:cs="Times New Roman"/>
          <w:szCs w:val="20"/>
        </w:rPr>
        <w:t>val</w:t>
      </w:r>
      <w:r w:rsidRPr="00A14E19">
        <w:rPr>
          <w:rFonts w:cs="Times New Roman"/>
          <w:szCs w:val="20"/>
        </w:rPr>
        <w:t xml:space="preserve">e </w:t>
      </w:r>
      <w:r>
        <w:rPr>
          <w:rFonts w:cs="Times New Roman"/>
          <w:szCs w:val="20"/>
        </w:rPr>
        <w:t>US</w:t>
      </w:r>
      <w:r w:rsidRPr="00A14E19">
        <w:rPr>
          <w:rFonts w:cs="Times New Roman"/>
          <w:szCs w:val="20"/>
        </w:rPr>
        <w:t>$1</w:t>
      </w:r>
      <w:r>
        <w:rPr>
          <w:rFonts w:cs="Times New Roman"/>
          <w:szCs w:val="20"/>
        </w:rPr>
        <w:t>.</w:t>
      </w:r>
      <w:r w:rsidRPr="00A14E19">
        <w:rPr>
          <w:rFonts w:cs="Times New Roman"/>
          <w:szCs w:val="20"/>
        </w:rPr>
        <w:t xml:space="preserve">500 por mes sin seguro, y aún no hay un genérico aprobado. </w:t>
      </w:r>
      <w:r>
        <w:rPr>
          <w:rFonts w:cs="Times New Roman"/>
          <w:szCs w:val="20"/>
        </w:rPr>
        <w:t>E</w:t>
      </w:r>
      <w:r w:rsidRPr="00A14E19">
        <w:rPr>
          <w:rFonts w:cs="Times New Roman"/>
          <w:szCs w:val="20"/>
        </w:rPr>
        <w:t xml:space="preserve">l costo anual de </w:t>
      </w:r>
      <w:proofErr w:type="spellStart"/>
      <w:r w:rsidRPr="00A14E19">
        <w:rPr>
          <w:rFonts w:cs="Times New Roman"/>
          <w:szCs w:val="20"/>
        </w:rPr>
        <w:t>Exxua</w:t>
      </w:r>
      <w:proofErr w:type="spellEnd"/>
      <w:r w:rsidRPr="00A14E19">
        <w:rPr>
          <w:rFonts w:cs="Times New Roman"/>
          <w:szCs w:val="20"/>
        </w:rPr>
        <w:t xml:space="preserve"> para el </w:t>
      </w:r>
      <w:r>
        <w:rPr>
          <w:rFonts w:cs="Times New Roman"/>
          <w:szCs w:val="20"/>
        </w:rPr>
        <w:t>beneficiario Medicare Parte D</w:t>
      </w:r>
      <w:r w:rsidRPr="00A14E19">
        <w:rPr>
          <w:rFonts w:cs="Times New Roman"/>
          <w:szCs w:val="20"/>
        </w:rPr>
        <w:t xml:space="preserve"> era de </w:t>
      </w:r>
      <w:r>
        <w:rPr>
          <w:rFonts w:cs="Times New Roman"/>
          <w:szCs w:val="20"/>
        </w:rPr>
        <w:t>US$</w:t>
      </w:r>
      <w:r w:rsidRPr="00A14E19">
        <w:rPr>
          <w:rFonts w:cs="Times New Roman"/>
          <w:szCs w:val="20"/>
        </w:rPr>
        <w:t>2.100</w:t>
      </w:r>
      <w:r>
        <w:rPr>
          <w:rFonts w:cs="Times New Roman"/>
          <w:szCs w:val="20"/>
        </w:rPr>
        <w:t xml:space="preserve"> [1]</w:t>
      </w:r>
      <w:r w:rsidRPr="00A14E19">
        <w:rPr>
          <w:rFonts w:cs="Times New Roman"/>
          <w:szCs w:val="20"/>
        </w:rPr>
        <w:t>.</w:t>
      </w:r>
    </w:p>
    <w:p w14:paraId="5C016105" w14:textId="77777777" w:rsidR="009E43D5" w:rsidRPr="00A14E19" w:rsidRDefault="009E43D5" w:rsidP="009E43D5">
      <w:pPr>
        <w:rPr>
          <w:rFonts w:cs="Times New Roman"/>
          <w:szCs w:val="20"/>
        </w:rPr>
      </w:pPr>
    </w:p>
    <w:p w14:paraId="3BF3EAA9" w14:textId="77777777" w:rsidR="009E43D5" w:rsidRDefault="009E43D5" w:rsidP="009E43D5">
      <w:pPr>
        <w:rPr>
          <w:rFonts w:cs="Times New Roman"/>
          <w:szCs w:val="20"/>
        </w:rPr>
      </w:pPr>
      <w:r w:rsidRPr="00A14E19">
        <w:rPr>
          <w:rFonts w:cs="Times New Roman"/>
          <w:szCs w:val="20"/>
        </w:rPr>
        <w:t>E</w:t>
      </w:r>
      <w:r>
        <w:rPr>
          <w:rFonts w:cs="Times New Roman"/>
          <w:szCs w:val="20"/>
        </w:rPr>
        <w:t xml:space="preserve">l diario </w:t>
      </w:r>
      <w:proofErr w:type="spellStart"/>
      <w:r w:rsidRPr="00047D11">
        <w:rPr>
          <w:rFonts w:cs="Times New Roman"/>
          <w:i/>
          <w:iCs/>
          <w:szCs w:val="20"/>
        </w:rPr>
        <w:t>MedPage</w:t>
      </w:r>
      <w:proofErr w:type="spellEnd"/>
      <w:r w:rsidRPr="00047D11">
        <w:rPr>
          <w:rFonts w:cs="Times New Roman"/>
          <w:i/>
          <w:iCs/>
          <w:szCs w:val="20"/>
        </w:rPr>
        <w:t xml:space="preserve"> </w:t>
      </w:r>
      <w:proofErr w:type="spellStart"/>
      <w:r w:rsidRPr="00047D11">
        <w:rPr>
          <w:rFonts w:cs="Times New Roman"/>
          <w:i/>
          <w:iCs/>
          <w:szCs w:val="20"/>
        </w:rPr>
        <w:t>Today</w:t>
      </w:r>
      <w:proofErr w:type="spellEnd"/>
      <w:r>
        <w:rPr>
          <w:rFonts w:cs="Times New Roman"/>
          <w:szCs w:val="20"/>
        </w:rPr>
        <w:t xml:space="preserve"> publicó el testimonio del Dr.</w:t>
      </w:r>
      <w:r w:rsidRPr="00A14E19">
        <w:rPr>
          <w:rFonts w:cs="Times New Roman"/>
          <w:szCs w:val="20"/>
        </w:rPr>
        <w:t xml:space="preserve"> Turner</w:t>
      </w:r>
      <w:r>
        <w:rPr>
          <w:rFonts w:cs="Times New Roman"/>
          <w:szCs w:val="20"/>
        </w:rPr>
        <w:t>, un</w:t>
      </w:r>
      <w:r w:rsidRPr="00A14E19">
        <w:rPr>
          <w:rFonts w:cs="Times New Roman"/>
          <w:szCs w:val="20"/>
        </w:rPr>
        <w:t xml:space="preserve"> médico </w:t>
      </w:r>
      <w:r>
        <w:rPr>
          <w:rFonts w:cs="Times New Roman"/>
          <w:szCs w:val="20"/>
        </w:rPr>
        <w:t xml:space="preserve">que trabajó </w:t>
      </w:r>
      <w:r w:rsidRPr="00A14E19">
        <w:rPr>
          <w:rFonts w:cs="Times New Roman"/>
          <w:szCs w:val="20"/>
        </w:rPr>
        <w:t xml:space="preserve">en la división de </w:t>
      </w:r>
      <w:proofErr w:type="spellStart"/>
      <w:r w:rsidRPr="00A14E19">
        <w:rPr>
          <w:rFonts w:cs="Times New Roman"/>
          <w:szCs w:val="20"/>
        </w:rPr>
        <w:t>neurof</w:t>
      </w:r>
      <w:r>
        <w:rPr>
          <w:rFonts w:cs="Times New Roman"/>
          <w:szCs w:val="20"/>
        </w:rPr>
        <w:t>á</w:t>
      </w:r>
      <w:r w:rsidRPr="00A14E19">
        <w:rPr>
          <w:rFonts w:cs="Times New Roman"/>
          <w:szCs w:val="20"/>
        </w:rPr>
        <w:t>rmaco</w:t>
      </w:r>
      <w:r>
        <w:rPr>
          <w:rFonts w:cs="Times New Roman"/>
          <w:szCs w:val="20"/>
        </w:rPr>
        <w:t>s</w:t>
      </w:r>
      <w:proofErr w:type="spellEnd"/>
      <w:r w:rsidRPr="00A14E19">
        <w:rPr>
          <w:rFonts w:cs="Times New Roman"/>
          <w:szCs w:val="20"/>
        </w:rPr>
        <w:t xml:space="preserve"> de la FDA </w:t>
      </w:r>
      <w:r>
        <w:rPr>
          <w:rFonts w:cs="Times New Roman"/>
          <w:szCs w:val="20"/>
        </w:rPr>
        <w:t xml:space="preserve">en 1999 </w:t>
      </w:r>
      <w:r w:rsidRPr="00A14E19">
        <w:rPr>
          <w:rFonts w:cs="Times New Roman"/>
          <w:szCs w:val="20"/>
        </w:rPr>
        <w:t xml:space="preserve">cuando se rechazó la aprobación de la </w:t>
      </w:r>
      <w:proofErr w:type="spellStart"/>
      <w:r w:rsidRPr="00A14E19">
        <w:rPr>
          <w:rFonts w:cs="Times New Roman"/>
          <w:i/>
          <w:iCs/>
          <w:szCs w:val="20"/>
        </w:rPr>
        <w:t>gepirona</w:t>
      </w:r>
      <w:proofErr w:type="spellEnd"/>
      <w:r w:rsidRPr="00A14E19">
        <w:rPr>
          <w:rFonts w:cs="Times New Roman"/>
          <w:szCs w:val="20"/>
        </w:rPr>
        <w:t xml:space="preserve"> por primera vez. </w:t>
      </w:r>
      <w:r>
        <w:rPr>
          <w:rFonts w:cs="Times New Roman"/>
          <w:szCs w:val="20"/>
        </w:rPr>
        <w:t xml:space="preserve">Turner </w:t>
      </w:r>
      <w:r w:rsidRPr="00A14E19">
        <w:rPr>
          <w:rFonts w:cs="Times New Roman"/>
          <w:szCs w:val="20"/>
        </w:rPr>
        <w:t>dejó la agencia en 2001</w:t>
      </w:r>
      <w:r>
        <w:rPr>
          <w:rFonts w:cs="Times New Roman"/>
          <w:szCs w:val="20"/>
        </w:rPr>
        <w:t xml:space="preserve"> y se sorprendió de que la agencia lo aprobara en </w:t>
      </w:r>
      <w:r w:rsidRPr="00A14E19">
        <w:rPr>
          <w:rFonts w:cs="Times New Roman"/>
          <w:szCs w:val="20"/>
        </w:rPr>
        <w:t>2023</w:t>
      </w:r>
      <w:r>
        <w:rPr>
          <w:rFonts w:cs="Times New Roman"/>
          <w:szCs w:val="20"/>
        </w:rPr>
        <w:t xml:space="preserve"> [1]</w:t>
      </w:r>
      <w:r w:rsidRPr="00A14E19">
        <w:rPr>
          <w:rFonts w:cs="Times New Roman"/>
          <w:szCs w:val="20"/>
        </w:rPr>
        <w:t>.</w:t>
      </w:r>
    </w:p>
    <w:p w14:paraId="177E3A2D" w14:textId="77777777" w:rsidR="009E43D5" w:rsidRPr="00A14E19" w:rsidRDefault="009E43D5" w:rsidP="009E43D5">
      <w:pPr>
        <w:rPr>
          <w:rFonts w:cs="Times New Roman"/>
          <w:szCs w:val="20"/>
        </w:rPr>
      </w:pPr>
    </w:p>
    <w:p w14:paraId="608A8F96" w14:textId="77777777" w:rsidR="009E43D5" w:rsidRDefault="009E43D5" w:rsidP="009E43D5">
      <w:pPr>
        <w:rPr>
          <w:rFonts w:cs="Times New Roman"/>
          <w:szCs w:val="20"/>
        </w:rPr>
      </w:pPr>
      <w:r>
        <w:rPr>
          <w:rFonts w:cs="Times New Roman"/>
          <w:szCs w:val="20"/>
        </w:rPr>
        <w:t>Turner c</w:t>
      </w:r>
      <w:r w:rsidRPr="00A14E19">
        <w:rPr>
          <w:rFonts w:cs="Times New Roman"/>
          <w:szCs w:val="20"/>
        </w:rPr>
        <w:t>omparó la diferencia entre significan</w:t>
      </w:r>
      <w:r>
        <w:rPr>
          <w:rFonts w:cs="Times New Roman"/>
          <w:szCs w:val="20"/>
        </w:rPr>
        <w:t>cia</w:t>
      </w:r>
      <w:r w:rsidRPr="00A14E19">
        <w:rPr>
          <w:rFonts w:cs="Times New Roman"/>
          <w:szCs w:val="20"/>
        </w:rPr>
        <w:t xml:space="preserve"> estadística y significan</w:t>
      </w:r>
      <w:r>
        <w:rPr>
          <w:rFonts w:cs="Times New Roman"/>
          <w:szCs w:val="20"/>
        </w:rPr>
        <w:t>cia</w:t>
      </w:r>
      <w:r w:rsidRPr="00A14E19">
        <w:rPr>
          <w:rFonts w:cs="Times New Roman"/>
          <w:szCs w:val="20"/>
        </w:rPr>
        <w:t xml:space="preserve"> clínica </w:t>
      </w:r>
      <w:r>
        <w:rPr>
          <w:rFonts w:cs="Times New Roman"/>
          <w:szCs w:val="20"/>
        </w:rPr>
        <w:t>poniendo como ejemplo</w:t>
      </w:r>
      <w:r w:rsidRPr="00A14E19">
        <w:rPr>
          <w:rFonts w:cs="Times New Roman"/>
          <w:szCs w:val="20"/>
        </w:rPr>
        <w:t xml:space="preserve"> un paciente con una presión arterial de 180/120 mm Hg tratado con un fármaco que la reduce </w:t>
      </w:r>
      <w:r>
        <w:rPr>
          <w:rFonts w:cs="Times New Roman"/>
          <w:szCs w:val="20"/>
        </w:rPr>
        <w:t>l</w:t>
      </w:r>
      <w:r w:rsidRPr="00A14E19">
        <w:rPr>
          <w:rFonts w:cs="Times New Roman"/>
          <w:szCs w:val="20"/>
        </w:rPr>
        <w:t>a</w:t>
      </w:r>
      <w:r>
        <w:rPr>
          <w:rFonts w:cs="Times New Roman"/>
          <w:szCs w:val="20"/>
        </w:rPr>
        <w:t xml:space="preserve"> presión a</w:t>
      </w:r>
      <w:r w:rsidRPr="00A14E19">
        <w:rPr>
          <w:rFonts w:cs="Times New Roman"/>
          <w:szCs w:val="20"/>
        </w:rPr>
        <w:t xml:space="preserve"> 175/115 mm Hg</w:t>
      </w:r>
      <w:r>
        <w:rPr>
          <w:rFonts w:cs="Times New Roman"/>
          <w:szCs w:val="20"/>
        </w:rPr>
        <w:t xml:space="preserve">; y recalcó que cuando una intervención aporta resultados </w:t>
      </w:r>
      <w:r w:rsidRPr="00A14E19">
        <w:rPr>
          <w:rFonts w:cs="Times New Roman"/>
          <w:szCs w:val="20"/>
        </w:rPr>
        <w:t>estadísticamente significativo</w:t>
      </w:r>
      <w:r>
        <w:rPr>
          <w:rFonts w:cs="Times New Roman"/>
          <w:szCs w:val="20"/>
        </w:rPr>
        <w:t>s,</w:t>
      </w:r>
      <w:r w:rsidRPr="00A14E19">
        <w:rPr>
          <w:rFonts w:cs="Times New Roman"/>
          <w:szCs w:val="20"/>
        </w:rPr>
        <w:t xml:space="preserve"> </w:t>
      </w:r>
      <w:r>
        <w:rPr>
          <w:rFonts w:cs="Times New Roman"/>
          <w:szCs w:val="20"/>
        </w:rPr>
        <w:t>pero no tiene un impacto clínicamente significativo, el riesgo del paciente no se ve afectado por el consumo del medicamento [1]</w:t>
      </w:r>
      <w:r w:rsidRPr="00A14E19">
        <w:rPr>
          <w:rFonts w:cs="Times New Roman"/>
          <w:szCs w:val="20"/>
        </w:rPr>
        <w:t>.</w:t>
      </w:r>
    </w:p>
    <w:p w14:paraId="3EB35305" w14:textId="77777777" w:rsidR="009E43D5" w:rsidRDefault="009E43D5" w:rsidP="009E43D5">
      <w:pPr>
        <w:rPr>
          <w:rFonts w:cs="Times New Roman"/>
          <w:szCs w:val="20"/>
        </w:rPr>
      </w:pPr>
    </w:p>
    <w:p w14:paraId="0084C561" w14:textId="77777777" w:rsidR="009E43D5" w:rsidRDefault="009E43D5" w:rsidP="009E43D5">
      <w:pPr>
        <w:rPr>
          <w:rFonts w:cs="Times New Roman"/>
          <w:szCs w:val="20"/>
        </w:rPr>
      </w:pPr>
      <w:r w:rsidRPr="00A14E19">
        <w:rPr>
          <w:rFonts w:cs="Times New Roman"/>
          <w:szCs w:val="20"/>
        </w:rPr>
        <w:t>Turner</w:t>
      </w:r>
      <w:r>
        <w:rPr>
          <w:rFonts w:cs="Times New Roman"/>
          <w:szCs w:val="20"/>
        </w:rPr>
        <w:t xml:space="preserve"> afirmó</w:t>
      </w:r>
      <w:r w:rsidRPr="00A14E19">
        <w:rPr>
          <w:rFonts w:cs="Times New Roman"/>
          <w:szCs w:val="20"/>
        </w:rPr>
        <w:t xml:space="preserve"> que aproximadamente la mitad de los medicamentos psiquiátricos</w:t>
      </w:r>
      <w:r>
        <w:rPr>
          <w:rFonts w:cs="Times New Roman"/>
          <w:szCs w:val="20"/>
        </w:rPr>
        <w:t xml:space="preserve"> se han aprobado en base a ensayos con resultados </w:t>
      </w:r>
      <w:r w:rsidRPr="00A14E19">
        <w:rPr>
          <w:rFonts w:cs="Times New Roman"/>
          <w:szCs w:val="20"/>
        </w:rPr>
        <w:t>positivos</w:t>
      </w:r>
      <w:r>
        <w:rPr>
          <w:rFonts w:cs="Times New Roman"/>
          <w:szCs w:val="20"/>
        </w:rPr>
        <w:t xml:space="preserve"> (</w:t>
      </w:r>
      <w:r w:rsidRPr="00A14E19">
        <w:rPr>
          <w:rFonts w:cs="Times New Roman"/>
          <w:szCs w:val="20"/>
        </w:rPr>
        <w:t xml:space="preserve">en particular </w:t>
      </w:r>
      <w:r>
        <w:rPr>
          <w:rFonts w:cs="Times New Roman"/>
          <w:szCs w:val="20"/>
        </w:rPr>
        <w:t>algunos</w:t>
      </w:r>
      <w:r w:rsidRPr="00A14E19">
        <w:rPr>
          <w:rFonts w:cs="Times New Roman"/>
          <w:szCs w:val="20"/>
        </w:rPr>
        <w:t xml:space="preserve"> antidepresivos y ansi</w:t>
      </w:r>
      <w:r>
        <w:rPr>
          <w:rFonts w:cs="Times New Roman"/>
          <w:szCs w:val="20"/>
        </w:rPr>
        <w:t>olíticos)</w:t>
      </w:r>
      <w:r w:rsidRPr="00A14E19">
        <w:rPr>
          <w:rFonts w:cs="Times New Roman"/>
          <w:szCs w:val="20"/>
        </w:rPr>
        <w:t>, lo que significa que hay muchos estudios negativos</w:t>
      </w:r>
      <w:r>
        <w:rPr>
          <w:rFonts w:cs="Times New Roman"/>
          <w:szCs w:val="20"/>
        </w:rPr>
        <w:t xml:space="preserve"> que se desconocen porque nunca se publican y a veces ni siquiera se presentan a la FDA. Además, cuando se trata de medicamentos psiquiátricos, </w:t>
      </w:r>
      <w:r w:rsidRPr="00A14E19">
        <w:rPr>
          <w:rFonts w:cs="Times New Roman"/>
          <w:szCs w:val="20"/>
        </w:rPr>
        <w:t>los criterios de valoración suelen ser subjetivos</w:t>
      </w:r>
      <w:r>
        <w:rPr>
          <w:rFonts w:cs="Times New Roman"/>
          <w:szCs w:val="20"/>
        </w:rPr>
        <w:t xml:space="preserve"> (</w:t>
      </w:r>
      <w:r w:rsidRPr="00A14E19">
        <w:rPr>
          <w:rFonts w:cs="Times New Roman"/>
          <w:szCs w:val="20"/>
        </w:rPr>
        <w:t>como la depresión o el dolor</w:t>
      </w:r>
      <w:r>
        <w:rPr>
          <w:rFonts w:cs="Times New Roman"/>
          <w:szCs w:val="20"/>
        </w:rPr>
        <w:t>) [1]</w:t>
      </w:r>
      <w:r w:rsidRPr="00A14E19">
        <w:rPr>
          <w:rFonts w:cs="Times New Roman"/>
          <w:szCs w:val="20"/>
        </w:rPr>
        <w:t>.</w:t>
      </w:r>
    </w:p>
    <w:p w14:paraId="0094D68F" w14:textId="77777777" w:rsidR="009E43D5" w:rsidRPr="00A14E19" w:rsidRDefault="009E43D5" w:rsidP="009E43D5">
      <w:pPr>
        <w:rPr>
          <w:rFonts w:cs="Times New Roman"/>
          <w:szCs w:val="20"/>
        </w:rPr>
      </w:pPr>
    </w:p>
    <w:p w14:paraId="68F7E7E4" w14:textId="77777777" w:rsidR="009E43D5" w:rsidRDefault="009E43D5" w:rsidP="009E43D5">
      <w:pPr>
        <w:rPr>
          <w:rFonts w:cs="Times New Roman"/>
          <w:szCs w:val="20"/>
        </w:rPr>
      </w:pPr>
      <w:r w:rsidRPr="00A14E19">
        <w:rPr>
          <w:rFonts w:cs="Times New Roman"/>
          <w:szCs w:val="20"/>
        </w:rPr>
        <w:t xml:space="preserve">Los autores </w:t>
      </w:r>
      <w:r>
        <w:rPr>
          <w:rFonts w:cs="Times New Roman"/>
          <w:szCs w:val="20"/>
        </w:rPr>
        <w:t>de la investigación reve</w:t>
      </w:r>
      <w:r w:rsidRPr="00A14E19">
        <w:rPr>
          <w:rFonts w:cs="Times New Roman"/>
          <w:szCs w:val="20"/>
        </w:rPr>
        <w:t>laron el escaso conocimiento que tienen los médicos sobre el proceso de aprobación de medicamentos</w:t>
      </w:r>
      <w:r>
        <w:rPr>
          <w:rFonts w:cs="Times New Roman"/>
          <w:szCs w:val="20"/>
        </w:rPr>
        <w:t>, y mencionaron que, de</w:t>
      </w:r>
      <w:r w:rsidRPr="00A14E19">
        <w:rPr>
          <w:rFonts w:cs="Times New Roman"/>
          <w:szCs w:val="20"/>
        </w:rPr>
        <w:t xml:space="preserve"> los médicos encuestados</w:t>
      </w:r>
      <w:r>
        <w:rPr>
          <w:rFonts w:cs="Times New Roman"/>
          <w:szCs w:val="20"/>
        </w:rPr>
        <w:t>:</w:t>
      </w:r>
      <w:r w:rsidRPr="00A14E19">
        <w:rPr>
          <w:rFonts w:cs="Times New Roman"/>
          <w:szCs w:val="20"/>
        </w:rPr>
        <w:t xml:space="preserve"> </w:t>
      </w:r>
    </w:p>
    <w:p w14:paraId="09880729" w14:textId="77777777" w:rsidR="009E43D5" w:rsidRDefault="009E43D5" w:rsidP="009E43D5">
      <w:pPr>
        <w:rPr>
          <w:rFonts w:cs="Times New Roman"/>
          <w:szCs w:val="20"/>
        </w:rPr>
      </w:pPr>
    </w:p>
    <w:p w14:paraId="42875549" w14:textId="77777777" w:rsidR="009E43D5" w:rsidRDefault="009E43D5" w:rsidP="00F25512">
      <w:pPr>
        <w:pStyle w:val="Prrafodelista"/>
        <w:numPr>
          <w:ilvl w:val="0"/>
          <w:numId w:val="40"/>
        </w:numPr>
        <w:ind w:left="180" w:hanging="180"/>
        <w:rPr>
          <w:rFonts w:cs="Times New Roman"/>
          <w:szCs w:val="20"/>
        </w:rPr>
      </w:pPr>
      <w:r w:rsidRPr="00766FE9">
        <w:rPr>
          <w:rFonts w:cs="Times New Roman"/>
          <w:szCs w:val="20"/>
        </w:rPr>
        <w:t>el 70% cree erróneamente que la FDA está obligada a determinar la significancia clínica y estadística de la eficacia de un medicamento antes de otorgar la aprobación</w:t>
      </w:r>
    </w:p>
    <w:p w14:paraId="5CDF9D7F" w14:textId="77777777" w:rsidR="009E43D5" w:rsidRPr="00766FE9" w:rsidRDefault="009E43D5" w:rsidP="00F25512">
      <w:pPr>
        <w:pStyle w:val="Prrafodelista"/>
        <w:ind w:left="180" w:hanging="180"/>
        <w:rPr>
          <w:rFonts w:cs="Times New Roman"/>
          <w:szCs w:val="20"/>
        </w:rPr>
      </w:pPr>
    </w:p>
    <w:p w14:paraId="09A9F206" w14:textId="77777777" w:rsidR="009E43D5" w:rsidRDefault="009E43D5" w:rsidP="00F25512">
      <w:pPr>
        <w:pStyle w:val="Prrafodelista"/>
        <w:numPr>
          <w:ilvl w:val="0"/>
          <w:numId w:val="40"/>
        </w:numPr>
        <w:ind w:left="180" w:hanging="180"/>
        <w:rPr>
          <w:rFonts w:cs="Times New Roman"/>
          <w:szCs w:val="20"/>
        </w:rPr>
      </w:pPr>
      <w:r w:rsidRPr="00766FE9">
        <w:rPr>
          <w:rFonts w:cs="Times New Roman"/>
          <w:szCs w:val="20"/>
        </w:rPr>
        <w:t>el 73% piensa que los medicamentos nuevos deben ser igual de eficaces que los existentes para la misma indicación</w:t>
      </w:r>
    </w:p>
    <w:p w14:paraId="57B67E56" w14:textId="77777777" w:rsidR="009E43D5" w:rsidRPr="0037734C" w:rsidRDefault="009E43D5" w:rsidP="00F25512">
      <w:pPr>
        <w:ind w:left="180" w:hanging="180"/>
        <w:rPr>
          <w:rFonts w:cs="Times New Roman"/>
          <w:szCs w:val="20"/>
        </w:rPr>
      </w:pPr>
    </w:p>
    <w:p w14:paraId="0F197EE3" w14:textId="77777777" w:rsidR="009E43D5" w:rsidRPr="00766FE9" w:rsidRDefault="009E43D5" w:rsidP="00F25512">
      <w:pPr>
        <w:pStyle w:val="Prrafodelista"/>
        <w:numPr>
          <w:ilvl w:val="0"/>
          <w:numId w:val="40"/>
        </w:numPr>
        <w:ind w:left="180" w:hanging="180"/>
        <w:rPr>
          <w:rFonts w:cs="Times New Roman"/>
          <w:szCs w:val="20"/>
        </w:rPr>
      </w:pPr>
      <w:r w:rsidRPr="00766FE9">
        <w:rPr>
          <w:rFonts w:cs="Times New Roman"/>
          <w:szCs w:val="20"/>
        </w:rPr>
        <w:t>el 40% piensa que los nuevos fármacos deben ser más eficaces</w:t>
      </w:r>
    </w:p>
    <w:p w14:paraId="6025958B" w14:textId="77777777" w:rsidR="009E43D5" w:rsidRDefault="009E43D5" w:rsidP="009E43D5">
      <w:pPr>
        <w:rPr>
          <w:rFonts w:cs="Times New Roman"/>
          <w:szCs w:val="20"/>
        </w:rPr>
      </w:pPr>
    </w:p>
    <w:p w14:paraId="1CE6CF7D" w14:textId="77777777" w:rsidR="009E43D5" w:rsidRDefault="009E43D5" w:rsidP="009E43D5">
      <w:pPr>
        <w:rPr>
          <w:rFonts w:cs="Times New Roman"/>
          <w:szCs w:val="20"/>
        </w:rPr>
      </w:pPr>
      <w:r>
        <w:rPr>
          <w:rFonts w:cs="Times New Roman"/>
          <w:szCs w:val="20"/>
        </w:rPr>
        <w:t>Lo cierto es que la FDA no tiene que cumplir ninguno de estos requisitos, e</w:t>
      </w:r>
      <w:r w:rsidRPr="00A14E19">
        <w:rPr>
          <w:rFonts w:cs="Times New Roman"/>
          <w:szCs w:val="20"/>
        </w:rPr>
        <w:t xml:space="preserve">sa falta de conocimiento sobre </w:t>
      </w:r>
      <w:r>
        <w:rPr>
          <w:rFonts w:cs="Times New Roman"/>
          <w:szCs w:val="20"/>
        </w:rPr>
        <w:t xml:space="preserve">el valor de </w:t>
      </w:r>
      <w:r w:rsidRPr="00A14E19">
        <w:rPr>
          <w:rFonts w:cs="Times New Roman"/>
          <w:szCs w:val="20"/>
        </w:rPr>
        <w:t>los datos que respaldan l</w:t>
      </w:r>
      <w:r>
        <w:rPr>
          <w:rFonts w:cs="Times New Roman"/>
          <w:szCs w:val="20"/>
        </w:rPr>
        <w:t>a aprobación de los</w:t>
      </w:r>
      <w:r w:rsidRPr="00A14E19">
        <w:rPr>
          <w:rFonts w:cs="Times New Roman"/>
          <w:szCs w:val="20"/>
        </w:rPr>
        <w:t xml:space="preserve"> </w:t>
      </w:r>
      <w:r>
        <w:rPr>
          <w:rFonts w:cs="Times New Roman"/>
          <w:szCs w:val="20"/>
        </w:rPr>
        <w:t xml:space="preserve">nuevos </w:t>
      </w:r>
      <w:r w:rsidRPr="00A14E19">
        <w:rPr>
          <w:rFonts w:cs="Times New Roman"/>
          <w:szCs w:val="20"/>
        </w:rPr>
        <w:t>medicamentos explica</w:t>
      </w:r>
      <w:r>
        <w:rPr>
          <w:rFonts w:cs="Times New Roman"/>
          <w:szCs w:val="20"/>
        </w:rPr>
        <w:t>, en parte,</w:t>
      </w:r>
      <w:r w:rsidRPr="00A14E19">
        <w:rPr>
          <w:rFonts w:cs="Times New Roman"/>
          <w:szCs w:val="20"/>
        </w:rPr>
        <w:t xml:space="preserve"> porqué los médicos tienden a sobreestimar los beneficios de las intervenciones y a subestimar sus daños</w:t>
      </w:r>
      <w:r>
        <w:rPr>
          <w:rFonts w:cs="Times New Roman"/>
          <w:szCs w:val="20"/>
        </w:rPr>
        <w:t xml:space="preserve"> [1]</w:t>
      </w:r>
      <w:r w:rsidRPr="00A14E19">
        <w:rPr>
          <w:rFonts w:cs="Times New Roman"/>
          <w:szCs w:val="20"/>
        </w:rPr>
        <w:t>.</w:t>
      </w:r>
    </w:p>
    <w:p w14:paraId="5DB2A7A7" w14:textId="77777777" w:rsidR="009E43D5" w:rsidRPr="00A14E19" w:rsidRDefault="009E43D5" w:rsidP="009E43D5">
      <w:pPr>
        <w:rPr>
          <w:rFonts w:cs="Times New Roman"/>
          <w:szCs w:val="20"/>
        </w:rPr>
      </w:pPr>
    </w:p>
    <w:p w14:paraId="29D6A92E" w14:textId="77777777" w:rsidR="009E43D5" w:rsidRDefault="009E43D5" w:rsidP="009E43D5">
      <w:pPr>
        <w:rPr>
          <w:rFonts w:cs="Times New Roman"/>
          <w:szCs w:val="20"/>
        </w:rPr>
      </w:pPr>
      <w:r w:rsidRPr="00A14E19">
        <w:rPr>
          <w:rFonts w:cs="Times New Roman"/>
          <w:szCs w:val="20"/>
        </w:rPr>
        <w:t xml:space="preserve">Robert </w:t>
      </w:r>
      <w:proofErr w:type="spellStart"/>
      <w:r w:rsidRPr="00A14E19">
        <w:rPr>
          <w:rFonts w:cs="Times New Roman"/>
          <w:szCs w:val="20"/>
        </w:rPr>
        <w:t>Steinbrook</w:t>
      </w:r>
      <w:proofErr w:type="spellEnd"/>
      <w:r w:rsidRPr="00A14E19">
        <w:rPr>
          <w:rFonts w:cs="Times New Roman"/>
          <w:szCs w:val="20"/>
        </w:rPr>
        <w:t xml:space="preserve">, director del grupo de investigación en salud de </w:t>
      </w:r>
      <w:proofErr w:type="spellStart"/>
      <w:r w:rsidRPr="00A14E19">
        <w:rPr>
          <w:rFonts w:cs="Times New Roman"/>
          <w:szCs w:val="20"/>
        </w:rPr>
        <w:t>Public</w:t>
      </w:r>
      <w:proofErr w:type="spellEnd"/>
      <w:r w:rsidRPr="00A14E19">
        <w:rPr>
          <w:rFonts w:cs="Times New Roman"/>
          <w:szCs w:val="20"/>
        </w:rPr>
        <w:t xml:space="preserve"> </w:t>
      </w:r>
      <w:proofErr w:type="spellStart"/>
      <w:r w:rsidRPr="00A14E19">
        <w:rPr>
          <w:rFonts w:cs="Times New Roman"/>
          <w:szCs w:val="20"/>
        </w:rPr>
        <w:t>Citizen</w:t>
      </w:r>
      <w:proofErr w:type="spellEnd"/>
      <w:r>
        <w:rPr>
          <w:rFonts w:cs="Times New Roman"/>
          <w:szCs w:val="20"/>
        </w:rPr>
        <w:t xml:space="preserve"> mencionó</w:t>
      </w:r>
      <w:r w:rsidRPr="00A14E19">
        <w:rPr>
          <w:rFonts w:cs="Times New Roman"/>
          <w:szCs w:val="20"/>
        </w:rPr>
        <w:t xml:space="preserve"> que el proceso de </w:t>
      </w:r>
      <w:r>
        <w:rPr>
          <w:rFonts w:cs="Times New Roman"/>
          <w:szCs w:val="20"/>
        </w:rPr>
        <w:t xml:space="preserve">aprobación de </w:t>
      </w:r>
      <w:r w:rsidRPr="00A14E19">
        <w:rPr>
          <w:rFonts w:cs="Times New Roman"/>
          <w:szCs w:val="20"/>
        </w:rPr>
        <w:t xml:space="preserve">la </w:t>
      </w:r>
      <w:proofErr w:type="spellStart"/>
      <w:r w:rsidRPr="00047D11">
        <w:rPr>
          <w:rFonts w:cs="Times New Roman"/>
          <w:i/>
          <w:iCs/>
          <w:szCs w:val="20"/>
        </w:rPr>
        <w:t>gepirona</w:t>
      </w:r>
      <w:proofErr w:type="spellEnd"/>
      <w:r w:rsidRPr="00A14E19">
        <w:rPr>
          <w:rFonts w:cs="Times New Roman"/>
          <w:szCs w:val="20"/>
        </w:rPr>
        <w:t xml:space="preserve"> </w:t>
      </w:r>
      <w:r>
        <w:rPr>
          <w:rFonts w:cs="Times New Roman"/>
          <w:szCs w:val="20"/>
        </w:rPr>
        <w:t>evidencia</w:t>
      </w:r>
      <w:r w:rsidRPr="00A14E19">
        <w:rPr>
          <w:rFonts w:cs="Times New Roman"/>
          <w:szCs w:val="20"/>
        </w:rPr>
        <w:t xml:space="preserve"> la necesidad de que la FDA considere revisar la</w:t>
      </w:r>
      <w:r>
        <w:rPr>
          <w:rFonts w:cs="Times New Roman"/>
          <w:szCs w:val="20"/>
        </w:rPr>
        <w:t xml:space="preserve"> </w:t>
      </w:r>
      <w:r w:rsidRPr="00A14E19">
        <w:rPr>
          <w:rFonts w:cs="Times New Roman"/>
          <w:szCs w:val="20"/>
        </w:rPr>
        <w:t>norma</w:t>
      </w:r>
      <w:r>
        <w:rPr>
          <w:rFonts w:cs="Times New Roman"/>
          <w:szCs w:val="20"/>
        </w:rPr>
        <w:t>tiva para</w:t>
      </w:r>
      <w:r w:rsidRPr="00A14E19">
        <w:rPr>
          <w:rFonts w:cs="Times New Roman"/>
          <w:szCs w:val="20"/>
        </w:rPr>
        <w:t xml:space="preserve"> la aprobación de </w:t>
      </w:r>
      <w:r>
        <w:rPr>
          <w:rFonts w:cs="Times New Roman"/>
          <w:szCs w:val="20"/>
        </w:rPr>
        <w:t xml:space="preserve">nuevos </w:t>
      </w:r>
      <w:r w:rsidRPr="00A14E19">
        <w:rPr>
          <w:rFonts w:cs="Times New Roman"/>
          <w:szCs w:val="20"/>
        </w:rPr>
        <w:t>medicamentos</w:t>
      </w:r>
      <w:r>
        <w:rPr>
          <w:rFonts w:cs="Times New Roman"/>
          <w:szCs w:val="20"/>
        </w:rPr>
        <w:t xml:space="preserve"> [1]</w:t>
      </w:r>
      <w:r w:rsidRPr="00A14E19">
        <w:rPr>
          <w:rFonts w:cs="Times New Roman"/>
          <w:szCs w:val="20"/>
        </w:rPr>
        <w:t>.</w:t>
      </w:r>
      <w:r>
        <w:rPr>
          <w:rFonts w:cs="Times New Roman"/>
          <w:szCs w:val="20"/>
        </w:rPr>
        <w:t xml:space="preserve"> </w:t>
      </w:r>
    </w:p>
    <w:p w14:paraId="2B2518B0" w14:textId="77777777" w:rsidR="009E43D5" w:rsidRDefault="009E43D5" w:rsidP="009E43D5">
      <w:pPr>
        <w:rPr>
          <w:rFonts w:cs="Times New Roman"/>
          <w:szCs w:val="20"/>
        </w:rPr>
      </w:pPr>
    </w:p>
    <w:p w14:paraId="4930DCA6" w14:textId="77777777" w:rsidR="009E43D5" w:rsidRDefault="009E43D5" w:rsidP="009E43D5">
      <w:pPr>
        <w:rPr>
          <w:rFonts w:cs="Times New Roman"/>
          <w:i/>
          <w:iCs/>
          <w:szCs w:val="20"/>
        </w:rPr>
      </w:pPr>
      <w:r>
        <w:rPr>
          <w:rFonts w:cs="Times New Roman"/>
          <w:szCs w:val="20"/>
        </w:rPr>
        <w:t>Por su parte,</w:t>
      </w:r>
      <w:r w:rsidRPr="00A14E19">
        <w:rPr>
          <w:rFonts w:cs="Times New Roman"/>
          <w:szCs w:val="20"/>
        </w:rPr>
        <w:t xml:space="preserve"> </w:t>
      </w:r>
      <w:proofErr w:type="spellStart"/>
      <w:r w:rsidRPr="00A14E19">
        <w:rPr>
          <w:rFonts w:cs="Times New Roman"/>
          <w:szCs w:val="20"/>
        </w:rPr>
        <w:t>Adriane</w:t>
      </w:r>
      <w:proofErr w:type="spellEnd"/>
      <w:r w:rsidRPr="00A14E19">
        <w:rPr>
          <w:rFonts w:cs="Times New Roman"/>
          <w:szCs w:val="20"/>
        </w:rPr>
        <w:t xml:space="preserve"> </w:t>
      </w:r>
      <w:proofErr w:type="spellStart"/>
      <w:r w:rsidRPr="00A14E19">
        <w:rPr>
          <w:rFonts w:cs="Times New Roman"/>
          <w:szCs w:val="20"/>
        </w:rPr>
        <w:t>Fugh</w:t>
      </w:r>
      <w:proofErr w:type="spellEnd"/>
      <w:r w:rsidRPr="00A14E19">
        <w:rPr>
          <w:rFonts w:cs="Times New Roman"/>
          <w:szCs w:val="20"/>
        </w:rPr>
        <w:t>-Berman</w:t>
      </w:r>
      <w:r>
        <w:rPr>
          <w:rFonts w:cs="Times New Roman"/>
          <w:szCs w:val="20"/>
        </w:rPr>
        <w:t xml:space="preserve"> </w:t>
      </w:r>
      <w:r w:rsidRPr="00A14E19">
        <w:rPr>
          <w:rFonts w:cs="Times New Roman"/>
          <w:szCs w:val="20"/>
        </w:rPr>
        <w:t xml:space="preserve">del Centro Médico de la Universidad de Georgetown y miembro del grupo de vigilancia de la industria farmacéutica </w:t>
      </w:r>
      <w:proofErr w:type="spellStart"/>
      <w:r w:rsidRPr="00A14E19">
        <w:rPr>
          <w:rFonts w:cs="Times New Roman"/>
          <w:szCs w:val="20"/>
        </w:rPr>
        <w:t>PharmedOut</w:t>
      </w:r>
      <w:proofErr w:type="spellEnd"/>
      <w:r>
        <w:rPr>
          <w:rFonts w:cs="Times New Roman"/>
          <w:szCs w:val="20"/>
        </w:rPr>
        <w:t xml:space="preserve"> dijo a </w:t>
      </w:r>
      <w:proofErr w:type="spellStart"/>
      <w:r w:rsidRPr="00766FE9">
        <w:rPr>
          <w:rFonts w:cs="Times New Roman"/>
          <w:i/>
          <w:iCs/>
          <w:szCs w:val="20"/>
        </w:rPr>
        <w:t>Medpage</w:t>
      </w:r>
      <w:proofErr w:type="spellEnd"/>
      <w:r w:rsidRPr="00766FE9">
        <w:rPr>
          <w:rFonts w:cs="Times New Roman"/>
          <w:i/>
          <w:iCs/>
          <w:szCs w:val="20"/>
        </w:rPr>
        <w:t xml:space="preserve"> </w:t>
      </w:r>
      <w:proofErr w:type="spellStart"/>
      <w:r w:rsidRPr="00766FE9">
        <w:rPr>
          <w:rFonts w:cs="Times New Roman"/>
          <w:i/>
          <w:iCs/>
          <w:szCs w:val="20"/>
        </w:rPr>
        <w:t>Today</w:t>
      </w:r>
      <w:proofErr w:type="spellEnd"/>
      <w:r>
        <w:rPr>
          <w:rFonts w:cs="Times New Roman"/>
          <w:szCs w:val="20"/>
        </w:rPr>
        <w:t xml:space="preserve"> que</w:t>
      </w:r>
      <w:r w:rsidRPr="00A14E19">
        <w:rPr>
          <w:rFonts w:cs="Times New Roman"/>
          <w:szCs w:val="20"/>
        </w:rPr>
        <w:t xml:space="preserve"> </w:t>
      </w:r>
      <w:r>
        <w:rPr>
          <w:rFonts w:cs="Times New Roman"/>
          <w:szCs w:val="20"/>
        </w:rPr>
        <w:t xml:space="preserve">la industria </w:t>
      </w:r>
      <w:r w:rsidRPr="00A14E19">
        <w:rPr>
          <w:rFonts w:cs="Times New Roman"/>
          <w:szCs w:val="20"/>
        </w:rPr>
        <w:t>farmacéutica tiene interés en exagerar los beneficios y minimizar la percepción de los riesgos</w:t>
      </w:r>
      <w:r w:rsidRPr="00A14E19">
        <w:rPr>
          <w:rFonts w:cs="Times New Roman"/>
          <w:i/>
          <w:iCs/>
          <w:szCs w:val="20"/>
        </w:rPr>
        <w:t>.</w:t>
      </w:r>
    </w:p>
    <w:p w14:paraId="728D956F" w14:textId="77777777" w:rsidR="009E43D5" w:rsidRPr="00766FE9" w:rsidRDefault="009E43D5" w:rsidP="009E43D5">
      <w:pPr>
        <w:rPr>
          <w:rFonts w:cs="Times New Roman"/>
          <w:szCs w:val="20"/>
        </w:rPr>
      </w:pPr>
    </w:p>
    <w:p w14:paraId="3CAAA7F4" w14:textId="77777777" w:rsidR="009E43D5" w:rsidRPr="00E27CF3" w:rsidRDefault="009E43D5" w:rsidP="009E43D5">
      <w:pPr>
        <w:rPr>
          <w:rFonts w:eastAsia="Times New Roman" w:cs="Times New Roman"/>
          <w:b/>
          <w:bCs/>
          <w:color w:val="000000"/>
          <w:kern w:val="0"/>
          <w:sz w:val="18"/>
          <w:szCs w:val="18"/>
          <w:lang w:val="en-US" w:eastAsia="es-CO"/>
          <w14:ligatures w14:val="none"/>
        </w:rPr>
      </w:pPr>
      <w:r w:rsidRPr="00E27CF3">
        <w:rPr>
          <w:rFonts w:eastAsia="Times New Roman" w:cs="Times New Roman"/>
          <w:b/>
          <w:bCs/>
          <w:color w:val="000000"/>
          <w:kern w:val="0"/>
          <w:sz w:val="18"/>
          <w:szCs w:val="18"/>
          <w:lang w:val="en-US" w:eastAsia="es-CO"/>
          <w14:ligatures w14:val="none"/>
        </w:rPr>
        <w:t>Fuente Original:</w:t>
      </w:r>
    </w:p>
    <w:p w14:paraId="79FA1361" w14:textId="77777777" w:rsidR="009E43D5" w:rsidRDefault="009E43D5" w:rsidP="00F25512">
      <w:pPr>
        <w:ind w:left="180" w:hanging="180"/>
        <w:rPr>
          <w:rFonts w:eastAsia="Times New Roman" w:cs="Times New Roman"/>
          <w:color w:val="000000"/>
          <w:kern w:val="0"/>
          <w:sz w:val="18"/>
          <w:szCs w:val="18"/>
          <w:lang w:eastAsia="es-CO"/>
          <w14:ligatures w14:val="none"/>
        </w:rPr>
      </w:pPr>
      <w:r w:rsidRPr="00E27CF3">
        <w:rPr>
          <w:rFonts w:eastAsia="Times New Roman" w:cs="Times New Roman"/>
          <w:color w:val="000000"/>
          <w:kern w:val="0"/>
          <w:sz w:val="18"/>
          <w:szCs w:val="18"/>
          <w:lang w:val="en-US" w:eastAsia="es-CO"/>
          <w14:ligatures w14:val="none"/>
        </w:rPr>
        <w:t xml:space="preserve">1.Cheryl Clark. How a drug with more negative </w:t>
      </w:r>
      <w:proofErr w:type="spellStart"/>
      <w:r w:rsidRPr="00E27CF3">
        <w:rPr>
          <w:rFonts w:eastAsia="Times New Roman" w:cs="Times New Roman"/>
          <w:color w:val="000000"/>
          <w:kern w:val="0"/>
          <w:sz w:val="18"/>
          <w:szCs w:val="18"/>
          <w:lang w:val="en-US" w:eastAsia="es-CO"/>
          <w14:ligatures w14:val="none"/>
        </w:rPr>
        <w:t>tan</w:t>
      </w:r>
      <w:proofErr w:type="spellEnd"/>
      <w:r w:rsidRPr="00E27CF3">
        <w:rPr>
          <w:rFonts w:eastAsia="Times New Roman" w:cs="Times New Roman"/>
          <w:color w:val="000000"/>
          <w:kern w:val="0"/>
          <w:sz w:val="18"/>
          <w:szCs w:val="18"/>
          <w:lang w:val="en-US" w:eastAsia="es-CO"/>
          <w14:ligatures w14:val="none"/>
        </w:rPr>
        <w:t xml:space="preserve"> positive studies won FDA approval. </w:t>
      </w:r>
      <w:proofErr w:type="spellStart"/>
      <w:r w:rsidRPr="00A86409">
        <w:rPr>
          <w:rFonts w:eastAsia="Times New Roman" w:cs="Times New Roman"/>
          <w:i/>
          <w:iCs/>
          <w:color w:val="000000"/>
          <w:kern w:val="0"/>
          <w:sz w:val="18"/>
          <w:szCs w:val="18"/>
          <w:lang w:eastAsia="es-CO"/>
          <w14:ligatures w14:val="none"/>
        </w:rPr>
        <w:t>MedPage</w:t>
      </w:r>
      <w:proofErr w:type="spellEnd"/>
      <w:r w:rsidRPr="00A86409">
        <w:rPr>
          <w:rFonts w:eastAsia="Times New Roman" w:cs="Times New Roman"/>
          <w:i/>
          <w:iCs/>
          <w:color w:val="000000"/>
          <w:kern w:val="0"/>
          <w:sz w:val="18"/>
          <w:szCs w:val="18"/>
          <w:lang w:eastAsia="es-CO"/>
          <w14:ligatures w14:val="none"/>
        </w:rPr>
        <w:t xml:space="preserve"> </w:t>
      </w:r>
      <w:proofErr w:type="spellStart"/>
      <w:r w:rsidRPr="00A86409">
        <w:rPr>
          <w:rFonts w:eastAsia="Times New Roman" w:cs="Times New Roman"/>
          <w:i/>
          <w:iCs/>
          <w:color w:val="000000"/>
          <w:kern w:val="0"/>
          <w:sz w:val="18"/>
          <w:szCs w:val="18"/>
          <w:lang w:eastAsia="es-CO"/>
          <w14:ligatures w14:val="none"/>
        </w:rPr>
        <w:t>Today</w:t>
      </w:r>
      <w:proofErr w:type="spellEnd"/>
      <w:r w:rsidRPr="00A86409">
        <w:rPr>
          <w:rFonts w:eastAsia="Times New Roman" w:cs="Times New Roman"/>
          <w:color w:val="000000"/>
          <w:kern w:val="0"/>
          <w:sz w:val="18"/>
          <w:szCs w:val="18"/>
          <w:lang w:eastAsia="es-CO"/>
          <w14:ligatures w14:val="none"/>
        </w:rPr>
        <w:t xml:space="preserve">, 24 de junio de 2026 </w:t>
      </w:r>
      <w:hyperlink r:id="rId97" w:history="1">
        <w:r w:rsidRPr="00A86409">
          <w:rPr>
            <w:rStyle w:val="Hipervnculo"/>
            <w:rFonts w:eastAsia="Times New Roman" w:cs="Times New Roman"/>
            <w:kern w:val="0"/>
            <w:sz w:val="18"/>
            <w:szCs w:val="18"/>
            <w:lang w:eastAsia="es-CO"/>
            <w14:ligatures w14:val="none"/>
          </w:rPr>
          <w:t>https://www.medpagetoday.com/publichealthpolicy/washington-watch/121912</w:t>
        </w:r>
      </w:hyperlink>
    </w:p>
    <w:p w14:paraId="025D9612" w14:textId="77777777" w:rsidR="00421B71" w:rsidRDefault="00421B71" w:rsidP="004D63D3">
      <w:pPr>
        <w:jc w:val="center"/>
        <w:rPr>
          <w:rFonts w:eastAsia="Times New Roman" w:cs="Times New Roman"/>
          <w:color w:val="0D0D0D" w:themeColor="text1" w:themeTint="F2"/>
          <w:szCs w:val="20"/>
        </w:rPr>
        <w:sectPr w:rsidR="00421B71" w:rsidSect="00421B71">
          <w:type w:val="continuous"/>
          <w:pgSz w:w="12240" w:h="15840" w:code="1"/>
          <w:pgMar w:top="720" w:right="720" w:bottom="720" w:left="720" w:header="288" w:footer="288" w:gutter="0"/>
          <w:cols w:num="2" w:space="288"/>
          <w:docGrid w:linePitch="360"/>
        </w:sectPr>
      </w:pPr>
    </w:p>
    <w:p w14:paraId="380F18A2" w14:textId="37F663C0" w:rsidR="009E43D5" w:rsidRDefault="009E43D5" w:rsidP="004D63D3">
      <w:pPr>
        <w:jc w:val="center"/>
        <w:rPr>
          <w:rFonts w:eastAsia="Times New Roman" w:cs="Times New Roman"/>
          <w:color w:val="0D0D0D" w:themeColor="text1" w:themeTint="F2"/>
          <w:szCs w:val="20"/>
        </w:rPr>
      </w:pPr>
    </w:p>
    <w:p w14:paraId="07CE1451" w14:textId="77777777" w:rsidR="009E43D5" w:rsidRDefault="009E43D5" w:rsidP="004D63D3">
      <w:pPr>
        <w:jc w:val="center"/>
        <w:rPr>
          <w:rFonts w:eastAsia="Times New Roman" w:cs="Times New Roman"/>
          <w:color w:val="0D0D0D" w:themeColor="text1" w:themeTint="F2"/>
          <w:szCs w:val="20"/>
        </w:rPr>
      </w:pPr>
    </w:p>
    <w:p w14:paraId="32B3EB0F" w14:textId="77777777" w:rsidR="0045108E" w:rsidRPr="006F646D" w:rsidRDefault="0045108E" w:rsidP="0045108E">
      <w:pPr>
        <w:contextualSpacing/>
        <w:jc w:val="center"/>
        <w:outlineLvl w:val="0"/>
        <w:rPr>
          <w:rFonts w:eastAsia="Times New Roman" w:cs="Times New Roman"/>
          <w:b/>
          <w:bCs/>
          <w:color w:val="0D0D0D" w:themeColor="text1" w:themeTint="F2"/>
          <w:szCs w:val="20"/>
        </w:rPr>
      </w:pPr>
      <w:bookmarkStart w:id="6" w:name="_Hlk238566839"/>
      <w:r w:rsidRPr="00106B81">
        <w:rPr>
          <w:rFonts w:eastAsia="Times New Roman" w:cs="Times New Roman"/>
          <w:color w:val="0D0D0D" w:themeColor="text1" w:themeTint="F2"/>
          <w:szCs w:val="20"/>
        </w:rPr>
        <w:t>EE UU</w:t>
      </w:r>
      <w:r>
        <w:rPr>
          <w:rFonts w:eastAsia="Times New Roman" w:cs="Times New Roman"/>
          <w:color w:val="0D0D0D" w:themeColor="text1" w:themeTint="F2"/>
          <w:szCs w:val="20"/>
        </w:rPr>
        <w:t xml:space="preserve">. </w:t>
      </w:r>
      <w:r w:rsidRPr="00EA71DA">
        <w:rPr>
          <w:rFonts w:eastAsia="Times New Roman" w:cs="Times New Roman"/>
          <w:b/>
          <w:bCs/>
          <w:color w:val="0D0D0D" w:themeColor="text1" w:themeTint="F2"/>
          <w:szCs w:val="20"/>
        </w:rPr>
        <w:t>Propuestas para maximizar los beneficios de la vía de aprobación acelerada de la FDA</w:t>
      </w:r>
    </w:p>
    <w:p w14:paraId="3B4D791D" w14:textId="77777777" w:rsidR="0045108E" w:rsidRPr="0093065B" w:rsidRDefault="0045108E" w:rsidP="0045108E">
      <w:pPr>
        <w:contextualSpacing/>
        <w:jc w:val="center"/>
        <w:rPr>
          <w:rFonts w:eastAsia="Times New Roman" w:cs="Times New Roman"/>
          <w:color w:val="0D0D0D" w:themeColor="text1" w:themeTint="F2"/>
          <w:szCs w:val="20"/>
        </w:rPr>
      </w:pPr>
      <w:r w:rsidRPr="0093065B">
        <w:rPr>
          <w:rFonts w:eastAsia="Times New Roman" w:cs="Times New Roman"/>
          <w:color w:val="0D0D0D" w:themeColor="text1" w:themeTint="F2"/>
          <w:szCs w:val="20"/>
        </w:rPr>
        <w:t>Salud y Fármacos</w:t>
      </w:r>
    </w:p>
    <w:p w14:paraId="262C1F22" w14:textId="77777777" w:rsidR="0045108E" w:rsidRPr="00106B81" w:rsidRDefault="0045108E" w:rsidP="0045108E">
      <w:pPr>
        <w:contextualSpacing/>
        <w:jc w:val="center"/>
        <w:rPr>
          <w:rFonts w:eastAsia="Times New Roman" w:cs="Times New Roman"/>
          <w:i/>
          <w:iCs/>
          <w:color w:val="0D0D0D" w:themeColor="text1" w:themeTint="F2"/>
          <w:szCs w:val="20"/>
        </w:rPr>
      </w:pPr>
      <w:r w:rsidRPr="0093065B">
        <w:rPr>
          <w:rFonts w:eastAsia="Times New Roman" w:cs="Times New Roman"/>
          <w:i/>
          <w:iCs/>
          <w:color w:val="0D0D0D" w:themeColor="text1" w:themeTint="F2"/>
          <w:szCs w:val="20"/>
        </w:rPr>
        <w:t xml:space="preserve">Boletín Fármacos: </w:t>
      </w:r>
      <w:r>
        <w:rPr>
          <w:rFonts w:eastAsia="Times New Roman" w:cs="Times New Roman"/>
          <w:i/>
          <w:iCs/>
          <w:color w:val="0D0D0D" w:themeColor="text1" w:themeTint="F2"/>
          <w:szCs w:val="20"/>
        </w:rPr>
        <w:t>Agencias Reguladora</w:t>
      </w:r>
      <w:r w:rsidRPr="0093065B">
        <w:rPr>
          <w:rFonts w:eastAsia="Times New Roman" w:cs="Times New Roman"/>
          <w:i/>
          <w:iCs/>
          <w:color w:val="0D0D0D" w:themeColor="text1" w:themeTint="F2"/>
          <w:szCs w:val="20"/>
        </w:rPr>
        <w:t>s 2026; 29(3)</w:t>
      </w:r>
    </w:p>
    <w:p w14:paraId="05B32DC7" w14:textId="77777777" w:rsidR="0045108E" w:rsidRPr="00106B81" w:rsidRDefault="0045108E" w:rsidP="0045108E">
      <w:pPr>
        <w:contextualSpacing/>
        <w:jc w:val="center"/>
        <w:outlineLvl w:val="0"/>
        <w:rPr>
          <w:rFonts w:eastAsia="Times New Roman" w:cs="Times New Roman"/>
          <w:color w:val="0D0D0D" w:themeColor="text1" w:themeTint="F2"/>
          <w:szCs w:val="20"/>
        </w:rPr>
      </w:pPr>
    </w:p>
    <w:p w14:paraId="07A83029" w14:textId="77777777" w:rsidR="00421B71" w:rsidRDefault="00421B71" w:rsidP="0045108E">
      <w:pPr>
        <w:rPr>
          <w:rFonts w:cs="Times New Roman"/>
          <w:b/>
          <w:bCs/>
          <w:sz w:val="18"/>
          <w:szCs w:val="18"/>
        </w:rPr>
        <w:sectPr w:rsidR="00421B71" w:rsidSect="00F25512">
          <w:type w:val="continuous"/>
          <w:pgSz w:w="12240" w:h="15840" w:code="1"/>
          <w:pgMar w:top="720" w:right="720" w:bottom="720" w:left="720" w:header="288" w:footer="288" w:gutter="0"/>
          <w:cols w:space="288"/>
          <w:docGrid w:linePitch="360"/>
        </w:sectPr>
      </w:pPr>
    </w:p>
    <w:p w14:paraId="4D0AAC9D" w14:textId="0409D11E" w:rsidR="00421B71" w:rsidRPr="00421B71" w:rsidRDefault="00421B71" w:rsidP="0045108E">
      <w:pPr>
        <w:rPr>
          <w:rFonts w:cs="Times New Roman"/>
          <w:b/>
          <w:bCs/>
          <w:szCs w:val="20"/>
        </w:rPr>
      </w:pPr>
      <w:r w:rsidRPr="00421B71">
        <w:rPr>
          <w:rFonts w:cs="Times New Roman"/>
          <w:b/>
          <w:bCs/>
          <w:sz w:val="18"/>
          <w:szCs w:val="18"/>
        </w:rPr>
        <w:t xml:space="preserve">Tags: </w:t>
      </w:r>
      <w:r w:rsidRPr="00421B71">
        <w:rPr>
          <w:rFonts w:eastAsia="Times New Roman" w:cs="Times New Roman"/>
          <w:b/>
          <w:bCs/>
          <w:color w:val="0D0D0D" w:themeColor="text1" w:themeTint="F2"/>
          <w:sz w:val="18"/>
          <w:szCs w:val="18"/>
        </w:rPr>
        <w:t>beneficios vía de aprobación acelerada</w:t>
      </w:r>
      <w:r w:rsidRPr="00421B71">
        <w:rPr>
          <w:rFonts w:eastAsia="Times New Roman" w:cs="Times New Roman"/>
          <w:b/>
          <w:bCs/>
          <w:color w:val="0D0D0D" w:themeColor="text1" w:themeTint="F2"/>
          <w:sz w:val="18"/>
          <w:szCs w:val="18"/>
        </w:rPr>
        <w:t>,</w:t>
      </w:r>
      <w:r w:rsidRPr="00421B71">
        <w:rPr>
          <w:rFonts w:eastAsia="Times New Roman" w:cs="Times New Roman"/>
          <w:b/>
          <w:bCs/>
          <w:color w:val="0D0D0D" w:themeColor="text1" w:themeTint="F2"/>
          <w:sz w:val="18"/>
          <w:szCs w:val="18"/>
        </w:rPr>
        <w:t xml:space="preserve"> FDA</w:t>
      </w:r>
      <w:r w:rsidRPr="00421B71">
        <w:rPr>
          <w:rFonts w:eastAsia="Times New Roman" w:cs="Times New Roman"/>
          <w:b/>
          <w:bCs/>
          <w:color w:val="0D0D0D" w:themeColor="text1" w:themeTint="F2"/>
          <w:sz w:val="18"/>
          <w:szCs w:val="18"/>
        </w:rPr>
        <w:t xml:space="preserve"> y vía acelerada, </w:t>
      </w:r>
      <w:r w:rsidRPr="00421B71">
        <w:rPr>
          <w:rFonts w:cs="Times New Roman"/>
          <w:b/>
          <w:bCs/>
          <w:sz w:val="18"/>
          <w:szCs w:val="18"/>
        </w:rPr>
        <w:t>acceso</w:t>
      </w:r>
      <w:r w:rsidRPr="00421B71">
        <w:rPr>
          <w:rFonts w:cs="Times New Roman"/>
          <w:b/>
          <w:bCs/>
          <w:sz w:val="18"/>
          <w:szCs w:val="18"/>
        </w:rPr>
        <w:t xml:space="preserve"> a fármacos,</w:t>
      </w:r>
      <w:r w:rsidRPr="00421B71">
        <w:rPr>
          <w:rFonts w:cs="Times New Roman"/>
          <w:b/>
          <w:bCs/>
          <w:sz w:val="18"/>
          <w:szCs w:val="18"/>
        </w:rPr>
        <w:t xml:space="preserve"> asequib</w:t>
      </w:r>
      <w:r w:rsidRPr="00421B71">
        <w:rPr>
          <w:rFonts w:cs="Times New Roman"/>
          <w:b/>
          <w:bCs/>
          <w:sz w:val="18"/>
          <w:szCs w:val="18"/>
        </w:rPr>
        <w:t>i</w:t>
      </w:r>
      <w:r w:rsidRPr="00421B71">
        <w:rPr>
          <w:rFonts w:cs="Times New Roman"/>
          <w:b/>
          <w:bCs/>
          <w:sz w:val="18"/>
          <w:szCs w:val="18"/>
        </w:rPr>
        <w:t>l</w:t>
      </w:r>
      <w:r w:rsidRPr="00421B71">
        <w:rPr>
          <w:rFonts w:cs="Times New Roman"/>
          <w:b/>
          <w:bCs/>
          <w:sz w:val="18"/>
          <w:szCs w:val="18"/>
        </w:rPr>
        <w:t>idad</w:t>
      </w:r>
    </w:p>
    <w:p w14:paraId="0ED75C80" w14:textId="77777777" w:rsidR="00421B71" w:rsidRDefault="00421B71" w:rsidP="0045108E">
      <w:pPr>
        <w:rPr>
          <w:rFonts w:cs="Times New Roman"/>
          <w:szCs w:val="20"/>
        </w:rPr>
      </w:pPr>
    </w:p>
    <w:p w14:paraId="45EFD747" w14:textId="2D8CD515" w:rsidR="0045108E" w:rsidRDefault="0045108E" w:rsidP="0045108E">
      <w:pPr>
        <w:rPr>
          <w:rFonts w:cs="Times New Roman"/>
          <w:szCs w:val="20"/>
        </w:rPr>
      </w:pPr>
      <w:r w:rsidRPr="00106B81">
        <w:rPr>
          <w:rFonts w:cs="Times New Roman"/>
          <w:szCs w:val="20"/>
        </w:rPr>
        <w:t xml:space="preserve">El Instituto para la Revisión Clínica y Económica (ICER </w:t>
      </w:r>
      <w:r>
        <w:rPr>
          <w:rFonts w:cs="Times New Roman"/>
          <w:szCs w:val="20"/>
        </w:rPr>
        <w:t>o</w:t>
      </w:r>
      <w:r w:rsidRPr="00106B81">
        <w:rPr>
          <w:rFonts w:cs="Times New Roman"/>
          <w:szCs w:val="20"/>
        </w:rPr>
        <w:t xml:space="preserve"> </w:t>
      </w:r>
      <w:proofErr w:type="spellStart"/>
      <w:r w:rsidRPr="00106B81">
        <w:rPr>
          <w:rFonts w:cs="Times New Roman"/>
          <w:i/>
          <w:iCs/>
          <w:szCs w:val="20"/>
        </w:rPr>
        <w:t>Institute</w:t>
      </w:r>
      <w:proofErr w:type="spellEnd"/>
      <w:r w:rsidRPr="00106B81">
        <w:rPr>
          <w:rFonts w:cs="Times New Roman"/>
          <w:i/>
          <w:iCs/>
          <w:szCs w:val="20"/>
        </w:rPr>
        <w:t xml:space="preserve"> for </w:t>
      </w:r>
      <w:proofErr w:type="spellStart"/>
      <w:r w:rsidRPr="00106B81">
        <w:rPr>
          <w:rFonts w:cs="Times New Roman"/>
          <w:i/>
          <w:iCs/>
          <w:szCs w:val="20"/>
        </w:rPr>
        <w:t>Clinical</w:t>
      </w:r>
      <w:proofErr w:type="spellEnd"/>
      <w:r w:rsidRPr="00106B81">
        <w:rPr>
          <w:rFonts w:cs="Times New Roman"/>
          <w:i/>
          <w:iCs/>
          <w:szCs w:val="20"/>
        </w:rPr>
        <w:t xml:space="preserve"> and </w:t>
      </w:r>
      <w:proofErr w:type="spellStart"/>
      <w:r w:rsidRPr="00106B81">
        <w:rPr>
          <w:rFonts w:cs="Times New Roman"/>
          <w:i/>
          <w:iCs/>
          <w:szCs w:val="20"/>
        </w:rPr>
        <w:t>Economic</w:t>
      </w:r>
      <w:proofErr w:type="spellEnd"/>
      <w:r w:rsidRPr="00106B81">
        <w:rPr>
          <w:rFonts w:cs="Times New Roman"/>
          <w:i/>
          <w:iCs/>
          <w:szCs w:val="20"/>
        </w:rPr>
        <w:t xml:space="preserve"> </w:t>
      </w:r>
      <w:proofErr w:type="spellStart"/>
      <w:r w:rsidRPr="00106B81">
        <w:rPr>
          <w:rFonts w:cs="Times New Roman"/>
          <w:i/>
          <w:iCs/>
          <w:szCs w:val="20"/>
        </w:rPr>
        <w:t>Review</w:t>
      </w:r>
      <w:proofErr w:type="spellEnd"/>
      <w:r w:rsidRPr="00106B81">
        <w:rPr>
          <w:rFonts w:cs="Times New Roman"/>
          <w:szCs w:val="20"/>
        </w:rPr>
        <w:t>) evaluó la evolución del proceso de la vía de aprobación acelerada de la FDA</w:t>
      </w:r>
      <w:r>
        <w:rPr>
          <w:rFonts w:cs="Times New Roman"/>
          <w:szCs w:val="20"/>
        </w:rPr>
        <w:t>,</w:t>
      </w:r>
      <w:r w:rsidRPr="00106B81">
        <w:rPr>
          <w:rFonts w:cs="Times New Roman"/>
          <w:szCs w:val="20"/>
        </w:rPr>
        <w:t xml:space="preserve"> destac</w:t>
      </w:r>
      <w:r>
        <w:rPr>
          <w:rFonts w:cs="Times New Roman"/>
          <w:szCs w:val="20"/>
        </w:rPr>
        <w:t>ó</w:t>
      </w:r>
      <w:r w:rsidRPr="00106B81">
        <w:rPr>
          <w:rFonts w:cs="Times New Roman"/>
          <w:szCs w:val="20"/>
        </w:rPr>
        <w:t xml:space="preserve"> los avances y los retos persistentes </w:t>
      </w:r>
      <w:r>
        <w:rPr>
          <w:rFonts w:cs="Times New Roman"/>
          <w:szCs w:val="20"/>
        </w:rPr>
        <w:t>en el proceso</w:t>
      </w:r>
      <w:r w:rsidRPr="00106B81">
        <w:rPr>
          <w:rFonts w:cs="Times New Roman"/>
          <w:szCs w:val="20"/>
        </w:rPr>
        <w:t xml:space="preserve"> </w:t>
      </w:r>
      <w:r>
        <w:rPr>
          <w:rFonts w:cs="Times New Roman"/>
          <w:szCs w:val="20"/>
        </w:rPr>
        <w:t>y</w:t>
      </w:r>
      <w:r w:rsidRPr="00106B81">
        <w:rPr>
          <w:rFonts w:cs="Times New Roman"/>
          <w:szCs w:val="20"/>
        </w:rPr>
        <w:t xml:space="preserve"> </w:t>
      </w:r>
      <w:r>
        <w:rPr>
          <w:rFonts w:cs="Times New Roman"/>
          <w:szCs w:val="20"/>
        </w:rPr>
        <w:t>enumeró</w:t>
      </w:r>
      <w:r w:rsidRPr="00106B81">
        <w:rPr>
          <w:rFonts w:cs="Times New Roman"/>
          <w:szCs w:val="20"/>
        </w:rPr>
        <w:t xml:space="preserve"> una serie de recomendaciones </w:t>
      </w:r>
      <w:r>
        <w:rPr>
          <w:rFonts w:cs="Times New Roman"/>
          <w:szCs w:val="20"/>
        </w:rPr>
        <w:t xml:space="preserve">de </w:t>
      </w:r>
      <w:r w:rsidRPr="00106B81">
        <w:rPr>
          <w:rFonts w:cs="Times New Roman"/>
          <w:szCs w:val="20"/>
        </w:rPr>
        <w:t xml:space="preserve">políticas </w:t>
      </w:r>
      <w:r>
        <w:rPr>
          <w:rFonts w:cs="Times New Roman"/>
          <w:szCs w:val="20"/>
        </w:rPr>
        <w:t>para mejorar</w:t>
      </w:r>
      <w:r w:rsidRPr="00106B81">
        <w:rPr>
          <w:rFonts w:cs="Times New Roman"/>
          <w:szCs w:val="20"/>
        </w:rPr>
        <w:t xml:space="preserve"> la coherencia</w:t>
      </w:r>
      <w:r>
        <w:rPr>
          <w:rFonts w:cs="Times New Roman"/>
          <w:szCs w:val="20"/>
        </w:rPr>
        <w:t xml:space="preserve"> y</w:t>
      </w:r>
      <w:r w:rsidRPr="00106B81">
        <w:rPr>
          <w:rFonts w:cs="Times New Roman"/>
          <w:szCs w:val="20"/>
        </w:rPr>
        <w:t xml:space="preserve"> la transparencia </w:t>
      </w:r>
      <w:r>
        <w:rPr>
          <w:rFonts w:cs="Times New Roman"/>
          <w:szCs w:val="20"/>
        </w:rPr>
        <w:t xml:space="preserve">del proceso, </w:t>
      </w:r>
      <w:proofErr w:type="spellStart"/>
      <w:r>
        <w:rPr>
          <w:rFonts w:cs="Times New Roman"/>
          <w:szCs w:val="20"/>
        </w:rPr>
        <w:t>asi</w:t>
      </w:r>
      <w:proofErr w:type="spellEnd"/>
      <w:r>
        <w:rPr>
          <w:rFonts w:cs="Times New Roman"/>
          <w:szCs w:val="20"/>
        </w:rPr>
        <w:t xml:space="preserve"> como para fortalecer</w:t>
      </w:r>
      <w:r w:rsidRPr="00106B81">
        <w:rPr>
          <w:rFonts w:cs="Times New Roman"/>
          <w:szCs w:val="20"/>
        </w:rPr>
        <w:t xml:space="preserve"> </w:t>
      </w:r>
      <w:r>
        <w:rPr>
          <w:rFonts w:cs="Times New Roman"/>
          <w:szCs w:val="20"/>
        </w:rPr>
        <w:t>su</w:t>
      </w:r>
      <w:r w:rsidRPr="00106B81">
        <w:rPr>
          <w:rFonts w:cs="Times New Roman"/>
          <w:szCs w:val="20"/>
        </w:rPr>
        <w:t xml:space="preserve"> </w:t>
      </w:r>
      <w:r>
        <w:rPr>
          <w:rFonts w:cs="Times New Roman"/>
          <w:szCs w:val="20"/>
        </w:rPr>
        <w:t>objetivo</w:t>
      </w:r>
      <w:r w:rsidRPr="00106B81">
        <w:rPr>
          <w:rFonts w:cs="Times New Roman"/>
          <w:szCs w:val="20"/>
        </w:rPr>
        <w:t xml:space="preserve"> original</w:t>
      </w:r>
      <w:r>
        <w:rPr>
          <w:rFonts w:cs="Times New Roman"/>
          <w:szCs w:val="20"/>
        </w:rPr>
        <w:t xml:space="preserve">: </w:t>
      </w:r>
      <w:r w:rsidRPr="00106B81">
        <w:rPr>
          <w:rFonts w:cs="Times New Roman"/>
          <w:szCs w:val="20"/>
        </w:rPr>
        <w:t xml:space="preserve">agilizar el acceso </w:t>
      </w:r>
      <w:r>
        <w:rPr>
          <w:rFonts w:cs="Times New Roman"/>
          <w:szCs w:val="20"/>
        </w:rPr>
        <w:t xml:space="preserve">de los pacientes </w:t>
      </w:r>
      <w:r w:rsidRPr="00106B81">
        <w:rPr>
          <w:rFonts w:cs="Times New Roman"/>
          <w:szCs w:val="20"/>
        </w:rPr>
        <w:t>a los</w:t>
      </w:r>
      <w:r>
        <w:rPr>
          <w:rFonts w:cs="Times New Roman"/>
          <w:szCs w:val="20"/>
        </w:rPr>
        <w:t xml:space="preserve"> f</w:t>
      </w:r>
      <w:r w:rsidRPr="00106B81">
        <w:rPr>
          <w:rFonts w:cs="Times New Roman"/>
          <w:szCs w:val="20"/>
        </w:rPr>
        <w:t xml:space="preserve">ármacos </w:t>
      </w:r>
      <w:r>
        <w:rPr>
          <w:rFonts w:cs="Times New Roman"/>
          <w:szCs w:val="20"/>
        </w:rPr>
        <w:t xml:space="preserve">recién </w:t>
      </w:r>
      <w:r w:rsidRPr="00106B81">
        <w:rPr>
          <w:rFonts w:cs="Times New Roman"/>
          <w:szCs w:val="20"/>
        </w:rPr>
        <w:t>aprobados y, al mismo tiempo, garantizar la generación de evidencia sólida</w:t>
      </w:r>
      <w:r>
        <w:rPr>
          <w:rFonts w:cs="Times New Roman"/>
          <w:szCs w:val="20"/>
        </w:rPr>
        <w:t>.</w:t>
      </w:r>
    </w:p>
    <w:p w14:paraId="1D228A2C" w14:textId="77777777" w:rsidR="0045108E" w:rsidRPr="00106B81" w:rsidRDefault="0045108E" w:rsidP="0045108E">
      <w:pPr>
        <w:rPr>
          <w:rFonts w:cs="Times New Roman"/>
          <w:szCs w:val="20"/>
        </w:rPr>
      </w:pPr>
    </w:p>
    <w:p w14:paraId="511B897C" w14:textId="77777777" w:rsidR="0045108E" w:rsidRDefault="0045108E" w:rsidP="0045108E">
      <w:pPr>
        <w:rPr>
          <w:rFonts w:cs="Times New Roman"/>
          <w:szCs w:val="20"/>
        </w:rPr>
      </w:pPr>
      <w:r>
        <w:rPr>
          <w:rFonts w:cs="Times New Roman"/>
          <w:szCs w:val="20"/>
        </w:rPr>
        <w:t>La</w:t>
      </w:r>
      <w:r w:rsidRPr="00106B81">
        <w:rPr>
          <w:rFonts w:cs="Times New Roman"/>
          <w:szCs w:val="20"/>
        </w:rPr>
        <w:t xml:space="preserve"> directora ejecutiva de ICER</w:t>
      </w:r>
      <w:r>
        <w:rPr>
          <w:rFonts w:cs="Times New Roman"/>
          <w:szCs w:val="20"/>
        </w:rPr>
        <w:t xml:space="preserve">, </w:t>
      </w:r>
      <w:r w:rsidRPr="00106B81">
        <w:rPr>
          <w:rFonts w:cs="Times New Roman"/>
          <w:szCs w:val="20"/>
        </w:rPr>
        <w:t xml:space="preserve">Sarah K. </w:t>
      </w:r>
      <w:proofErr w:type="spellStart"/>
      <w:r w:rsidRPr="00106B81">
        <w:rPr>
          <w:rFonts w:cs="Times New Roman"/>
          <w:szCs w:val="20"/>
        </w:rPr>
        <w:t>Emond</w:t>
      </w:r>
      <w:proofErr w:type="spellEnd"/>
      <w:r>
        <w:rPr>
          <w:rFonts w:cs="Times New Roman"/>
          <w:szCs w:val="20"/>
        </w:rPr>
        <w:t xml:space="preserve">, mencionó que hay </w:t>
      </w:r>
      <w:r w:rsidRPr="00106B81">
        <w:rPr>
          <w:rFonts w:cs="Times New Roman"/>
          <w:szCs w:val="20"/>
        </w:rPr>
        <w:t xml:space="preserve">varios casos de éxito en que los pacientes se han beneficiado del acceso acelerado a </w:t>
      </w:r>
      <w:r>
        <w:rPr>
          <w:rFonts w:cs="Times New Roman"/>
          <w:szCs w:val="20"/>
        </w:rPr>
        <w:t xml:space="preserve">nuevos </w:t>
      </w:r>
      <w:r w:rsidRPr="00106B81">
        <w:rPr>
          <w:rFonts w:cs="Times New Roman"/>
          <w:szCs w:val="20"/>
        </w:rPr>
        <w:t>medicamentos transformadores</w:t>
      </w:r>
      <w:r>
        <w:rPr>
          <w:rFonts w:cs="Times New Roman"/>
          <w:szCs w:val="20"/>
        </w:rPr>
        <w:t>, pero que</w:t>
      </w:r>
      <w:r w:rsidRPr="00106B81">
        <w:rPr>
          <w:rFonts w:cs="Times New Roman"/>
          <w:szCs w:val="20"/>
        </w:rPr>
        <w:t xml:space="preserve"> también </w:t>
      </w:r>
      <w:r>
        <w:rPr>
          <w:rFonts w:cs="Times New Roman"/>
          <w:szCs w:val="20"/>
        </w:rPr>
        <w:t xml:space="preserve">hay </w:t>
      </w:r>
      <w:r w:rsidRPr="00106B81">
        <w:rPr>
          <w:rFonts w:cs="Times New Roman"/>
          <w:szCs w:val="20"/>
        </w:rPr>
        <w:t xml:space="preserve">muchos casos de inconsistencia regulatoria, retraso en </w:t>
      </w:r>
      <w:r>
        <w:rPr>
          <w:rFonts w:cs="Times New Roman"/>
          <w:szCs w:val="20"/>
        </w:rPr>
        <w:t>la obtención de</w:t>
      </w:r>
      <w:r w:rsidRPr="00106B81">
        <w:rPr>
          <w:rFonts w:cs="Times New Roman"/>
          <w:szCs w:val="20"/>
        </w:rPr>
        <w:t xml:space="preserve"> datos de </w:t>
      </w:r>
      <w:r>
        <w:rPr>
          <w:rFonts w:cs="Times New Roman"/>
          <w:szCs w:val="20"/>
        </w:rPr>
        <w:t xml:space="preserve">los </w:t>
      </w:r>
      <w:r w:rsidRPr="00106B81">
        <w:rPr>
          <w:rFonts w:cs="Times New Roman"/>
          <w:szCs w:val="20"/>
        </w:rPr>
        <w:t>ensayos confirmatorios y restricciones de acceso</w:t>
      </w:r>
      <w:r>
        <w:rPr>
          <w:rFonts w:cs="Times New Roman"/>
          <w:szCs w:val="20"/>
        </w:rPr>
        <w:t>, que generan frustración</w:t>
      </w:r>
      <w:r w:rsidRPr="00106B81">
        <w:rPr>
          <w:rFonts w:cs="Times New Roman"/>
          <w:szCs w:val="20"/>
        </w:rPr>
        <w:t xml:space="preserve"> por parte de los pacientes</w:t>
      </w:r>
      <w:r>
        <w:rPr>
          <w:rFonts w:cs="Times New Roman"/>
          <w:szCs w:val="20"/>
        </w:rPr>
        <w:t>,</w:t>
      </w:r>
      <w:r w:rsidRPr="00106B81">
        <w:rPr>
          <w:rFonts w:cs="Times New Roman"/>
          <w:szCs w:val="20"/>
        </w:rPr>
        <w:t xml:space="preserve"> fabricantes, aseguradoras y compradores</w:t>
      </w:r>
      <w:r>
        <w:rPr>
          <w:rFonts w:cs="Times New Roman"/>
          <w:szCs w:val="20"/>
        </w:rPr>
        <w:t xml:space="preserve"> [1]</w:t>
      </w:r>
      <w:r w:rsidRPr="00106B81">
        <w:rPr>
          <w:rFonts w:cs="Times New Roman"/>
          <w:szCs w:val="20"/>
        </w:rPr>
        <w:t xml:space="preserve">. </w:t>
      </w:r>
    </w:p>
    <w:p w14:paraId="2876292C" w14:textId="77777777" w:rsidR="0045108E" w:rsidRDefault="0045108E" w:rsidP="0045108E">
      <w:pPr>
        <w:rPr>
          <w:rFonts w:cs="Times New Roman"/>
          <w:szCs w:val="20"/>
        </w:rPr>
      </w:pPr>
    </w:p>
    <w:p w14:paraId="58164FA1" w14:textId="77777777" w:rsidR="0045108E" w:rsidRDefault="0045108E" w:rsidP="0045108E">
      <w:pPr>
        <w:rPr>
          <w:rFonts w:cs="Times New Roman"/>
          <w:szCs w:val="20"/>
        </w:rPr>
      </w:pPr>
      <w:proofErr w:type="spellStart"/>
      <w:r w:rsidRPr="00106B81">
        <w:rPr>
          <w:rFonts w:cs="Times New Roman"/>
          <w:szCs w:val="20"/>
        </w:rPr>
        <w:t>Emond</w:t>
      </w:r>
      <w:proofErr w:type="spellEnd"/>
      <w:r>
        <w:rPr>
          <w:rFonts w:cs="Times New Roman"/>
          <w:szCs w:val="20"/>
        </w:rPr>
        <w:t xml:space="preserve"> dijo que las</w:t>
      </w:r>
      <w:r w:rsidRPr="00106B81">
        <w:rPr>
          <w:rFonts w:cs="Times New Roman"/>
          <w:szCs w:val="20"/>
        </w:rPr>
        <w:t xml:space="preserve"> opciones </w:t>
      </w:r>
      <w:r>
        <w:rPr>
          <w:rFonts w:cs="Times New Roman"/>
          <w:szCs w:val="20"/>
        </w:rPr>
        <w:t xml:space="preserve">de </w:t>
      </w:r>
      <w:r w:rsidRPr="00106B81">
        <w:rPr>
          <w:rFonts w:cs="Times New Roman"/>
          <w:szCs w:val="20"/>
        </w:rPr>
        <w:t xml:space="preserve">políticas </w:t>
      </w:r>
      <w:r>
        <w:rPr>
          <w:rFonts w:cs="Times New Roman"/>
          <w:szCs w:val="20"/>
        </w:rPr>
        <w:t>que se incluyen</w:t>
      </w:r>
      <w:r w:rsidRPr="00106B81">
        <w:rPr>
          <w:rFonts w:cs="Times New Roman"/>
          <w:szCs w:val="20"/>
        </w:rPr>
        <w:t xml:space="preserve"> en e</w:t>
      </w:r>
      <w:r>
        <w:rPr>
          <w:rFonts w:cs="Times New Roman"/>
          <w:szCs w:val="20"/>
        </w:rPr>
        <w:t>l</w:t>
      </w:r>
      <w:r w:rsidRPr="00106B81">
        <w:rPr>
          <w:rFonts w:cs="Times New Roman"/>
          <w:szCs w:val="20"/>
        </w:rPr>
        <w:t xml:space="preserve"> documento pr</w:t>
      </w:r>
      <w:r>
        <w:rPr>
          <w:rFonts w:cs="Times New Roman"/>
          <w:szCs w:val="20"/>
        </w:rPr>
        <w:t>etenden</w:t>
      </w:r>
      <w:r w:rsidRPr="00106B81">
        <w:rPr>
          <w:rFonts w:cs="Times New Roman"/>
          <w:szCs w:val="20"/>
        </w:rPr>
        <w:t xml:space="preserve"> aprovechar los éxitos de la vía de </w:t>
      </w:r>
      <w:r w:rsidRPr="00106B81">
        <w:rPr>
          <w:rFonts w:cs="Times New Roman"/>
          <w:szCs w:val="20"/>
        </w:rPr>
        <w:lastRenderedPageBreak/>
        <w:t xml:space="preserve">aprobación acelerada y abordar los desafíos </w:t>
      </w:r>
      <w:r>
        <w:rPr>
          <w:rFonts w:cs="Times New Roman"/>
          <w:szCs w:val="20"/>
        </w:rPr>
        <w:t>para lograr</w:t>
      </w:r>
      <w:r w:rsidRPr="00106B81">
        <w:rPr>
          <w:rFonts w:cs="Times New Roman"/>
          <w:szCs w:val="20"/>
        </w:rPr>
        <w:t xml:space="preserve"> un acceso asequible.</w:t>
      </w:r>
    </w:p>
    <w:p w14:paraId="6AF9BABD" w14:textId="77777777" w:rsidR="0045108E" w:rsidRPr="00106B81" w:rsidRDefault="0045108E" w:rsidP="0045108E">
      <w:pPr>
        <w:rPr>
          <w:rFonts w:cs="Times New Roman"/>
          <w:szCs w:val="20"/>
        </w:rPr>
      </w:pPr>
    </w:p>
    <w:p w14:paraId="097DCA0B" w14:textId="77777777" w:rsidR="0045108E" w:rsidRDefault="0045108E" w:rsidP="0045108E">
      <w:pPr>
        <w:rPr>
          <w:rFonts w:cs="Times New Roman"/>
          <w:szCs w:val="20"/>
        </w:rPr>
      </w:pPr>
      <w:r>
        <w:rPr>
          <w:rFonts w:cs="Times New Roman"/>
          <w:szCs w:val="20"/>
        </w:rPr>
        <w:t>Para elaborar el documento se hizo</w:t>
      </w:r>
      <w:r w:rsidRPr="00106B81">
        <w:rPr>
          <w:rFonts w:cs="Times New Roman"/>
          <w:szCs w:val="20"/>
        </w:rPr>
        <w:t xml:space="preserve"> una revisión bibliográfica y </w:t>
      </w:r>
      <w:r>
        <w:rPr>
          <w:rFonts w:cs="Times New Roman"/>
          <w:szCs w:val="20"/>
        </w:rPr>
        <w:t>se obtuvieron aportes de</w:t>
      </w:r>
      <w:r w:rsidRPr="00106B81">
        <w:rPr>
          <w:rFonts w:cs="Times New Roman"/>
          <w:szCs w:val="20"/>
        </w:rPr>
        <w:t xml:space="preserve"> miembros del Foro de Liderazgo Político de ICER, compuesto por empresas de ciencias de la vida, planes de salud, gestores de prestaciones farmacéuticas y compradores, así como grupos de pacientes y expertos en regulación [1].</w:t>
      </w:r>
    </w:p>
    <w:p w14:paraId="39BCB255" w14:textId="77777777" w:rsidR="0045108E" w:rsidRPr="00106B81" w:rsidRDefault="0045108E" w:rsidP="0045108E">
      <w:pPr>
        <w:rPr>
          <w:rFonts w:cs="Times New Roman"/>
          <w:szCs w:val="20"/>
        </w:rPr>
      </w:pPr>
    </w:p>
    <w:p w14:paraId="17123269" w14:textId="77777777" w:rsidR="0045108E" w:rsidRDefault="0045108E" w:rsidP="0045108E">
      <w:pPr>
        <w:rPr>
          <w:rFonts w:cs="Times New Roman"/>
          <w:szCs w:val="20"/>
        </w:rPr>
      </w:pPr>
      <w:r w:rsidRPr="00106B81">
        <w:rPr>
          <w:rFonts w:cs="Times New Roman"/>
          <w:szCs w:val="20"/>
        </w:rPr>
        <w:t xml:space="preserve">Entre las recomendaciones clave se incluyen </w:t>
      </w:r>
      <w:r>
        <w:rPr>
          <w:rFonts w:cs="Times New Roman"/>
          <w:szCs w:val="20"/>
        </w:rPr>
        <w:t xml:space="preserve">los </w:t>
      </w:r>
      <w:r w:rsidRPr="00106B81">
        <w:rPr>
          <w:rFonts w:cs="Times New Roman"/>
          <w:szCs w:val="20"/>
        </w:rPr>
        <w:t>mecanismos para di</w:t>
      </w:r>
      <w:r>
        <w:rPr>
          <w:rFonts w:cs="Times New Roman"/>
          <w:szCs w:val="20"/>
        </w:rPr>
        <w:t>ferencia</w:t>
      </w:r>
      <w:r w:rsidRPr="00106B81">
        <w:rPr>
          <w:rFonts w:cs="Times New Roman"/>
          <w:szCs w:val="20"/>
        </w:rPr>
        <w:t>r mejor entre los criterios de valoración indirectos que probablemente predigan el beneficio clínico</w:t>
      </w:r>
      <w:r>
        <w:rPr>
          <w:rFonts w:cs="Times New Roman"/>
          <w:szCs w:val="20"/>
        </w:rPr>
        <w:t>,</w:t>
      </w:r>
      <w:r w:rsidRPr="00106B81">
        <w:rPr>
          <w:rFonts w:cs="Times New Roman"/>
          <w:szCs w:val="20"/>
        </w:rPr>
        <w:t xml:space="preserve"> </w:t>
      </w:r>
      <w:r>
        <w:rPr>
          <w:rFonts w:cs="Times New Roman"/>
          <w:szCs w:val="20"/>
        </w:rPr>
        <w:t>de</w:t>
      </w:r>
      <w:r w:rsidRPr="00106B81">
        <w:rPr>
          <w:rFonts w:cs="Times New Roman"/>
          <w:szCs w:val="20"/>
        </w:rPr>
        <w:t xml:space="preserve"> aquellos</w:t>
      </w:r>
      <w:r>
        <w:rPr>
          <w:rFonts w:cs="Times New Roman"/>
          <w:szCs w:val="20"/>
        </w:rPr>
        <w:t xml:space="preserve"> criterios</w:t>
      </w:r>
      <w:r w:rsidRPr="00106B81">
        <w:rPr>
          <w:rFonts w:cs="Times New Roman"/>
          <w:szCs w:val="20"/>
        </w:rPr>
        <w:t xml:space="preserve"> que conllevan mayor</w:t>
      </w:r>
      <w:r>
        <w:rPr>
          <w:rFonts w:cs="Times New Roman"/>
          <w:szCs w:val="20"/>
        </w:rPr>
        <w:t>es</w:t>
      </w:r>
      <w:r w:rsidRPr="00106B81">
        <w:rPr>
          <w:rFonts w:cs="Times New Roman"/>
          <w:szCs w:val="20"/>
        </w:rPr>
        <w:t xml:space="preserve"> incertidumbre</w:t>
      </w:r>
      <w:r>
        <w:rPr>
          <w:rFonts w:cs="Times New Roman"/>
          <w:szCs w:val="20"/>
        </w:rPr>
        <w:t>s</w:t>
      </w:r>
      <w:r w:rsidRPr="00106B81">
        <w:rPr>
          <w:rFonts w:cs="Times New Roman"/>
          <w:szCs w:val="20"/>
        </w:rPr>
        <w:t>, así como la inclusión de resultados que reflejen de forma más directa la experiencia del paciente en los ensayos clínicos.</w:t>
      </w:r>
    </w:p>
    <w:p w14:paraId="30249D38" w14:textId="77777777" w:rsidR="0045108E" w:rsidRPr="00106B81" w:rsidRDefault="0045108E" w:rsidP="0045108E">
      <w:pPr>
        <w:rPr>
          <w:rFonts w:cs="Times New Roman"/>
          <w:szCs w:val="20"/>
        </w:rPr>
      </w:pPr>
    </w:p>
    <w:p w14:paraId="07B0343B" w14:textId="77777777" w:rsidR="0045108E" w:rsidRDefault="0045108E" w:rsidP="0045108E">
      <w:pPr>
        <w:rPr>
          <w:rFonts w:cs="Times New Roman"/>
          <w:szCs w:val="20"/>
        </w:rPr>
      </w:pPr>
      <w:r w:rsidRPr="00106B81">
        <w:rPr>
          <w:rFonts w:cs="Times New Roman"/>
          <w:szCs w:val="20"/>
        </w:rPr>
        <w:t xml:space="preserve">En conjunto, los resultados reflejan un consenso creciente </w:t>
      </w:r>
      <w:r>
        <w:rPr>
          <w:rFonts w:cs="Times New Roman"/>
          <w:szCs w:val="20"/>
        </w:rPr>
        <w:t>en</w:t>
      </w:r>
      <w:r w:rsidRPr="00106B81">
        <w:rPr>
          <w:rFonts w:cs="Times New Roman"/>
          <w:szCs w:val="20"/>
        </w:rPr>
        <w:t xml:space="preserve"> que, si bien esta vía sigue siendo una herramienta fundamental para acelerar la innovación en beneficio de los pacientes, especialmente en oncología y enfermedades raras, su credibilidad a largo plazo dependerá de una ejecución y una rendición de cuentas más consistentes.</w:t>
      </w:r>
    </w:p>
    <w:p w14:paraId="0DD06878" w14:textId="77777777" w:rsidR="0045108E" w:rsidRPr="006F646D" w:rsidRDefault="0045108E" w:rsidP="0045108E">
      <w:pPr>
        <w:rPr>
          <w:rFonts w:cs="Times New Roman"/>
          <w:szCs w:val="20"/>
        </w:rPr>
      </w:pPr>
    </w:p>
    <w:p w14:paraId="0F447D71" w14:textId="77777777" w:rsidR="0045108E" w:rsidRDefault="0045108E" w:rsidP="0045108E">
      <w:pPr>
        <w:rPr>
          <w:rFonts w:cs="Times New Roman"/>
          <w:szCs w:val="20"/>
        </w:rPr>
      </w:pPr>
      <w:r w:rsidRPr="00106B81">
        <w:rPr>
          <w:rFonts w:cs="Times New Roman"/>
          <w:szCs w:val="20"/>
        </w:rPr>
        <w:t xml:space="preserve">Las conclusiones </w:t>
      </w:r>
      <w:r>
        <w:rPr>
          <w:rFonts w:cs="Times New Roman"/>
          <w:szCs w:val="20"/>
        </w:rPr>
        <w:t xml:space="preserve">del informe se sacaron tras </w:t>
      </w:r>
      <w:r w:rsidRPr="00106B81">
        <w:rPr>
          <w:rFonts w:cs="Times New Roman"/>
          <w:szCs w:val="20"/>
        </w:rPr>
        <w:t xml:space="preserve">debates celebrados en la Cumbre de Políticas del ICER en diciembre de 2025, donde los participantes aportaron comentarios sobre borradores </w:t>
      </w:r>
      <w:r>
        <w:rPr>
          <w:rFonts w:cs="Times New Roman"/>
          <w:szCs w:val="20"/>
        </w:rPr>
        <w:t>previos</w:t>
      </w:r>
      <w:r w:rsidRPr="00106B81">
        <w:rPr>
          <w:rFonts w:cs="Times New Roman"/>
          <w:szCs w:val="20"/>
        </w:rPr>
        <w:t xml:space="preserve"> del informe</w:t>
      </w:r>
      <w:r>
        <w:rPr>
          <w:rFonts w:cs="Times New Roman"/>
          <w:szCs w:val="20"/>
        </w:rPr>
        <w:t>,</w:t>
      </w:r>
      <w:r w:rsidRPr="00106B81">
        <w:rPr>
          <w:rFonts w:cs="Times New Roman"/>
          <w:szCs w:val="20"/>
        </w:rPr>
        <w:t xml:space="preserve"> </w:t>
      </w:r>
      <w:r>
        <w:rPr>
          <w:rFonts w:cs="Times New Roman"/>
          <w:szCs w:val="20"/>
        </w:rPr>
        <w:t>que se resumen en:</w:t>
      </w:r>
    </w:p>
    <w:p w14:paraId="518D1438" w14:textId="77777777" w:rsidR="0045108E" w:rsidRPr="00A547F1" w:rsidRDefault="0045108E" w:rsidP="0045108E">
      <w:pPr>
        <w:rPr>
          <w:rFonts w:cs="Times New Roman"/>
          <w:szCs w:val="20"/>
        </w:rPr>
      </w:pPr>
    </w:p>
    <w:p w14:paraId="2C4D7CB7" w14:textId="77777777" w:rsidR="0045108E" w:rsidRDefault="0045108E" w:rsidP="002478D5">
      <w:pPr>
        <w:pStyle w:val="Prrafodelista"/>
        <w:numPr>
          <w:ilvl w:val="0"/>
          <w:numId w:val="21"/>
        </w:numPr>
        <w:ind w:left="180" w:hanging="180"/>
        <w:rPr>
          <w:rFonts w:cs="Times New Roman"/>
          <w:szCs w:val="20"/>
        </w:rPr>
      </w:pPr>
      <w:r>
        <w:rPr>
          <w:rFonts w:cs="Times New Roman"/>
          <w:szCs w:val="20"/>
        </w:rPr>
        <w:t>P</w:t>
      </w:r>
      <w:r w:rsidRPr="00106B81">
        <w:rPr>
          <w:rFonts w:cs="Times New Roman"/>
          <w:szCs w:val="20"/>
        </w:rPr>
        <w:t>ropone</w:t>
      </w:r>
      <w:r>
        <w:rPr>
          <w:rFonts w:cs="Times New Roman"/>
          <w:szCs w:val="20"/>
        </w:rPr>
        <w:t>r</w:t>
      </w:r>
      <w:r w:rsidRPr="00106B81">
        <w:rPr>
          <w:rFonts w:cs="Times New Roman"/>
          <w:szCs w:val="20"/>
        </w:rPr>
        <w:t xml:space="preserve"> métodos específicos para estratificar los criterios de valoración indirectos según su validez predictiva, priorizando aquellos con mayor probabilidad de traducirse en un beneficio clínico </w:t>
      </w:r>
      <w:r>
        <w:rPr>
          <w:rFonts w:cs="Times New Roman"/>
          <w:szCs w:val="20"/>
        </w:rPr>
        <w:t xml:space="preserve">para los pacientes. </w:t>
      </w:r>
    </w:p>
    <w:p w14:paraId="33B64030" w14:textId="77777777" w:rsidR="0045108E" w:rsidRDefault="0045108E" w:rsidP="0045108E">
      <w:pPr>
        <w:pStyle w:val="Prrafodelista"/>
        <w:ind w:left="180" w:hanging="180"/>
        <w:rPr>
          <w:rFonts w:cs="Times New Roman"/>
          <w:szCs w:val="20"/>
        </w:rPr>
      </w:pPr>
    </w:p>
    <w:p w14:paraId="71C944C1" w14:textId="77777777" w:rsidR="0045108E" w:rsidRDefault="0045108E" w:rsidP="002478D5">
      <w:pPr>
        <w:pStyle w:val="Prrafodelista"/>
        <w:numPr>
          <w:ilvl w:val="0"/>
          <w:numId w:val="21"/>
        </w:numPr>
        <w:ind w:left="180" w:hanging="180"/>
        <w:rPr>
          <w:rFonts w:cs="Times New Roman"/>
          <w:szCs w:val="20"/>
        </w:rPr>
      </w:pPr>
      <w:r>
        <w:rPr>
          <w:rFonts w:cs="Times New Roman"/>
          <w:szCs w:val="20"/>
        </w:rPr>
        <w:t>I</w:t>
      </w:r>
      <w:r w:rsidRPr="00106B81">
        <w:rPr>
          <w:rFonts w:cs="Times New Roman"/>
          <w:szCs w:val="20"/>
        </w:rPr>
        <w:t>dentifica</w:t>
      </w:r>
      <w:r>
        <w:rPr>
          <w:rFonts w:cs="Times New Roman"/>
          <w:szCs w:val="20"/>
        </w:rPr>
        <w:t>r</w:t>
      </w:r>
      <w:r w:rsidRPr="00106B81">
        <w:rPr>
          <w:rFonts w:cs="Times New Roman"/>
          <w:szCs w:val="20"/>
        </w:rPr>
        <w:t xml:space="preserve"> los criterios</w:t>
      </w:r>
      <w:r>
        <w:rPr>
          <w:rFonts w:cs="Times New Roman"/>
          <w:szCs w:val="20"/>
        </w:rPr>
        <w:t xml:space="preserve"> de valoración</w:t>
      </w:r>
      <w:r w:rsidRPr="00106B81">
        <w:rPr>
          <w:rFonts w:cs="Times New Roman"/>
          <w:szCs w:val="20"/>
        </w:rPr>
        <w:t xml:space="preserve"> indirectos </w:t>
      </w:r>
      <w:r>
        <w:rPr>
          <w:rFonts w:cs="Times New Roman"/>
          <w:szCs w:val="20"/>
        </w:rPr>
        <w:t>que conllevan</w:t>
      </w:r>
      <w:r w:rsidRPr="00106B81">
        <w:rPr>
          <w:rFonts w:cs="Times New Roman"/>
          <w:szCs w:val="20"/>
        </w:rPr>
        <w:t xml:space="preserve"> mayor incertidumbre.</w:t>
      </w:r>
    </w:p>
    <w:p w14:paraId="515F9FB7" w14:textId="77777777" w:rsidR="0045108E" w:rsidRPr="00095E65" w:rsidRDefault="0045108E" w:rsidP="0045108E">
      <w:pPr>
        <w:ind w:left="180" w:hanging="180"/>
        <w:rPr>
          <w:rFonts w:cs="Times New Roman"/>
          <w:szCs w:val="20"/>
        </w:rPr>
      </w:pPr>
    </w:p>
    <w:p w14:paraId="5C7F1635" w14:textId="77777777" w:rsidR="0045108E" w:rsidRDefault="0045108E" w:rsidP="002478D5">
      <w:pPr>
        <w:pStyle w:val="Prrafodelista"/>
        <w:numPr>
          <w:ilvl w:val="0"/>
          <w:numId w:val="21"/>
        </w:numPr>
        <w:ind w:left="180" w:hanging="180"/>
        <w:rPr>
          <w:rFonts w:cs="Times New Roman"/>
          <w:szCs w:val="20"/>
        </w:rPr>
      </w:pPr>
      <w:r>
        <w:rPr>
          <w:rFonts w:cs="Times New Roman"/>
          <w:szCs w:val="20"/>
        </w:rPr>
        <w:t>Orientar l</w:t>
      </w:r>
      <w:r w:rsidRPr="00106B81">
        <w:rPr>
          <w:rFonts w:cs="Times New Roman"/>
          <w:szCs w:val="20"/>
        </w:rPr>
        <w:t xml:space="preserve">os diseños de los ensayos clínicos </w:t>
      </w:r>
      <w:r>
        <w:rPr>
          <w:rFonts w:cs="Times New Roman"/>
          <w:szCs w:val="20"/>
        </w:rPr>
        <w:t xml:space="preserve">para que </w:t>
      </w:r>
      <w:r w:rsidRPr="00106B81">
        <w:rPr>
          <w:rFonts w:cs="Times New Roman"/>
          <w:szCs w:val="20"/>
        </w:rPr>
        <w:t xml:space="preserve">los resultados </w:t>
      </w:r>
      <w:r>
        <w:rPr>
          <w:rFonts w:cs="Times New Roman"/>
          <w:szCs w:val="20"/>
        </w:rPr>
        <w:t>también</w:t>
      </w:r>
      <w:r w:rsidRPr="00106B81">
        <w:rPr>
          <w:rFonts w:cs="Times New Roman"/>
          <w:szCs w:val="20"/>
        </w:rPr>
        <w:t xml:space="preserve"> reflejen la experiencia del paciente</w:t>
      </w:r>
      <w:r>
        <w:rPr>
          <w:rFonts w:cs="Times New Roman"/>
          <w:szCs w:val="20"/>
        </w:rPr>
        <w:t>,</w:t>
      </w:r>
      <w:r w:rsidRPr="00106B81">
        <w:rPr>
          <w:rFonts w:cs="Times New Roman"/>
          <w:szCs w:val="20"/>
        </w:rPr>
        <w:t xml:space="preserve"> para contextualizar mejor la relación beneficio-riesgo de las terapias que entran en el mercado antes de que se disponga de datos confirmatorios suficientes.</w:t>
      </w:r>
    </w:p>
    <w:p w14:paraId="1283CA38" w14:textId="77777777" w:rsidR="0045108E" w:rsidRPr="00095E65" w:rsidRDefault="0045108E" w:rsidP="0045108E">
      <w:pPr>
        <w:ind w:left="180" w:hanging="180"/>
        <w:rPr>
          <w:rFonts w:cs="Times New Roman"/>
          <w:szCs w:val="20"/>
        </w:rPr>
      </w:pPr>
    </w:p>
    <w:p w14:paraId="64F18D73" w14:textId="77777777" w:rsidR="0045108E" w:rsidRDefault="0045108E" w:rsidP="002478D5">
      <w:pPr>
        <w:pStyle w:val="Prrafodelista"/>
        <w:numPr>
          <w:ilvl w:val="0"/>
          <w:numId w:val="21"/>
        </w:numPr>
        <w:ind w:left="180" w:hanging="180"/>
        <w:rPr>
          <w:rFonts w:cs="Times New Roman"/>
          <w:szCs w:val="20"/>
        </w:rPr>
      </w:pPr>
      <w:r w:rsidRPr="00106B81">
        <w:rPr>
          <w:rFonts w:cs="Times New Roman"/>
          <w:szCs w:val="20"/>
        </w:rPr>
        <w:t xml:space="preserve">Se </w:t>
      </w:r>
      <w:r>
        <w:rPr>
          <w:rFonts w:cs="Times New Roman"/>
          <w:szCs w:val="20"/>
        </w:rPr>
        <w:t>enfatiza</w:t>
      </w:r>
      <w:r w:rsidRPr="00106B81">
        <w:rPr>
          <w:rFonts w:cs="Times New Roman"/>
          <w:szCs w:val="20"/>
        </w:rPr>
        <w:t xml:space="preserve"> la </w:t>
      </w:r>
      <w:r>
        <w:rPr>
          <w:rFonts w:cs="Times New Roman"/>
          <w:szCs w:val="20"/>
        </w:rPr>
        <w:t xml:space="preserve">necesidad de mejorar la </w:t>
      </w:r>
      <w:r w:rsidRPr="00106B81">
        <w:rPr>
          <w:rFonts w:cs="Times New Roman"/>
          <w:szCs w:val="20"/>
        </w:rPr>
        <w:t xml:space="preserve">transparencia </w:t>
      </w:r>
      <w:r>
        <w:rPr>
          <w:rFonts w:cs="Times New Roman"/>
          <w:szCs w:val="20"/>
        </w:rPr>
        <w:t>d</w:t>
      </w:r>
      <w:r w:rsidRPr="00106B81">
        <w:rPr>
          <w:rFonts w:cs="Times New Roman"/>
          <w:szCs w:val="20"/>
        </w:rPr>
        <w:t>e</w:t>
      </w:r>
      <w:r>
        <w:rPr>
          <w:rFonts w:cs="Times New Roman"/>
          <w:szCs w:val="20"/>
        </w:rPr>
        <w:t>l proceso de</w:t>
      </w:r>
      <w:r w:rsidRPr="00106B81">
        <w:rPr>
          <w:rFonts w:cs="Times New Roman"/>
          <w:szCs w:val="20"/>
        </w:rPr>
        <w:t xml:space="preserve"> toma de decisiones e</w:t>
      </w:r>
      <w:r>
        <w:rPr>
          <w:rFonts w:cs="Times New Roman"/>
          <w:szCs w:val="20"/>
        </w:rPr>
        <w:t>n</w:t>
      </w:r>
      <w:r w:rsidRPr="00106B81">
        <w:rPr>
          <w:rFonts w:cs="Times New Roman"/>
          <w:szCs w:val="20"/>
        </w:rPr>
        <w:t xml:space="preserve"> la FDA</w:t>
      </w:r>
      <w:r>
        <w:rPr>
          <w:rFonts w:cs="Times New Roman"/>
          <w:szCs w:val="20"/>
        </w:rPr>
        <w:t>,</w:t>
      </w:r>
      <w:r w:rsidRPr="00106B81">
        <w:rPr>
          <w:rFonts w:cs="Times New Roman"/>
          <w:szCs w:val="20"/>
        </w:rPr>
        <w:t xml:space="preserve"> y </w:t>
      </w:r>
      <w:r>
        <w:rPr>
          <w:rFonts w:cs="Times New Roman"/>
          <w:szCs w:val="20"/>
        </w:rPr>
        <w:t>de establecer</w:t>
      </w:r>
      <w:r w:rsidRPr="00106B81">
        <w:rPr>
          <w:rFonts w:cs="Times New Roman"/>
          <w:szCs w:val="20"/>
        </w:rPr>
        <w:t xml:space="preserve"> </w:t>
      </w:r>
      <w:r>
        <w:rPr>
          <w:rFonts w:cs="Times New Roman"/>
          <w:szCs w:val="20"/>
        </w:rPr>
        <w:t>un</w:t>
      </w:r>
      <w:r w:rsidRPr="00106B81">
        <w:rPr>
          <w:rFonts w:cs="Times New Roman"/>
          <w:szCs w:val="20"/>
        </w:rPr>
        <w:t xml:space="preserve">a comunicación estandarizada </w:t>
      </w:r>
      <w:r>
        <w:rPr>
          <w:rFonts w:cs="Times New Roman"/>
          <w:szCs w:val="20"/>
        </w:rPr>
        <w:t>que tenga en cuenta la</w:t>
      </w:r>
      <w:r w:rsidRPr="00106B81">
        <w:rPr>
          <w:rFonts w:cs="Times New Roman"/>
          <w:szCs w:val="20"/>
        </w:rPr>
        <w:t xml:space="preserve"> incertidumbre </w:t>
      </w:r>
      <w:r>
        <w:rPr>
          <w:rFonts w:cs="Times New Roman"/>
          <w:szCs w:val="20"/>
        </w:rPr>
        <w:t xml:space="preserve">que sigue afectando a los </w:t>
      </w:r>
      <w:r w:rsidRPr="00106B81">
        <w:rPr>
          <w:rFonts w:cs="Times New Roman"/>
          <w:szCs w:val="20"/>
        </w:rPr>
        <w:t>médicos y pacientes, inclu</w:t>
      </w:r>
      <w:r>
        <w:rPr>
          <w:rFonts w:cs="Times New Roman"/>
          <w:szCs w:val="20"/>
        </w:rPr>
        <w:t>yendo</w:t>
      </w:r>
      <w:r w:rsidRPr="00106B81">
        <w:rPr>
          <w:rFonts w:cs="Times New Roman"/>
          <w:szCs w:val="20"/>
        </w:rPr>
        <w:t xml:space="preserve"> </w:t>
      </w:r>
      <w:r>
        <w:rPr>
          <w:rFonts w:cs="Times New Roman"/>
          <w:szCs w:val="20"/>
        </w:rPr>
        <w:t xml:space="preserve">el tener en cuenta </w:t>
      </w:r>
      <w:r w:rsidRPr="00106B81">
        <w:rPr>
          <w:rFonts w:cs="Times New Roman"/>
          <w:szCs w:val="20"/>
        </w:rPr>
        <w:t>el consentimiento informado cuando la evidencia sigue siendo provisional.</w:t>
      </w:r>
    </w:p>
    <w:p w14:paraId="21CC5D14" w14:textId="77777777" w:rsidR="0045108E" w:rsidRPr="00095E65" w:rsidRDefault="0045108E" w:rsidP="0045108E">
      <w:pPr>
        <w:ind w:left="180" w:hanging="180"/>
        <w:rPr>
          <w:rFonts w:cs="Times New Roman"/>
          <w:szCs w:val="20"/>
        </w:rPr>
      </w:pPr>
    </w:p>
    <w:p w14:paraId="381B9C1C" w14:textId="77777777" w:rsidR="0045108E" w:rsidRDefault="0045108E" w:rsidP="002478D5">
      <w:pPr>
        <w:pStyle w:val="Prrafodelista"/>
        <w:numPr>
          <w:ilvl w:val="0"/>
          <w:numId w:val="21"/>
        </w:numPr>
        <w:ind w:left="180" w:hanging="180"/>
        <w:rPr>
          <w:rFonts w:cs="Times New Roman"/>
          <w:szCs w:val="20"/>
        </w:rPr>
      </w:pPr>
      <w:r>
        <w:rPr>
          <w:rFonts w:cs="Times New Roman"/>
          <w:szCs w:val="20"/>
        </w:rPr>
        <w:t>I</w:t>
      </w:r>
      <w:r w:rsidRPr="00106B81">
        <w:rPr>
          <w:rFonts w:cs="Times New Roman"/>
          <w:szCs w:val="20"/>
        </w:rPr>
        <w:t xml:space="preserve">mplementar modelos de precios más estrechamente vinculados al nivel de evidencia disponible, con ajustes </w:t>
      </w:r>
      <w:r>
        <w:rPr>
          <w:rFonts w:cs="Times New Roman"/>
          <w:szCs w:val="20"/>
        </w:rPr>
        <w:t>en la</w:t>
      </w:r>
      <w:r w:rsidRPr="00106B81">
        <w:rPr>
          <w:rFonts w:cs="Times New Roman"/>
          <w:szCs w:val="20"/>
        </w:rPr>
        <w:t xml:space="preserve"> medida </w:t>
      </w:r>
      <w:r>
        <w:rPr>
          <w:rFonts w:cs="Times New Roman"/>
          <w:szCs w:val="20"/>
        </w:rPr>
        <w:t xml:space="preserve">en </w:t>
      </w:r>
      <w:r w:rsidRPr="00106B81">
        <w:rPr>
          <w:rFonts w:cs="Times New Roman"/>
          <w:szCs w:val="20"/>
        </w:rPr>
        <w:t>que surjan nuevos datos</w:t>
      </w:r>
      <w:r>
        <w:rPr>
          <w:rFonts w:cs="Times New Roman"/>
          <w:szCs w:val="20"/>
        </w:rPr>
        <w:t>.</w:t>
      </w:r>
    </w:p>
    <w:p w14:paraId="1640C1D4" w14:textId="77777777" w:rsidR="0045108E" w:rsidRPr="00095E65" w:rsidRDefault="0045108E" w:rsidP="0045108E">
      <w:pPr>
        <w:ind w:left="180" w:hanging="180"/>
        <w:rPr>
          <w:rFonts w:cs="Times New Roman"/>
          <w:szCs w:val="20"/>
        </w:rPr>
      </w:pPr>
    </w:p>
    <w:p w14:paraId="4D58ABD2" w14:textId="77777777" w:rsidR="0045108E" w:rsidRPr="00106B81" w:rsidRDefault="0045108E" w:rsidP="002478D5">
      <w:pPr>
        <w:pStyle w:val="Prrafodelista"/>
        <w:numPr>
          <w:ilvl w:val="0"/>
          <w:numId w:val="21"/>
        </w:numPr>
        <w:ind w:left="180" w:hanging="180"/>
        <w:rPr>
          <w:rFonts w:cs="Times New Roman"/>
          <w:szCs w:val="20"/>
        </w:rPr>
      </w:pPr>
      <w:r>
        <w:rPr>
          <w:rFonts w:cs="Times New Roman"/>
          <w:szCs w:val="20"/>
        </w:rPr>
        <w:t>E</w:t>
      </w:r>
      <w:r w:rsidRPr="00106B81">
        <w:rPr>
          <w:rFonts w:cs="Times New Roman"/>
          <w:szCs w:val="20"/>
        </w:rPr>
        <w:t>stablecer mecanismos formales para reevaluar, restringir o retirar las aprobaciones aceleradas cuando los ensayos confirmatorios posteriores a la comercialización se retrasan, abordando así las tensiones de larga data en materia de credibilidad y acceso en oncología y enfermedades raras.</w:t>
      </w:r>
    </w:p>
    <w:p w14:paraId="5DC46DE8" w14:textId="77777777" w:rsidR="0045108E" w:rsidRPr="00106B81" w:rsidRDefault="0045108E" w:rsidP="0045108E">
      <w:pPr>
        <w:rPr>
          <w:rFonts w:cs="Times New Roman"/>
          <w:szCs w:val="20"/>
        </w:rPr>
      </w:pPr>
    </w:p>
    <w:p w14:paraId="53B93638" w14:textId="77777777" w:rsidR="0045108E" w:rsidRDefault="0045108E" w:rsidP="0045108E">
      <w:pPr>
        <w:rPr>
          <w:rStyle w:val="Hipervnculo"/>
          <w:rFonts w:cs="Times New Roman"/>
          <w:szCs w:val="20"/>
        </w:rPr>
      </w:pPr>
      <w:r w:rsidRPr="007123C1">
        <w:rPr>
          <w:rFonts w:cs="Times New Roman"/>
          <w:b/>
          <w:bCs/>
          <w:szCs w:val="20"/>
        </w:rPr>
        <w:t>Nota de Salud y Fármacos:</w:t>
      </w:r>
      <w:r>
        <w:rPr>
          <w:rFonts w:cs="Times New Roman"/>
          <w:szCs w:val="20"/>
        </w:rPr>
        <w:t xml:space="preserve"> Descargue aquí en PDF el análisis completo (en inglés) del </w:t>
      </w:r>
      <w:r w:rsidRPr="007123C1">
        <w:rPr>
          <w:rFonts w:cs="Times New Roman"/>
          <w:i/>
          <w:iCs/>
          <w:szCs w:val="20"/>
        </w:rPr>
        <w:t>Instituto de Revisión Clínica y Económica</w:t>
      </w:r>
      <w:r w:rsidRPr="007123C1">
        <w:rPr>
          <w:rFonts w:cs="Times New Roman"/>
          <w:szCs w:val="20"/>
        </w:rPr>
        <w:t>: Fortalecimiento del procedimiento de aprobación acelerada de la FDA</w:t>
      </w:r>
      <w:r>
        <w:rPr>
          <w:rFonts w:cs="Times New Roman"/>
          <w:szCs w:val="20"/>
        </w:rPr>
        <w:t>,</w:t>
      </w:r>
      <w:r w:rsidRPr="007123C1">
        <w:rPr>
          <w:rFonts w:cs="Times New Roman"/>
          <w:szCs w:val="20"/>
        </w:rPr>
        <w:t xml:space="preserve"> avances y asuntos pendientes</w:t>
      </w:r>
      <w:r>
        <w:rPr>
          <w:rFonts w:cs="Times New Roman"/>
          <w:szCs w:val="20"/>
        </w:rPr>
        <w:t xml:space="preserve"> </w:t>
      </w:r>
      <w:r w:rsidRPr="007123C1">
        <w:rPr>
          <w:rFonts w:cs="Times New Roman"/>
          <w:szCs w:val="20"/>
        </w:rPr>
        <w:t xml:space="preserve"> </w:t>
      </w:r>
      <w:hyperlink r:id="rId98" w:history="1">
        <w:r w:rsidRPr="007123C1">
          <w:rPr>
            <w:rStyle w:val="Hipervnculo"/>
            <w:rFonts w:cs="Times New Roman"/>
            <w:szCs w:val="20"/>
          </w:rPr>
          <w:t>https://icer.org/wp-content/uploads/2026/04/Strengthening-the-FDAs-Accelerated-Approval-Pathway-_-ICER-White-Paper-_-April-2026.pdf</w:t>
        </w:r>
      </w:hyperlink>
    </w:p>
    <w:p w14:paraId="0361F37D" w14:textId="77777777" w:rsidR="0045108E" w:rsidRPr="00106B81" w:rsidRDefault="0045108E" w:rsidP="0045108E">
      <w:pPr>
        <w:rPr>
          <w:rFonts w:cs="Times New Roman"/>
          <w:szCs w:val="20"/>
        </w:rPr>
      </w:pPr>
    </w:p>
    <w:p w14:paraId="5FC6C086" w14:textId="77777777" w:rsidR="0045108E" w:rsidRPr="00106B81" w:rsidRDefault="0045108E" w:rsidP="0045108E">
      <w:pPr>
        <w:rPr>
          <w:rFonts w:cs="Times New Roman"/>
          <w:b/>
          <w:bCs/>
          <w:sz w:val="18"/>
          <w:szCs w:val="18"/>
        </w:rPr>
      </w:pPr>
      <w:r>
        <w:rPr>
          <w:rFonts w:cs="Times New Roman"/>
          <w:b/>
          <w:bCs/>
          <w:sz w:val="18"/>
          <w:szCs w:val="18"/>
        </w:rPr>
        <w:t>Fuente Original</w:t>
      </w:r>
      <w:r w:rsidRPr="00106B81">
        <w:rPr>
          <w:rFonts w:cs="Times New Roman"/>
          <w:b/>
          <w:bCs/>
          <w:sz w:val="18"/>
          <w:szCs w:val="18"/>
        </w:rPr>
        <w:t>:</w:t>
      </w:r>
    </w:p>
    <w:p w14:paraId="66D4C4C5" w14:textId="3033B020" w:rsidR="0045108E" w:rsidRPr="00106B81" w:rsidRDefault="0045108E" w:rsidP="0045108E">
      <w:pPr>
        <w:ind w:left="180" w:hanging="180"/>
        <w:rPr>
          <w:rFonts w:cs="Times New Roman"/>
          <w:sz w:val="18"/>
          <w:szCs w:val="18"/>
        </w:rPr>
      </w:pPr>
      <w:r w:rsidRPr="00106B81">
        <w:rPr>
          <w:rFonts w:cs="Times New Roman"/>
          <w:sz w:val="18"/>
          <w:szCs w:val="18"/>
        </w:rPr>
        <w:t>1.</w:t>
      </w:r>
      <w:r>
        <w:rPr>
          <w:rFonts w:cs="Times New Roman"/>
          <w:sz w:val="18"/>
          <w:szCs w:val="18"/>
        </w:rPr>
        <w:t xml:space="preserve">ICER. </w:t>
      </w:r>
      <w:r w:rsidRPr="00106B81">
        <w:rPr>
          <w:rFonts w:cs="Times New Roman"/>
          <w:sz w:val="18"/>
          <w:szCs w:val="18"/>
        </w:rPr>
        <w:t>El Instituto para la Revisión Clínica y Económica publica un informe técnico sobre la vía de aprobación acelerada para medicamentos</w:t>
      </w:r>
      <w:r>
        <w:rPr>
          <w:rFonts w:cs="Times New Roman"/>
          <w:sz w:val="18"/>
          <w:szCs w:val="18"/>
        </w:rPr>
        <w:t xml:space="preserve"> </w:t>
      </w:r>
      <w:r w:rsidRPr="00106B81">
        <w:rPr>
          <w:rFonts w:cs="Times New Roman"/>
          <w:sz w:val="18"/>
          <w:szCs w:val="18"/>
        </w:rPr>
        <w:t>recetados.</w:t>
      </w:r>
      <w:r>
        <w:rPr>
          <w:rFonts w:cs="Times New Roman"/>
          <w:sz w:val="18"/>
          <w:szCs w:val="18"/>
        </w:rPr>
        <w:t xml:space="preserve"> </w:t>
      </w:r>
      <w:r w:rsidRPr="00106B81">
        <w:rPr>
          <w:rFonts w:cs="Times New Roman"/>
          <w:i/>
          <w:iCs/>
          <w:sz w:val="18"/>
          <w:szCs w:val="18"/>
        </w:rPr>
        <w:t>Instituto para la Revisión Clínica y Económica,</w:t>
      </w:r>
      <w:r>
        <w:rPr>
          <w:rFonts w:cs="Times New Roman"/>
          <w:sz w:val="18"/>
          <w:szCs w:val="18"/>
        </w:rPr>
        <w:t xml:space="preserve"> </w:t>
      </w:r>
      <w:r w:rsidRPr="00106B81">
        <w:rPr>
          <w:rFonts w:cs="Times New Roman"/>
          <w:sz w:val="18"/>
          <w:szCs w:val="18"/>
        </w:rPr>
        <w:t xml:space="preserve">16 de abril de 2026. </w:t>
      </w:r>
      <w:hyperlink r:id="rId99" w:history="1">
        <w:r w:rsidRPr="003B6E80">
          <w:rPr>
            <w:rStyle w:val="Hipervnculo"/>
            <w:rFonts w:cs="Times New Roman"/>
            <w:sz w:val="18"/>
            <w:szCs w:val="18"/>
          </w:rPr>
          <w:t>https://icer.org/news-insights/press-releases/icer-white-paper-on-accelerated-approval-pathway-2026/</w:t>
        </w:r>
      </w:hyperlink>
    </w:p>
    <w:bookmarkEnd w:id="6"/>
    <w:p w14:paraId="3E3BB6C2" w14:textId="77777777" w:rsidR="00421B71" w:rsidRDefault="00421B71" w:rsidP="004D63D3">
      <w:pPr>
        <w:jc w:val="center"/>
        <w:rPr>
          <w:rFonts w:eastAsia="Times New Roman" w:cs="Times New Roman"/>
          <w:color w:val="0D0D0D" w:themeColor="text1" w:themeTint="F2"/>
          <w:szCs w:val="20"/>
        </w:rPr>
        <w:sectPr w:rsidR="00421B71" w:rsidSect="00421B71">
          <w:type w:val="continuous"/>
          <w:pgSz w:w="12240" w:h="15840" w:code="1"/>
          <w:pgMar w:top="720" w:right="720" w:bottom="720" w:left="720" w:header="288" w:footer="288" w:gutter="0"/>
          <w:cols w:num="2" w:space="288"/>
          <w:docGrid w:linePitch="360"/>
        </w:sectPr>
      </w:pPr>
    </w:p>
    <w:p w14:paraId="3300A4AF" w14:textId="5A4C5A94" w:rsidR="0045108E" w:rsidRDefault="0045108E" w:rsidP="004D63D3">
      <w:pPr>
        <w:jc w:val="center"/>
        <w:rPr>
          <w:rFonts w:eastAsia="Times New Roman" w:cs="Times New Roman"/>
          <w:color w:val="0D0D0D" w:themeColor="text1" w:themeTint="F2"/>
          <w:szCs w:val="20"/>
        </w:rPr>
      </w:pPr>
    </w:p>
    <w:p w14:paraId="22A1C29E" w14:textId="77777777" w:rsidR="0045108E" w:rsidRDefault="0045108E" w:rsidP="004D63D3">
      <w:pPr>
        <w:jc w:val="center"/>
        <w:rPr>
          <w:rFonts w:eastAsia="Times New Roman" w:cs="Times New Roman"/>
          <w:color w:val="0D0D0D" w:themeColor="text1" w:themeTint="F2"/>
          <w:szCs w:val="20"/>
        </w:rPr>
      </w:pPr>
    </w:p>
    <w:p w14:paraId="6BC934B6" w14:textId="6DF5898A" w:rsidR="006920D8" w:rsidRPr="00EA71DA" w:rsidRDefault="006920D8" w:rsidP="006920D8">
      <w:pPr>
        <w:contextualSpacing/>
        <w:jc w:val="center"/>
        <w:rPr>
          <w:rFonts w:eastAsia="Times New Roman" w:cs="Times New Roman"/>
          <w:b/>
          <w:bCs/>
          <w:color w:val="0D0D0D" w:themeColor="text1" w:themeTint="F2"/>
          <w:szCs w:val="20"/>
        </w:rPr>
      </w:pPr>
      <w:r w:rsidRPr="009A671C">
        <w:rPr>
          <w:rFonts w:eastAsia="Times New Roman" w:cs="Times New Roman"/>
          <w:color w:val="0D0D0D" w:themeColor="text1" w:themeTint="F2"/>
          <w:szCs w:val="20"/>
        </w:rPr>
        <w:t xml:space="preserve">EE UU. </w:t>
      </w:r>
      <w:r w:rsidRPr="00EA71DA">
        <w:rPr>
          <w:rFonts w:eastAsia="Times New Roman" w:cs="Times New Roman"/>
          <w:b/>
          <w:bCs/>
          <w:color w:val="0D0D0D" w:themeColor="text1" w:themeTint="F2"/>
          <w:szCs w:val="20"/>
        </w:rPr>
        <w:t xml:space="preserve">Programa piloto </w:t>
      </w:r>
      <w:proofErr w:type="spellStart"/>
      <w:r w:rsidRPr="00EA71DA">
        <w:rPr>
          <w:rFonts w:eastAsia="Times New Roman" w:cs="Times New Roman"/>
          <w:b/>
          <w:bCs/>
          <w:color w:val="0D0D0D" w:themeColor="text1" w:themeTint="F2"/>
          <w:szCs w:val="20"/>
        </w:rPr>
        <w:t>PreCheck</w:t>
      </w:r>
      <w:proofErr w:type="spellEnd"/>
      <w:r w:rsidRPr="00EA71DA">
        <w:rPr>
          <w:rFonts w:eastAsia="Times New Roman" w:cs="Times New Roman"/>
          <w:b/>
          <w:bCs/>
          <w:color w:val="0D0D0D" w:themeColor="text1" w:themeTint="F2"/>
          <w:szCs w:val="20"/>
        </w:rPr>
        <w:t xml:space="preserve"> de la FDA: Fortalecimiento de la cadena de suministro farmacéutico nacional</w:t>
      </w:r>
    </w:p>
    <w:p w14:paraId="20F8265A" w14:textId="77777777" w:rsidR="006920D8" w:rsidRPr="000F182B" w:rsidRDefault="006920D8" w:rsidP="006920D8">
      <w:pPr>
        <w:contextualSpacing/>
        <w:jc w:val="center"/>
        <w:outlineLvl w:val="0"/>
        <w:rPr>
          <w:rFonts w:eastAsia="Times New Roman" w:cs="Times New Roman"/>
          <w:i/>
          <w:iCs/>
          <w:color w:val="0D0D0D" w:themeColor="text1" w:themeTint="F2"/>
          <w:szCs w:val="20"/>
          <w:lang w:val="en-US"/>
        </w:rPr>
      </w:pPr>
      <w:r w:rsidRPr="009A671C">
        <w:rPr>
          <w:rFonts w:eastAsia="Times New Roman" w:cs="Times New Roman"/>
          <w:i/>
          <w:iCs/>
          <w:color w:val="0D0D0D" w:themeColor="text1" w:themeTint="F2"/>
          <w:szCs w:val="20"/>
          <w:lang w:val="en-US"/>
        </w:rPr>
        <w:t xml:space="preserve">(FDA </w:t>
      </w:r>
      <w:proofErr w:type="spellStart"/>
      <w:r w:rsidRPr="009A671C">
        <w:rPr>
          <w:rFonts w:eastAsia="Times New Roman" w:cs="Times New Roman"/>
          <w:i/>
          <w:iCs/>
          <w:color w:val="0D0D0D" w:themeColor="text1" w:themeTint="F2"/>
          <w:szCs w:val="20"/>
          <w:lang w:val="en-US"/>
        </w:rPr>
        <w:t>PreCheck</w:t>
      </w:r>
      <w:proofErr w:type="spellEnd"/>
      <w:r w:rsidRPr="009A671C">
        <w:rPr>
          <w:rFonts w:eastAsia="Times New Roman" w:cs="Times New Roman"/>
          <w:i/>
          <w:iCs/>
          <w:color w:val="0D0D0D" w:themeColor="text1" w:themeTint="F2"/>
          <w:szCs w:val="20"/>
          <w:lang w:val="en-US"/>
        </w:rPr>
        <w:t xml:space="preserve"> Pilot Program:</w:t>
      </w:r>
      <w:r w:rsidRPr="009A671C">
        <w:rPr>
          <w:rFonts w:eastAsia="Times New Roman" w:cs="Times New Roman"/>
          <w:color w:val="0D0D0D" w:themeColor="text1" w:themeTint="F2"/>
          <w:szCs w:val="20"/>
          <w:lang w:val="en-US"/>
        </w:rPr>
        <w:t xml:space="preserve"> </w:t>
      </w:r>
      <w:r w:rsidRPr="009A671C">
        <w:rPr>
          <w:rFonts w:eastAsia="Times New Roman" w:cs="Times New Roman"/>
          <w:i/>
          <w:iCs/>
          <w:color w:val="0D0D0D" w:themeColor="text1" w:themeTint="F2"/>
          <w:szCs w:val="20"/>
          <w:lang w:val="en-US"/>
        </w:rPr>
        <w:t>Strengthening the domestic pharmaceutical supply chain)</w:t>
      </w:r>
    </w:p>
    <w:p w14:paraId="6AE40476" w14:textId="15C4C520" w:rsidR="006920D8" w:rsidRPr="009A671C" w:rsidRDefault="008117C7" w:rsidP="006920D8">
      <w:pPr>
        <w:contextualSpacing/>
        <w:jc w:val="center"/>
        <w:outlineLvl w:val="0"/>
        <w:rPr>
          <w:rFonts w:eastAsia="Times New Roman" w:cs="Times New Roman"/>
          <w:color w:val="0D0D0D" w:themeColor="text1" w:themeTint="F2"/>
          <w:szCs w:val="20"/>
        </w:rPr>
      </w:pPr>
      <w:r>
        <w:rPr>
          <w:rFonts w:eastAsia="Times New Roman" w:cs="Times New Roman"/>
          <w:i/>
          <w:iCs/>
          <w:color w:val="0D0D0D" w:themeColor="text1" w:themeTint="F2"/>
          <w:szCs w:val="20"/>
        </w:rPr>
        <w:t xml:space="preserve">U. S. </w:t>
      </w:r>
      <w:proofErr w:type="spellStart"/>
      <w:r w:rsidR="006920D8" w:rsidRPr="009A671C">
        <w:rPr>
          <w:rFonts w:eastAsia="Times New Roman" w:cs="Times New Roman"/>
          <w:i/>
          <w:iCs/>
          <w:color w:val="0D0D0D" w:themeColor="text1" w:themeTint="F2"/>
          <w:szCs w:val="20"/>
        </w:rPr>
        <w:t>F</w:t>
      </w:r>
      <w:r w:rsidR="006920D8">
        <w:rPr>
          <w:rFonts w:eastAsia="Times New Roman" w:cs="Times New Roman"/>
          <w:i/>
          <w:iCs/>
          <w:color w:val="0D0D0D" w:themeColor="text1" w:themeTint="F2"/>
          <w:szCs w:val="20"/>
        </w:rPr>
        <w:t>ood</w:t>
      </w:r>
      <w:proofErr w:type="spellEnd"/>
      <w:r w:rsidR="006920D8">
        <w:rPr>
          <w:rFonts w:eastAsia="Times New Roman" w:cs="Times New Roman"/>
          <w:i/>
          <w:iCs/>
          <w:color w:val="0D0D0D" w:themeColor="text1" w:themeTint="F2"/>
          <w:szCs w:val="20"/>
        </w:rPr>
        <w:t xml:space="preserve"> &amp; </w:t>
      </w:r>
      <w:proofErr w:type="spellStart"/>
      <w:r w:rsidR="006920D8">
        <w:rPr>
          <w:rFonts w:eastAsia="Times New Roman" w:cs="Times New Roman"/>
          <w:i/>
          <w:iCs/>
          <w:color w:val="0D0D0D" w:themeColor="text1" w:themeTint="F2"/>
          <w:szCs w:val="20"/>
        </w:rPr>
        <w:t>Drug</w:t>
      </w:r>
      <w:proofErr w:type="spellEnd"/>
      <w:r w:rsidR="006920D8">
        <w:rPr>
          <w:rFonts w:eastAsia="Times New Roman" w:cs="Times New Roman"/>
          <w:i/>
          <w:iCs/>
          <w:color w:val="0D0D0D" w:themeColor="text1" w:themeTint="F2"/>
          <w:szCs w:val="20"/>
        </w:rPr>
        <w:t xml:space="preserve"> </w:t>
      </w:r>
      <w:proofErr w:type="spellStart"/>
      <w:r w:rsidR="006920D8">
        <w:rPr>
          <w:rFonts w:eastAsia="Times New Roman" w:cs="Times New Roman"/>
          <w:i/>
          <w:iCs/>
          <w:color w:val="0D0D0D" w:themeColor="text1" w:themeTint="F2"/>
          <w:szCs w:val="20"/>
        </w:rPr>
        <w:t>Administration</w:t>
      </w:r>
      <w:proofErr w:type="spellEnd"/>
      <w:r w:rsidR="006920D8">
        <w:rPr>
          <w:rFonts w:eastAsia="Times New Roman" w:cs="Times New Roman"/>
          <w:i/>
          <w:iCs/>
          <w:color w:val="0D0D0D" w:themeColor="text1" w:themeTint="F2"/>
          <w:szCs w:val="20"/>
        </w:rPr>
        <w:t xml:space="preserve"> (F</w:t>
      </w:r>
      <w:r w:rsidR="006920D8" w:rsidRPr="009A671C">
        <w:rPr>
          <w:rFonts w:eastAsia="Times New Roman" w:cs="Times New Roman"/>
          <w:i/>
          <w:iCs/>
          <w:color w:val="0D0D0D" w:themeColor="text1" w:themeTint="F2"/>
          <w:szCs w:val="20"/>
        </w:rPr>
        <w:t xml:space="preserve">DA, </w:t>
      </w:r>
      <w:r w:rsidR="006920D8" w:rsidRPr="009A671C">
        <w:rPr>
          <w:rFonts w:eastAsia="Times New Roman" w:cs="Times New Roman"/>
          <w:color w:val="0D0D0D" w:themeColor="text1" w:themeTint="F2"/>
          <w:szCs w:val="20"/>
        </w:rPr>
        <w:t>10 de abril de 2026</w:t>
      </w:r>
    </w:p>
    <w:p w14:paraId="488C24CB" w14:textId="77777777" w:rsidR="006920D8" w:rsidRPr="008C4B7C" w:rsidRDefault="00B00DA4" w:rsidP="006920D8">
      <w:pPr>
        <w:contextualSpacing/>
        <w:jc w:val="center"/>
        <w:outlineLvl w:val="0"/>
        <w:rPr>
          <w:rFonts w:eastAsia="Times New Roman" w:cs="Times New Roman"/>
          <w:color w:val="0D0D0D" w:themeColor="text1" w:themeTint="F2"/>
          <w:szCs w:val="20"/>
        </w:rPr>
      </w:pPr>
      <w:hyperlink r:id="rId100" w:history="1">
        <w:r w:rsidR="006920D8" w:rsidRPr="008C4B7C">
          <w:rPr>
            <w:rStyle w:val="Hipervnculo"/>
            <w:rFonts w:eastAsia="Times New Roman" w:cs="Times New Roman"/>
            <w:szCs w:val="20"/>
          </w:rPr>
          <w:t>https://www.fda.gov/industry/fda-precheck-pilot-program</w:t>
        </w:r>
      </w:hyperlink>
    </w:p>
    <w:p w14:paraId="436C5863" w14:textId="77777777" w:rsidR="006920D8" w:rsidRPr="009A671C" w:rsidRDefault="006920D8" w:rsidP="006920D8">
      <w:pPr>
        <w:jc w:val="center"/>
        <w:rPr>
          <w:rFonts w:cs="Times New Roman"/>
          <w:szCs w:val="20"/>
          <w:lang w:val="es-ES"/>
        </w:rPr>
      </w:pPr>
      <w:r w:rsidRPr="009A671C">
        <w:rPr>
          <w:rFonts w:eastAsia="Times New Roman" w:cs="Times New Roman"/>
          <w:szCs w:val="20"/>
          <w:lang w:val="es-ES"/>
        </w:rPr>
        <w:t xml:space="preserve">Traducido por Salud y Fármacos, publicado en </w:t>
      </w:r>
      <w:r w:rsidRPr="009A671C">
        <w:rPr>
          <w:rFonts w:cs="Times New Roman"/>
          <w:i/>
          <w:iCs/>
          <w:szCs w:val="20"/>
          <w:lang w:val="es-ES"/>
        </w:rPr>
        <w:t xml:space="preserve">Boletín Fármacos: </w:t>
      </w:r>
      <w:r>
        <w:rPr>
          <w:rFonts w:eastAsia="Times New Roman" w:cs="Times New Roman"/>
          <w:bCs/>
          <w:i/>
          <w:iCs/>
          <w:color w:val="000000" w:themeColor="text1"/>
          <w:szCs w:val="20"/>
          <w:lang w:val="es-ES"/>
        </w:rPr>
        <w:t>Agencias Regulador</w:t>
      </w:r>
      <w:r w:rsidRPr="009A671C">
        <w:rPr>
          <w:rFonts w:eastAsia="Times New Roman" w:cs="Times New Roman"/>
          <w:bCs/>
          <w:i/>
          <w:iCs/>
          <w:color w:val="000000" w:themeColor="text1"/>
          <w:szCs w:val="20"/>
          <w:lang w:val="es-ES"/>
        </w:rPr>
        <w:t>as 2026; 29(3)</w:t>
      </w:r>
    </w:p>
    <w:p w14:paraId="2E87A33C" w14:textId="77777777" w:rsidR="006920D8" w:rsidRDefault="006920D8" w:rsidP="006920D8">
      <w:pPr>
        <w:contextualSpacing/>
        <w:outlineLvl w:val="0"/>
        <w:rPr>
          <w:rFonts w:eastAsia="Times New Roman" w:cs="Times New Roman"/>
          <w:b/>
          <w:bCs/>
          <w:szCs w:val="20"/>
          <w:lang w:val="es-ES"/>
        </w:rPr>
      </w:pPr>
    </w:p>
    <w:p w14:paraId="6DF1FEBA" w14:textId="77777777" w:rsidR="00421B71" w:rsidRDefault="00421B71" w:rsidP="006920D8">
      <w:pPr>
        <w:contextualSpacing/>
        <w:outlineLvl w:val="0"/>
        <w:rPr>
          <w:rFonts w:eastAsia="Times New Roman" w:cs="Times New Roman"/>
          <w:b/>
          <w:bCs/>
          <w:sz w:val="18"/>
          <w:szCs w:val="18"/>
          <w:lang w:val="es-ES"/>
        </w:rPr>
        <w:sectPr w:rsidR="00421B71" w:rsidSect="00F25512">
          <w:type w:val="continuous"/>
          <w:pgSz w:w="12240" w:h="15840" w:code="1"/>
          <w:pgMar w:top="720" w:right="720" w:bottom="720" w:left="720" w:header="288" w:footer="288" w:gutter="0"/>
          <w:cols w:space="288"/>
          <w:docGrid w:linePitch="360"/>
        </w:sectPr>
      </w:pPr>
    </w:p>
    <w:p w14:paraId="248E0366" w14:textId="13DF05E6" w:rsidR="006920D8" w:rsidRPr="00533ED3" w:rsidRDefault="006920D8" w:rsidP="006920D8">
      <w:pPr>
        <w:contextualSpacing/>
        <w:outlineLvl w:val="0"/>
        <w:rPr>
          <w:rFonts w:eastAsia="Times New Roman" w:cs="Times New Roman"/>
          <w:b/>
          <w:bCs/>
          <w:sz w:val="18"/>
          <w:szCs w:val="18"/>
          <w:lang w:val="es-ES"/>
        </w:rPr>
      </w:pPr>
      <w:r w:rsidRPr="00533ED3">
        <w:rPr>
          <w:rFonts w:eastAsia="Times New Roman" w:cs="Times New Roman"/>
          <w:b/>
          <w:bCs/>
          <w:sz w:val="18"/>
          <w:szCs w:val="18"/>
          <w:lang w:val="es-ES"/>
        </w:rPr>
        <w:t xml:space="preserve">Tags: </w:t>
      </w:r>
      <w:r w:rsidRPr="00533ED3">
        <w:rPr>
          <w:rFonts w:eastAsia="Times New Roman" w:cs="Times New Roman"/>
          <w:b/>
          <w:bCs/>
          <w:sz w:val="18"/>
          <w:szCs w:val="18"/>
        </w:rPr>
        <w:t xml:space="preserve">programa </w:t>
      </w:r>
      <w:proofErr w:type="spellStart"/>
      <w:r w:rsidRPr="00533ED3">
        <w:rPr>
          <w:rFonts w:eastAsia="Times New Roman" w:cs="Times New Roman"/>
          <w:b/>
          <w:bCs/>
          <w:sz w:val="18"/>
          <w:szCs w:val="18"/>
        </w:rPr>
        <w:t>PreCheck</w:t>
      </w:r>
      <w:proofErr w:type="spellEnd"/>
      <w:r w:rsidRPr="00533ED3">
        <w:rPr>
          <w:rFonts w:eastAsia="Times New Roman" w:cs="Times New Roman"/>
          <w:b/>
          <w:bCs/>
          <w:sz w:val="18"/>
          <w:szCs w:val="18"/>
        </w:rPr>
        <w:t xml:space="preserve"> FDA,</w:t>
      </w:r>
      <w:r w:rsidRPr="00533ED3">
        <w:rPr>
          <w:rFonts w:eastAsia="Times New Roman" w:cs="Times New Roman"/>
          <w:sz w:val="18"/>
          <w:szCs w:val="18"/>
        </w:rPr>
        <w:t xml:space="preserve"> </w:t>
      </w:r>
      <w:r w:rsidRPr="00533ED3">
        <w:rPr>
          <w:rFonts w:eastAsia="Times New Roman" w:cs="Times New Roman"/>
          <w:b/>
          <w:bCs/>
          <w:sz w:val="18"/>
          <w:szCs w:val="18"/>
        </w:rPr>
        <w:t>Orden Ejecutiva 14293, OE 14293, fabricación de fármacos 2026</w:t>
      </w:r>
    </w:p>
    <w:p w14:paraId="77252848" w14:textId="77777777" w:rsidR="006920D8" w:rsidRPr="009A671C" w:rsidRDefault="006920D8" w:rsidP="006920D8">
      <w:pPr>
        <w:contextualSpacing/>
        <w:outlineLvl w:val="0"/>
        <w:rPr>
          <w:rFonts w:eastAsia="Times New Roman" w:cs="Times New Roman"/>
          <w:b/>
          <w:bCs/>
          <w:szCs w:val="20"/>
          <w:lang w:val="es-ES"/>
        </w:rPr>
      </w:pPr>
    </w:p>
    <w:p w14:paraId="67875641" w14:textId="77777777" w:rsidR="006920D8" w:rsidRPr="009A671C" w:rsidRDefault="006920D8" w:rsidP="006920D8">
      <w:pPr>
        <w:contextualSpacing/>
        <w:outlineLvl w:val="0"/>
        <w:rPr>
          <w:rFonts w:eastAsia="Times New Roman" w:cs="Times New Roman"/>
          <w:b/>
          <w:bCs/>
          <w:szCs w:val="20"/>
        </w:rPr>
      </w:pPr>
      <w:r w:rsidRPr="009A671C">
        <w:rPr>
          <w:rFonts w:eastAsia="Times New Roman" w:cs="Times New Roman"/>
          <w:b/>
          <w:bCs/>
          <w:szCs w:val="20"/>
        </w:rPr>
        <w:t>Descripción general del programa</w:t>
      </w:r>
    </w:p>
    <w:p w14:paraId="4E04DE71" w14:textId="77777777" w:rsidR="006920D8" w:rsidRPr="009A671C" w:rsidRDefault="006920D8" w:rsidP="006920D8">
      <w:pPr>
        <w:contextualSpacing/>
        <w:outlineLvl w:val="0"/>
        <w:rPr>
          <w:rFonts w:eastAsia="Times New Roman" w:cs="Times New Roman"/>
          <w:szCs w:val="20"/>
        </w:rPr>
      </w:pPr>
      <w:r w:rsidRPr="009A671C">
        <w:rPr>
          <w:rFonts w:eastAsia="Times New Roman" w:cs="Times New Roman"/>
          <w:szCs w:val="20"/>
        </w:rPr>
        <w:t xml:space="preserve">El programa </w:t>
      </w:r>
      <w:proofErr w:type="spellStart"/>
      <w:r w:rsidRPr="009A671C">
        <w:rPr>
          <w:rFonts w:eastAsia="Times New Roman" w:cs="Times New Roman"/>
          <w:szCs w:val="20"/>
        </w:rPr>
        <w:t>PreCheck</w:t>
      </w:r>
      <w:proofErr w:type="spellEnd"/>
      <w:r w:rsidRPr="009A671C">
        <w:rPr>
          <w:rFonts w:eastAsia="Times New Roman" w:cs="Times New Roman"/>
          <w:szCs w:val="20"/>
        </w:rPr>
        <w:t xml:space="preserve"> de la FDA representa una iniciativa estratégica para fortalecer la cadena de suministro farmacéutico </w:t>
      </w:r>
      <w:r>
        <w:rPr>
          <w:rFonts w:eastAsia="Times New Roman" w:cs="Times New Roman"/>
          <w:szCs w:val="20"/>
        </w:rPr>
        <w:t xml:space="preserve">de </w:t>
      </w:r>
      <w:r w:rsidRPr="009A671C">
        <w:rPr>
          <w:rFonts w:eastAsia="Times New Roman" w:cs="Times New Roman"/>
          <w:szCs w:val="20"/>
        </w:rPr>
        <w:t xml:space="preserve">EE UU mediante la reducción de las barreras regulatorias para las plantas de </w:t>
      </w:r>
      <w:r>
        <w:rPr>
          <w:rFonts w:eastAsia="Times New Roman" w:cs="Times New Roman"/>
          <w:szCs w:val="20"/>
        </w:rPr>
        <w:t>manufactura</w:t>
      </w:r>
      <w:r w:rsidRPr="009A671C">
        <w:rPr>
          <w:rFonts w:eastAsia="Times New Roman" w:cs="Times New Roman"/>
          <w:szCs w:val="20"/>
        </w:rPr>
        <w:t xml:space="preserve"> nacionales. Actualmente, más de la mitad de los productos farmacéuticos distribuidos en EE UU se fabrican en el extranjero y solo el 11% de los fabricantes de </w:t>
      </w:r>
      <w:r>
        <w:rPr>
          <w:rFonts w:eastAsia="Times New Roman" w:cs="Times New Roman"/>
          <w:szCs w:val="20"/>
        </w:rPr>
        <w:t>ingredientes</w:t>
      </w:r>
      <w:r w:rsidRPr="009A671C">
        <w:rPr>
          <w:rFonts w:eastAsia="Times New Roman" w:cs="Times New Roman"/>
          <w:szCs w:val="20"/>
        </w:rPr>
        <w:t xml:space="preserve"> farmacéuticos activos (</w:t>
      </w:r>
      <w:r>
        <w:rPr>
          <w:rFonts w:eastAsia="Times New Roman" w:cs="Times New Roman"/>
          <w:szCs w:val="20"/>
        </w:rPr>
        <w:t>IFA</w:t>
      </w:r>
      <w:r w:rsidRPr="009A671C">
        <w:rPr>
          <w:rFonts w:eastAsia="Times New Roman" w:cs="Times New Roman"/>
          <w:szCs w:val="20"/>
        </w:rPr>
        <w:t xml:space="preserve">) tienen su sede en EE UU, lo que genera importantes vulnerabilidades para la seguridad nacional. </w:t>
      </w:r>
    </w:p>
    <w:p w14:paraId="2BD6854B" w14:textId="77777777" w:rsidR="006920D8" w:rsidRPr="009A671C" w:rsidRDefault="006920D8" w:rsidP="006920D8">
      <w:pPr>
        <w:contextualSpacing/>
        <w:outlineLvl w:val="0"/>
        <w:rPr>
          <w:rFonts w:eastAsia="Times New Roman" w:cs="Times New Roman"/>
          <w:szCs w:val="20"/>
        </w:rPr>
      </w:pPr>
    </w:p>
    <w:p w14:paraId="5FC46BD4" w14:textId="77777777" w:rsidR="006920D8" w:rsidRPr="009A671C" w:rsidRDefault="006920D8" w:rsidP="006920D8">
      <w:pPr>
        <w:contextualSpacing/>
        <w:outlineLvl w:val="0"/>
        <w:rPr>
          <w:rFonts w:eastAsia="Times New Roman" w:cs="Times New Roman"/>
          <w:szCs w:val="20"/>
        </w:rPr>
      </w:pPr>
      <w:r w:rsidRPr="009A671C">
        <w:rPr>
          <w:rFonts w:eastAsia="Times New Roman" w:cs="Times New Roman"/>
          <w:szCs w:val="20"/>
        </w:rPr>
        <w:t>En respuesta a la Orden Ejecutiva 14293, "Alivio regulatorio para promover la producción nacional de medicamentos críticos</w:t>
      </w:r>
      <w:r>
        <w:rPr>
          <w:rFonts w:eastAsia="Times New Roman" w:cs="Times New Roman"/>
          <w:szCs w:val="20"/>
        </w:rPr>
        <w:t xml:space="preserve"> </w:t>
      </w:r>
      <w:r w:rsidRPr="004D7CBD">
        <w:rPr>
          <w:rFonts w:eastAsia="Times New Roman" w:cs="Times New Roman"/>
          <w:i/>
          <w:szCs w:val="20"/>
        </w:rPr>
        <w:t>(</w:t>
      </w:r>
      <w:proofErr w:type="spellStart"/>
      <w:r w:rsidRPr="004D7CBD">
        <w:rPr>
          <w:rFonts w:eastAsia="Times New Roman" w:cs="Times New Roman"/>
          <w:i/>
          <w:szCs w:val="20"/>
          <w:lang w:val="es-ES"/>
        </w:rPr>
        <w:t>Regulatory</w:t>
      </w:r>
      <w:proofErr w:type="spellEnd"/>
      <w:r w:rsidRPr="004D7CBD">
        <w:rPr>
          <w:rFonts w:eastAsia="Times New Roman" w:cs="Times New Roman"/>
          <w:i/>
          <w:szCs w:val="20"/>
          <w:lang w:val="es-ES"/>
        </w:rPr>
        <w:t xml:space="preserve"> </w:t>
      </w:r>
      <w:proofErr w:type="spellStart"/>
      <w:r w:rsidRPr="004D7CBD">
        <w:rPr>
          <w:rFonts w:eastAsia="Times New Roman" w:cs="Times New Roman"/>
          <w:i/>
          <w:szCs w:val="20"/>
          <w:lang w:val="es-ES"/>
        </w:rPr>
        <w:t>Relief</w:t>
      </w:r>
      <w:proofErr w:type="spellEnd"/>
      <w:r w:rsidRPr="004D7CBD">
        <w:rPr>
          <w:rFonts w:eastAsia="Times New Roman" w:cs="Times New Roman"/>
          <w:i/>
          <w:szCs w:val="20"/>
          <w:lang w:val="es-ES"/>
        </w:rPr>
        <w:t xml:space="preserve"> </w:t>
      </w:r>
      <w:proofErr w:type="spellStart"/>
      <w:r w:rsidRPr="004D7CBD">
        <w:rPr>
          <w:rFonts w:eastAsia="Times New Roman" w:cs="Times New Roman"/>
          <w:i/>
          <w:szCs w:val="20"/>
          <w:lang w:val="es-ES"/>
        </w:rPr>
        <w:t>to</w:t>
      </w:r>
      <w:proofErr w:type="spellEnd"/>
      <w:r w:rsidRPr="004D7CBD">
        <w:rPr>
          <w:rFonts w:eastAsia="Times New Roman" w:cs="Times New Roman"/>
          <w:i/>
          <w:szCs w:val="20"/>
          <w:lang w:val="es-ES"/>
        </w:rPr>
        <w:t xml:space="preserve"> </w:t>
      </w:r>
      <w:proofErr w:type="spellStart"/>
      <w:r w:rsidRPr="004D7CBD">
        <w:rPr>
          <w:rFonts w:eastAsia="Times New Roman" w:cs="Times New Roman"/>
          <w:i/>
          <w:szCs w:val="20"/>
          <w:lang w:val="es-ES"/>
        </w:rPr>
        <w:t>Promote</w:t>
      </w:r>
      <w:proofErr w:type="spellEnd"/>
      <w:r w:rsidRPr="004D7CBD">
        <w:rPr>
          <w:rFonts w:eastAsia="Times New Roman" w:cs="Times New Roman"/>
          <w:i/>
          <w:szCs w:val="20"/>
          <w:lang w:val="es-ES"/>
        </w:rPr>
        <w:t xml:space="preserve"> </w:t>
      </w:r>
      <w:proofErr w:type="spellStart"/>
      <w:r w:rsidRPr="004D7CBD">
        <w:rPr>
          <w:rFonts w:eastAsia="Times New Roman" w:cs="Times New Roman"/>
          <w:i/>
          <w:szCs w:val="20"/>
          <w:lang w:val="es-ES"/>
        </w:rPr>
        <w:t>Domestic</w:t>
      </w:r>
      <w:proofErr w:type="spellEnd"/>
      <w:r w:rsidRPr="004D7CBD">
        <w:rPr>
          <w:rFonts w:eastAsia="Times New Roman" w:cs="Times New Roman"/>
          <w:i/>
          <w:szCs w:val="20"/>
          <w:lang w:val="es-ES"/>
        </w:rPr>
        <w:t xml:space="preserve"> </w:t>
      </w:r>
      <w:proofErr w:type="spellStart"/>
      <w:r w:rsidRPr="004D7CBD">
        <w:rPr>
          <w:rFonts w:eastAsia="Times New Roman" w:cs="Times New Roman"/>
          <w:i/>
          <w:szCs w:val="20"/>
          <w:lang w:val="es-ES"/>
        </w:rPr>
        <w:t>Production</w:t>
      </w:r>
      <w:proofErr w:type="spellEnd"/>
      <w:r w:rsidRPr="004D7CBD">
        <w:rPr>
          <w:rFonts w:eastAsia="Times New Roman" w:cs="Times New Roman"/>
          <w:i/>
          <w:szCs w:val="20"/>
          <w:lang w:val="es-ES"/>
        </w:rPr>
        <w:t xml:space="preserve"> of </w:t>
      </w:r>
      <w:proofErr w:type="spellStart"/>
      <w:r w:rsidRPr="004D7CBD">
        <w:rPr>
          <w:rFonts w:eastAsia="Times New Roman" w:cs="Times New Roman"/>
          <w:i/>
          <w:szCs w:val="20"/>
          <w:lang w:val="es-ES"/>
        </w:rPr>
        <w:t>Critical</w:t>
      </w:r>
      <w:proofErr w:type="spellEnd"/>
      <w:r w:rsidRPr="004D7CBD">
        <w:rPr>
          <w:rFonts w:eastAsia="Times New Roman" w:cs="Times New Roman"/>
          <w:i/>
          <w:szCs w:val="20"/>
          <w:lang w:val="es-ES"/>
        </w:rPr>
        <w:t xml:space="preserve"> </w:t>
      </w:r>
      <w:r w:rsidRPr="004D7CBD">
        <w:rPr>
          <w:rFonts w:eastAsia="Times New Roman" w:cs="Times New Roman"/>
          <w:i/>
          <w:szCs w:val="20"/>
          <w:lang w:val="es-ES"/>
        </w:rPr>
        <w:t>Medicines</w:t>
      </w:r>
      <w:r>
        <w:rPr>
          <w:rFonts w:eastAsia="Times New Roman" w:cs="Times New Roman"/>
          <w:szCs w:val="20"/>
        </w:rPr>
        <w:t>)</w:t>
      </w:r>
      <w:r w:rsidRPr="009A671C">
        <w:rPr>
          <w:rFonts w:eastAsia="Times New Roman" w:cs="Times New Roman"/>
          <w:szCs w:val="20"/>
        </w:rPr>
        <w:t xml:space="preserve">", la FDA espera facilitar el desarrollo de nuevas plantas </w:t>
      </w:r>
      <w:r>
        <w:rPr>
          <w:rFonts w:eastAsia="Times New Roman" w:cs="Times New Roman"/>
          <w:szCs w:val="20"/>
        </w:rPr>
        <w:t xml:space="preserve">para la </w:t>
      </w:r>
      <w:r w:rsidRPr="009A671C">
        <w:rPr>
          <w:rFonts w:eastAsia="Times New Roman" w:cs="Times New Roman"/>
          <w:szCs w:val="20"/>
        </w:rPr>
        <w:t>fabricación de medicamentos en EE UU simplifica</w:t>
      </w:r>
      <w:r>
        <w:rPr>
          <w:rFonts w:eastAsia="Times New Roman" w:cs="Times New Roman"/>
          <w:szCs w:val="20"/>
        </w:rPr>
        <w:t xml:space="preserve">ndo </w:t>
      </w:r>
      <w:r w:rsidRPr="009A671C">
        <w:rPr>
          <w:rFonts w:eastAsia="Times New Roman" w:cs="Times New Roman"/>
          <w:szCs w:val="20"/>
        </w:rPr>
        <w:t>el proceso de revisión e inspección de las nuevas instalaciones de las fábricas que suministrarán formas farmacéuticas terminadas (F</w:t>
      </w:r>
      <w:r>
        <w:rPr>
          <w:rFonts w:eastAsia="Times New Roman" w:cs="Times New Roman"/>
          <w:szCs w:val="20"/>
        </w:rPr>
        <w:t>FT</w:t>
      </w:r>
      <w:r w:rsidRPr="009A671C">
        <w:rPr>
          <w:rFonts w:eastAsia="Times New Roman" w:cs="Times New Roman"/>
          <w:szCs w:val="20"/>
        </w:rPr>
        <w:t xml:space="preserve">) o </w:t>
      </w:r>
      <w:r>
        <w:rPr>
          <w:rFonts w:eastAsia="Times New Roman" w:cs="Times New Roman"/>
          <w:szCs w:val="20"/>
        </w:rPr>
        <w:t>IFA</w:t>
      </w:r>
      <w:r w:rsidRPr="009A671C">
        <w:rPr>
          <w:rFonts w:eastAsia="Times New Roman" w:cs="Times New Roman"/>
          <w:szCs w:val="20"/>
        </w:rPr>
        <w:t>.</w:t>
      </w:r>
    </w:p>
    <w:p w14:paraId="0D699F33" w14:textId="77777777" w:rsidR="006920D8" w:rsidRPr="009A671C" w:rsidRDefault="006920D8" w:rsidP="006920D8">
      <w:pPr>
        <w:contextualSpacing/>
        <w:outlineLvl w:val="0"/>
        <w:rPr>
          <w:rFonts w:eastAsia="Times New Roman" w:cs="Times New Roman"/>
          <w:color w:val="EE0000"/>
          <w:szCs w:val="20"/>
        </w:rPr>
      </w:pPr>
    </w:p>
    <w:p w14:paraId="280D32AF" w14:textId="77777777" w:rsidR="006920D8" w:rsidRDefault="006920D8" w:rsidP="006920D8">
      <w:pPr>
        <w:contextualSpacing/>
        <w:outlineLvl w:val="0"/>
        <w:rPr>
          <w:rFonts w:eastAsia="Times New Roman" w:cs="Times New Roman"/>
          <w:szCs w:val="20"/>
        </w:rPr>
      </w:pPr>
      <w:r w:rsidRPr="009A671C">
        <w:rPr>
          <w:rFonts w:eastAsia="Times New Roman" w:cs="Times New Roman"/>
          <w:szCs w:val="20"/>
        </w:rPr>
        <w:t xml:space="preserve">La Fase I del Programa Piloto FDA </w:t>
      </w:r>
      <w:proofErr w:type="spellStart"/>
      <w:r w:rsidRPr="009A671C">
        <w:rPr>
          <w:rFonts w:eastAsia="Times New Roman" w:cs="Times New Roman"/>
          <w:szCs w:val="20"/>
        </w:rPr>
        <w:t>PreCheck</w:t>
      </w:r>
      <w:proofErr w:type="spellEnd"/>
      <w:r w:rsidRPr="009A671C">
        <w:rPr>
          <w:rFonts w:eastAsia="Times New Roman" w:cs="Times New Roman"/>
          <w:szCs w:val="20"/>
        </w:rPr>
        <w:t xml:space="preserve"> seleccionará a los participantes que estén desarrollando nuevas instalaciones de fabricación farmacéutica en función de su alineación con las prioridades del programa, y las actividades de FDA </w:t>
      </w:r>
      <w:proofErr w:type="spellStart"/>
      <w:r w:rsidRPr="009A671C">
        <w:rPr>
          <w:rFonts w:eastAsia="Times New Roman" w:cs="Times New Roman"/>
          <w:szCs w:val="20"/>
        </w:rPr>
        <w:t>PreCheck</w:t>
      </w:r>
      <w:proofErr w:type="spellEnd"/>
      <w:r w:rsidRPr="009A671C">
        <w:rPr>
          <w:rFonts w:eastAsia="Times New Roman" w:cs="Times New Roman"/>
          <w:szCs w:val="20"/>
        </w:rPr>
        <w:t xml:space="preserve"> </w:t>
      </w:r>
      <w:r>
        <w:rPr>
          <w:rFonts w:eastAsia="Times New Roman" w:cs="Times New Roman"/>
          <w:szCs w:val="20"/>
        </w:rPr>
        <w:t xml:space="preserve">empezarán </w:t>
      </w:r>
      <w:r w:rsidRPr="009A671C">
        <w:rPr>
          <w:rFonts w:eastAsia="Times New Roman" w:cs="Times New Roman"/>
          <w:szCs w:val="20"/>
        </w:rPr>
        <w:t xml:space="preserve">en 2026. Las empresas seleccionadas para el programa se beneficiarán de </w:t>
      </w:r>
      <w:r>
        <w:rPr>
          <w:rFonts w:eastAsia="Times New Roman" w:cs="Times New Roman"/>
          <w:szCs w:val="20"/>
        </w:rPr>
        <w:t>estar en</w:t>
      </w:r>
      <w:r w:rsidRPr="009A671C">
        <w:rPr>
          <w:rFonts w:eastAsia="Times New Roman" w:cs="Times New Roman"/>
          <w:szCs w:val="20"/>
        </w:rPr>
        <w:t xml:space="preserve"> comunicación </w:t>
      </w:r>
      <w:r>
        <w:rPr>
          <w:rFonts w:eastAsia="Times New Roman" w:cs="Times New Roman"/>
          <w:szCs w:val="20"/>
        </w:rPr>
        <w:t xml:space="preserve">con la FDA </w:t>
      </w:r>
      <w:r w:rsidRPr="009A671C">
        <w:rPr>
          <w:rFonts w:eastAsia="Times New Roman" w:cs="Times New Roman"/>
          <w:szCs w:val="20"/>
        </w:rPr>
        <w:t xml:space="preserve">y </w:t>
      </w:r>
      <w:r>
        <w:rPr>
          <w:rFonts w:eastAsia="Times New Roman" w:cs="Times New Roman"/>
          <w:szCs w:val="20"/>
        </w:rPr>
        <w:t xml:space="preserve">de </w:t>
      </w:r>
      <w:r w:rsidRPr="009A671C">
        <w:rPr>
          <w:rFonts w:eastAsia="Times New Roman" w:cs="Times New Roman"/>
          <w:szCs w:val="20"/>
        </w:rPr>
        <w:t xml:space="preserve">la retroalimentación de la FDA durante todo el proceso de desarrollo de las instalaciones. </w:t>
      </w:r>
    </w:p>
    <w:p w14:paraId="1D5E1E2C" w14:textId="77777777" w:rsidR="006920D8" w:rsidRPr="009A671C" w:rsidRDefault="006920D8" w:rsidP="006920D8">
      <w:pPr>
        <w:contextualSpacing/>
        <w:outlineLvl w:val="0"/>
        <w:rPr>
          <w:rFonts w:eastAsia="Times New Roman" w:cs="Times New Roman"/>
          <w:szCs w:val="20"/>
        </w:rPr>
      </w:pPr>
    </w:p>
    <w:p w14:paraId="3EB8331C" w14:textId="77777777" w:rsidR="006920D8" w:rsidRPr="009A671C" w:rsidRDefault="006920D8" w:rsidP="006920D8">
      <w:pPr>
        <w:contextualSpacing/>
        <w:outlineLvl w:val="0"/>
        <w:rPr>
          <w:rFonts w:eastAsia="Times New Roman" w:cs="Times New Roman"/>
          <w:szCs w:val="20"/>
        </w:rPr>
      </w:pPr>
      <w:r w:rsidRPr="009A671C">
        <w:rPr>
          <w:rFonts w:eastAsia="Times New Roman" w:cs="Times New Roman"/>
          <w:szCs w:val="20"/>
        </w:rPr>
        <w:t xml:space="preserve">El Programa Piloto FDA </w:t>
      </w:r>
      <w:proofErr w:type="spellStart"/>
      <w:r w:rsidRPr="009A671C">
        <w:rPr>
          <w:rFonts w:eastAsia="Times New Roman" w:cs="Times New Roman"/>
          <w:szCs w:val="20"/>
        </w:rPr>
        <w:t>PreCheck</w:t>
      </w:r>
      <w:proofErr w:type="spellEnd"/>
      <w:r w:rsidRPr="009A671C">
        <w:rPr>
          <w:rFonts w:eastAsia="Times New Roman" w:cs="Times New Roman"/>
          <w:szCs w:val="20"/>
        </w:rPr>
        <w:t xml:space="preserve"> refleja el compromiso de la FDA de </w:t>
      </w:r>
      <w:r>
        <w:rPr>
          <w:rFonts w:eastAsia="Times New Roman" w:cs="Times New Roman"/>
          <w:szCs w:val="20"/>
        </w:rPr>
        <w:t>establecer</w:t>
      </w:r>
      <w:r w:rsidRPr="009A671C">
        <w:rPr>
          <w:rFonts w:eastAsia="Times New Roman" w:cs="Times New Roman"/>
          <w:szCs w:val="20"/>
        </w:rPr>
        <w:t xml:space="preserve"> procesos de revisión regulatoria más </w:t>
      </w:r>
      <w:r w:rsidRPr="009A671C">
        <w:rPr>
          <w:rFonts w:eastAsia="Times New Roman" w:cs="Times New Roman"/>
          <w:szCs w:val="20"/>
        </w:rPr>
        <w:lastRenderedPageBreak/>
        <w:t>eficientes</w:t>
      </w:r>
      <w:r>
        <w:rPr>
          <w:rFonts w:eastAsia="Times New Roman" w:cs="Times New Roman"/>
          <w:szCs w:val="20"/>
        </w:rPr>
        <w:t>,</w:t>
      </w:r>
      <w:r w:rsidRPr="009A671C">
        <w:rPr>
          <w:rFonts w:eastAsia="Times New Roman" w:cs="Times New Roman"/>
          <w:szCs w:val="20"/>
        </w:rPr>
        <w:t xml:space="preserve"> y de garantizar el acceso a medicamentos que salvan vidas para los pacientes estadounidenses.</w:t>
      </w:r>
    </w:p>
    <w:p w14:paraId="3B8D8AB2" w14:textId="77777777" w:rsidR="006920D8" w:rsidRPr="009A671C" w:rsidRDefault="006920D8" w:rsidP="006920D8">
      <w:pPr>
        <w:contextualSpacing/>
        <w:outlineLvl w:val="0"/>
        <w:rPr>
          <w:rFonts w:eastAsia="Times New Roman" w:cs="Times New Roman"/>
          <w:color w:val="EE0000"/>
          <w:szCs w:val="20"/>
        </w:rPr>
      </w:pPr>
    </w:p>
    <w:p w14:paraId="400E9A1E" w14:textId="77777777" w:rsidR="006920D8" w:rsidRPr="009A671C" w:rsidRDefault="006920D8" w:rsidP="006920D8">
      <w:pPr>
        <w:contextualSpacing/>
        <w:outlineLvl w:val="0"/>
        <w:rPr>
          <w:rFonts w:eastAsia="Times New Roman" w:cs="Times New Roman"/>
          <w:szCs w:val="20"/>
        </w:rPr>
      </w:pPr>
      <w:r w:rsidRPr="009A671C">
        <w:rPr>
          <w:rFonts w:eastAsia="Times New Roman" w:cs="Times New Roman"/>
          <w:szCs w:val="20"/>
        </w:rPr>
        <w:t>A continuación, detallamos los criterios de elegibilidad, los criterios de selección, los detalles para la presentación de solicitudes y lo que las empresas pueden esperar al participar en el programa.</w:t>
      </w:r>
    </w:p>
    <w:p w14:paraId="0B3B475F" w14:textId="77777777" w:rsidR="006920D8" w:rsidRPr="009A671C" w:rsidRDefault="006920D8" w:rsidP="006920D8">
      <w:pPr>
        <w:contextualSpacing/>
        <w:outlineLvl w:val="0"/>
        <w:rPr>
          <w:rFonts w:eastAsia="Times New Roman" w:cs="Times New Roman"/>
          <w:color w:val="EE0000"/>
          <w:szCs w:val="20"/>
        </w:rPr>
      </w:pPr>
    </w:p>
    <w:p w14:paraId="7C2DAC26" w14:textId="77777777" w:rsidR="006920D8" w:rsidRPr="009A671C" w:rsidRDefault="006920D8" w:rsidP="006920D8">
      <w:pPr>
        <w:contextualSpacing/>
        <w:outlineLvl w:val="0"/>
        <w:rPr>
          <w:rFonts w:eastAsia="Times New Roman" w:cs="Times New Roman"/>
          <w:szCs w:val="20"/>
        </w:rPr>
      </w:pPr>
      <w:r w:rsidRPr="009A671C">
        <w:rPr>
          <w:rFonts w:eastAsia="Times New Roman" w:cs="Times New Roman"/>
          <w:szCs w:val="20"/>
        </w:rPr>
        <w:t xml:space="preserve">**Nota: Para efectos del programa piloto </w:t>
      </w:r>
      <w:proofErr w:type="spellStart"/>
      <w:r w:rsidRPr="009A671C">
        <w:rPr>
          <w:rFonts w:eastAsia="Times New Roman" w:cs="Times New Roman"/>
          <w:szCs w:val="20"/>
        </w:rPr>
        <w:t>PreCheck</w:t>
      </w:r>
      <w:proofErr w:type="spellEnd"/>
      <w:r w:rsidRPr="009A671C">
        <w:rPr>
          <w:rFonts w:eastAsia="Times New Roman" w:cs="Times New Roman"/>
          <w:szCs w:val="20"/>
        </w:rPr>
        <w:t xml:space="preserve"> de la FDA, el término "producto farmacéutico" incluye tanto medicamentos como productos biológicos, salvo que se indique lo contrario.</w:t>
      </w:r>
    </w:p>
    <w:p w14:paraId="7F32272F" w14:textId="77777777" w:rsidR="006920D8" w:rsidRPr="00EC12E5" w:rsidRDefault="006920D8" w:rsidP="006920D8">
      <w:pPr>
        <w:rPr>
          <w:rFonts w:cs="Times New Roman"/>
          <w:b/>
          <w:bCs/>
          <w:szCs w:val="20"/>
        </w:rPr>
      </w:pPr>
    </w:p>
    <w:p w14:paraId="4216402B" w14:textId="77777777" w:rsidR="006920D8" w:rsidRPr="009A671C" w:rsidRDefault="006920D8" w:rsidP="006920D8">
      <w:pPr>
        <w:rPr>
          <w:rFonts w:cs="Times New Roman"/>
          <w:b/>
          <w:bCs/>
          <w:szCs w:val="20"/>
        </w:rPr>
      </w:pPr>
      <w:r w:rsidRPr="009A671C">
        <w:rPr>
          <w:rFonts w:cs="Times New Roman"/>
          <w:b/>
          <w:bCs/>
          <w:szCs w:val="20"/>
        </w:rPr>
        <w:t>Beneficios clave del programa</w:t>
      </w:r>
      <w:r>
        <w:rPr>
          <w:rFonts w:cs="Times New Roman"/>
          <w:b/>
          <w:bCs/>
          <w:szCs w:val="20"/>
        </w:rPr>
        <w:t xml:space="preserve"> </w:t>
      </w:r>
    </w:p>
    <w:p w14:paraId="6AA88277" w14:textId="77777777" w:rsidR="006920D8" w:rsidRDefault="006920D8" w:rsidP="002478D5">
      <w:pPr>
        <w:numPr>
          <w:ilvl w:val="0"/>
          <w:numId w:val="17"/>
        </w:numPr>
        <w:tabs>
          <w:tab w:val="clear" w:pos="720"/>
          <w:tab w:val="num" w:pos="540"/>
        </w:tabs>
        <w:ind w:left="180" w:hanging="180"/>
        <w:contextualSpacing/>
        <w:outlineLvl w:val="0"/>
        <w:rPr>
          <w:rFonts w:eastAsia="Times New Roman" w:cs="Times New Roman"/>
          <w:szCs w:val="20"/>
        </w:rPr>
      </w:pPr>
      <w:r w:rsidRPr="009A671C">
        <w:rPr>
          <w:rFonts w:eastAsia="Times New Roman" w:cs="Times New Roman"/>
          <w:szCs w:val="20"/>
        </w:rPr>
        <w:t>C</w:t>
      </w:r>
      <w:r>
        <w:rPr>
          <w:rFonts w:eastAsia="Times New Roman" w:cs="Times New Roman"/>
          <w:szCs w:val="20"/>
        </w:rPr>
        <w:t>ontar con la c</w:t>
      </w:r>
      <w:r w:rsidRPr="009A671C">
        <w:rPr>
          <w:rFonts w:eastAsia="Times New Roman" w:cs="Times New Roman"/>
          <w:szCs w:val="20"/>
        </w:rPr>
        <w:t>olaboración y participación de la FDA durante las fases iniciales de desarrollo de las instalaciones, sin vincularlas a las presentaciones de productos.</w:t>
      </w:r>
    </w:p>
    <w:p w14:paraId="5DA20F0F" w14:textId="77777777" w:rsidR="006920D8" w:rsidRPr="009A671C" w:rsidRDefault="006920D8" w:rsidP="006920D8">
      <w:pPr>
        <w:tabs>
          <w:tab w:val="num" w:pos="540"/>
        </w:tabs>
        <w:ind w:left="180" w:hanging="180"/>
        <w:contextualSpacing/>
        <w:outlineLvl w:val="0"/>
        <w:rPr>
          <w:rFonts w:eastAsia="Times New Roman" w:cs="Times New Roman"/>
          <w:szCs w:val="20"/>
        </w:rPr>
      </w:pPr>
    </w:p>
    <w:p w14:paraId="2D2887A5" w14:textId="77777777" w:rsidR="006920D8" w:rsidRDefault="006920D8" w:rsidP="002478D5">
      <w:pPr>
        <w:numPr>
          <w:ilvl w:val="0"/>
          <w:numId w:val="17"/>
        </w:numPr>
        <w:tabs>
          <w:tab w:val="clear" w:pos="720"/>
          <w:tab w:val="num" w:pos="540"/>
        </w:tabs>
        <w:ind w:left="180" w:hanging="180"/>
        <w:contextualSpacing/>
        <w:outlineLvl w:val="0"/>
        <w:rPr>
          <w:rFonts w:eastAsia="Times New Roman" w:cs="Times New Roman"/>
          <w:szCs w:val="20"/>
        </w:rPr>
      </w:pPr>
      <w:r w:rsidRPr="009A671C">
        <w:rPr>
          <w:rFonts w:eastAsia="Times New Roman" w:cs="Times New Roman"/>
          <w:szCs w:val="20"/>
        </w:rPr>
        <w:t>Fortalecimiento de la comunicación</w:t>
      </w:r>
      <w:r>
        <w:rPr>
          <w:rFonts w:eastAsia="Times New Roman" w:cs="Times New Roman"/>
          <w:szCs w:val="20"/>
        </w:rPr>
        <w:t xml:space="preserve"> con la FDA</w:t>
      </w:r>
      <w:r w:rsidRPr="009A671C">
        <w:rPr>
          <w:rFonts w:eastAsia="Times New Roman" w:cs="Times New Roman"/>
          <w:szCs w:val="20"/>
        </w:rPr>
        <w:t xml:space="preserve"> durante todo el proceso de evaluación de las instalaciones, inclu</w:t>
      </w:r>
      <w:r>
        <w:rPr>
          <w:rFonts w:eastAsia="Times New Roman" w:cs="Times New Roman"/>
          <w:szCs w:val="20"/>
        </w:rPr>
        <w:t>yendo</w:t>
      </w:r>
      <w:r w:rsidRPr="009A671C">
        <w:rPr>
          <w:rFonts w:eastAsia="Times New Roman" w:cs="Times New Roman"/>
          <w:szCs w:val="20"/>
        </w:rPr>
        <w:t xml:space="preserve"> el proceso de inspección.</w:t>
      </w:r>
    </w:p>
    <w:p w14:paraId="06E88C94" w14:textId="77777777" w:rsidR="006920D8" w:rsidRPr="009A671C" w:rsidRDefault="006920D8" w:rsidP="006920D8">
      <w:pPr>
        <w:tabs>
          <w:tab w:val="num" w:pos="540"/>
        </w:tabs>
        <w:ind w:left="180" w:hanging="180"/>
        <w:contextualSpacing/>
        <w:outlineLvl w:val="0"/>
        <w:rPr>
          <w:rFonts w:eastAsia="Times New Roman" w:cs="Times New Roman"/>
          <w:szCs w:val="20"/>
        </w:rPr>
      </w:pPr>
    </w:p>
    <w:p w14:paraId="2265AFC2" w14:textId="77777777" w:rsidR="006920D8" w:rsidRPr="009A671C" w:rsidRDefault="006920D8" w:rsidP="002478D5">
      <w:pPr>
        <w:numPr>
          <w:ilvl w:val="0"/>
          <w:numId w:val="17"/>
        </w:numPr>
        <w:tabs>
          <w:tab w:val="clear" w:pos="720"/>
          <w:tab w:val="num" w:pos="540"/>
        </w:tabs>
        <w:ind w:left="180" w:hanging="180"/>
        <w:contextualSpacing/>
        <w:outlineLvl w:val="0"/>
        <w:rPr>
          <w:rFonts w:eastAsia="Times New Roman" w:cs="Times New Roman"/>
          <w:szCs w:val="20"/>
        </w:rPr>
      </w:pPr>
      <w:r w:rsidRPr="009A671C">
        <w:rPr>
          <w:rFonts w:eastAsia="Times New Roman" w:cs="Times New Roman"/>
          <w:szCs w:val="20"/>
        </w:rPr>
        <w:t>Retroalimentación temprana de la FDA que asegura la continuidad con las evaluaciones posteriores, inclu</w:t>
      </w:r>
      <w:r>
        <w:rPr>
          <w:rFonts w:eastAsia="Times New Roman" w:cs="Times New Roman"/>
          <w:szCs w:val="20"/>
        </w:rPr>
        <w:t>yendo</w:t>
      </w:r>
      <w:r w:rsidRPr="009A671C">
        <w:rPr>
          <w:rFonts w:eastAsia="Times New Roman" w:cs="Times New Roman"/>
          <w:szCs w:val="20"/>
        </w:rPr>
        <w:t xml:space="preserve"> las inspecciones.</w:t>
      </w:r>
    </w:p>
    <w:p w14:paraId="32145C7A" w14:textId="77777777" w:rsidR="006920D8" w:rsidRPr="00095E65" w:rsidRDefault="006920D8" w:rsidP="006920D8">
      <w:pPr>
        <w:tabs>
          <w:tab w:val="num" w:pos="540"/>
        </w:tabs>
        <w:ind w:left="180" w:hanging="180"/>
        <w:rPr>
          <w:rFonts w:cs="Times New Roman"/>
          <w:color w:val="EE0000"/>
          <w:szCs w:val="20"/>
          <w:lang w:val="es-ES"/>
        </w:rPr>
      </w:pPr>
    </w:p>
    <w:p w14:paraId="522C743C" w14:textId="77777777" w:rsidR="006920D8" w:rsidRPr="009A671C" w:rsidRDefault="006920D8" w:rsidP="006920D8">
      <w:pPr>
        <w:rPr>
          <w:rFonts w:cs="Times New Roman"/>
          <w:b/>
          <w:bCs/>
          <w:szCs w:val="20"/>
        </w:rPr>
      </w:pPr>
      <w:r w:rsidRPr="009A671C">
        <w:rPr>
          <w:rFonts w:cs="Times New Roman"/>
          <w:b/>
          <w:bCs/>
          <w:szCs w:val="20"/>
        </w:rPr>
        <w:t>Antecedentes del Programa</w:t>
      </w:r>
    </w:p>
    <w:p w14:paraId="0E73F951" w14:textId="77777777" w:rsidR="006920D8" w:rsidRPr="009A671C" w:rsidRDefault="006920D8" w:rsidP="006920D8">
      <w:pPr>
        <w:contextualSpacing/>
        <w:outlineLvl w:val="0"/>
        <w:rPr>
          <w:rFonts w:eastAsia="Times New Roman" w:cs="Times New Roman"/>
          <w:szCs w:val="20"/>
        </w:rPr>
      </w:pPr>
      <w:r>
        <w:rPr>
          <w:rFonts w:eastAsia="Times New Roman" w:cs="Times New Roman"/>
          <w:szCs w:val="20"/>
        </w:rPr>
        <w:t>Tener u</w:t>
      </w:r>
      <w:r w:rsidRPr="009A671C">
        <w:rPr>
          <w:rFonts w:eastAsia="Times New Roman" w:cs="Times New Roman"/>
          <w:szCs w:val="20"/>
        </w:rPr>
        <w:t xml:space="preserve">na cadena de suministro resiliente para </w:t>
      </w:r>
      <w:r>
        <w:rPr>
          <w:rFonts w:eastAsia="Times New Roman" w:cs="Times New Roman"/>
          <w:szCs w:val="20"/>
        </w:rPr>
        <w:t xml:space="preserve">los </w:t>
      </w:r>
      <w:r w:rsidRPr="009A671C">
        <w:rPr>
          <w:rFonts w:eastAsia="Times New Roman" w:cs="Times New Roman"/>
          <w:szCs w:val="20"/>
        </w:rPr>
        <w:t>productos médicos, y específicamente para productos farmacéuticos y biológicos, es fundamental para la seguridad de EE UU. La globalización de la producción farmacéutica en las últimas décadas complica aún más estos desafíos.</w:t>
      </w:r>
      <w:r>
        <w:rPr>
          <w:rFonts w:eastAsia="Times New Roman" w:cs="Times New Roman"/>
          <w:szCs w:val="20"/>
        </w:rPr>
        <w:t xml:space="preserve"> </w:t>
      </w:r>
    </w:p>
    <w:p w14:paraId="123051E6" w14:textId="77777777" w:rsidR="006920D8" w:rsidRPr="009A671C" w:rsidRDefault="006920D8" w:rsidP="006920D8">
      <w:pPr>
        <w:contextualSpacing/>
        <w:outlineLvl w:val="0"/>
        <w:rPr>
          <w:rFonts w:eastAsia="Times New Roman" w:cs="Times New Roman"/>
          <w:szCs w:val="20"/>
        </w:rPr>
      </w:pPr>
    </w:p>
    <w:p w14:paraId="62C2A43E" w14:textId="77777777" w:rsidR="006920D8" w:rsidRPr="009A671C" w:rsidRDefault="006920D8" w:rsidP="006920D8">
      <w:pPr>
        <w:contextualSpacing/>
        <w:outlineLvl w:val="0"/>
        <w:rPr>
          <w:rFonts w:eastAsia="Times New Roman" w:cs="Times New Roman"/>
          <w:szCs w:val="20"/>
        </w:rPr>
      </w:pPr>
      <w:r w:rsidRPr="009A671C">
        <w:rPr>
          <w:rFonts w:eastAsia="Times New Roman" w:cs="Times New Roman"/>
          <w:szCs w:val="20"/>
        </w:rPr>
        <w:t xml:space="preserve">Hasta la década del 2000, la fabricación de productos farmacéuticos era en gran medida una actividad nacional. Sin embargo, en las últimas décadas esta producción se ha trasladado cada vez más al extranjero. Hoy en día, más de la mitad de los productos farmacéuticos distribuidos en EE UU se fabrican fuera del país. </w:t>
      </w:r>
    </w:p>
    <w:p w14:paraId="6023C77F" w14:textId="77777777" w:rsidR="006920D8" w:rsidRPr="009A671C" w:rsidRDefault="006920D8" w:rsidP="006920D8">
      <w:pPr>
        <w:contextualSpacing/>
        <w:outlineLvl w:val="0"/>
        <w:rPr>
          <w:rFonts w:eastAsia="Times New Roman" w:cs="Times New Roman"/>
          <w:szCs w:val="20"/>
        </w:rPr>
      </w:pPr>
    </w:p>
    <w:p w14:paraId="57A93F55" w14:textId="77777777" w:rsidR="006920D8" w:rsidRPr="009A671C" w:rsidRDefault="006920D8" w:rsidP="006920D8">
      <w:pPr>
        <w:contextualSpacing/>
        <w:outlineLvl w:val="0"/>
        <w:rPr>
          <w:rFonts w:eastAsia="Times New Roman" w:cs="Times New Roman"/>
          <w:szCs w:val="20"/>
        </w:rPr>
      </w:pPr>
      <w:r w:rsidRPr="009A671C">
        <w:rPr>
          <w:rFonts w:eastAsia="Times New Roman" w:cs="Times New Roman"/>
          <w:szCs w:val="20"/>
        </w:rPr>
        <w:t xml:space="preserve">En 2025, aproximadamente el 53% de los medicamentos de marca y el 69% de los medicamentos genéricos se fabricaban fuera de EE UU. En esa misma fecha, solo el 11% de los fabricantes de </w:t>
      </w:r>
      <w:r>
        <w:rPr>
          <w:rFonts w:eastAsia="Times New Roman" w:cs="Times New Roman"/>
          <w:szCs w:val="20"/>
        </w:rPr>
        <w:t>ingredientes</w:t>
      </w:r>
      <w:r w:rsidRPr="009A671C">
        <w:rPr>
          <w:rFonts w:eastAsia="Times New Roman" w:cs="Times New Roman"/>
          <w:szCs w:val="20"/>
        </w:rPr>
        <w:t xml:space="preserve"> farmacéuticos </w:t>
      </w:r>
      <w:r>
        <w:rPr>
          <w:rFonts w:eastAsia="Times New Roman" w:cs="Times New Roman"/>
          <w:szCs w:val="20"/>
        </w:rPr>
        <w:t xml:space="preserve">activos </w:t>
      </w:r>
      <w:r w:rsidRPr="009A671C">
        <w:rPr>
          <w:rFonts w:eastAsia="Times New Roman" w:cs="Times New Roman"/>
          <w:szCs w:val="20"/>
        </w:rPr>
        <w:t>(</w:t>
      </w:r>
      <w:r>
        <w:rPr>
          <w:rFonts w:eastAsia="Times New Roman" w:cs="Times New Roman"/>
          <w:szCs w:val="20"/>
        </w:rPr>
        <w:t>IFA</w:t>
      </w:r>
      <w:r w:rsidRPr="009A671C">
        <w:rPr>
          <w:rFonts w:eastAsia="Times New Roman" w:cs="Times New Roman"/>
          <w:szCs w:val="20"/>
        </w:rPr>
        <w:t>) se encontraban en EE UU, frente al 22% en China y el 44% en India.</w:t>
      </w:r>
    </w:p>
    <w:p w14:paraId="12EF84CF" w14:textId="77777777" w:rsidR="006920D8" w:rsidRPr="009A671C" w:rsidRDefault="006920D8" w:rsidP="006920D8">
      <w:pPr>
        <w:contextualSpacing/>
        <w:outlineLvl w:val="0"/>
        <w:rPr>
          <w:rFonts w:eastAsia="Times New Roman" w:cs="Times New Roman"/>
          <w:szCs w:val="20"/>
        </w:rPr>
      </w:pPr>
    </w:p>
    <w:p w14:paraId="09C6C661" w14:textId="77777777" w:rsidR="006920D8" w:rsidRPr="009A671C" w:rsidRDefault="006920D8" w:rsidP="006920D8">
      <w:pPr>
        <w:contextualSpacing/>
        <w:outlineLvl w:val="0"/>
        <w:rPr>
          <w:rFonts w:eastAsia="Times New Roman" w:cs="Times New Roman"/>
          <w:szCs w:val="20"/>
        </w:rPr>
      </w:pPr>
      <w:r w:rsidRPr="009A671C">
        <w:rPr>
          <w:rFonts w:eastAsia="Times New Roman" w:cs="Times New Roman"/>
          <w:szCs w:val="20"/>
        </w:rPr>
        <w:t xml:space="preserve">Para fortalecer la resiliencia de la cadena de suministro farmacéutico en EE UU, el 5 de mayo de 2025, el Presidente emitió la Orden Ejecutiva (OE) 14293, “Alivio Regulatorio para Promover la Producción Nacional de Medicamentos Críticos”. </w:t>
      </w:r>
    </w:p>
    <w:p w14:paraId="29B52E2A" w14:textId="77777777" w:rsidR="006920D8" w:rsidRPr="009A671C" w:rsidRDefault="006920D8" w:rsidP="006920D8">
      <w:pPr>
        <w:contextualSpacing/>
        <w:outlineLvl w:val="0"/>
        <w:rPr>
          <w:rFonts w:eastAsia="Times New Roman" w:cs="Times New Roman"/>
          <w:szCs w:val="20"/>
        </w:rPr>
      </w:pPr>
    </w:p>
    <w:p w14:paraId="26B8BA35" w14:textId="77777777" w:rsidR="006920D8" w:rsidRPr="009A671C" w:rsidRDefault="006920D8" w:rsidP="006920D8">
      <w:pPr>
        <w:contextualSpacing/>
        <w:outlineLvl w:val="0"/>
        <w:rPr>
          <w:rFonts w:eastAsia="Times New Roman" w:cs="Times New Roman"/>
          <w:szCs w:val="20"/>
        </w:rPr>
      </w:pPr>
      <w:r w:rsidRPr="009A671C">
        <w:rPr>
          <w:rFonts w:eastAsia="Times New Roman" w:cs="Times New Roman"/>
          <w:szCs w:val="20"/>
        </w:rPr>
        <w:t xml:space="preserve">La OE 14293 establece una política </w:t>
      </w:r>
      <w:r>
        <w:rPr>
          <w:rFonts w:eastAsia="Times New Roman" w:cs="Times New Roman"/>
          <w:szCs w:val="20"/>
        </w:rPr>
        <w:t>para</w:t>
      </w:r>
      <w:r w:rsidRPr="009A671C">
        <w:rPr>
          <w:rFonts w:eastAsia="Times New Roman" w:cs="Times New Roman"/>
          <w:szCs w:val="20"/>
        </w:rPr>
        <w:t xml:space="preserve"> simplificar la regulación de la </w:t>
      </w:r>
      <w:r>
        <w:rPr>
          <w:rFonts w:eastAsia="Times New Roman" w:cs="Times New Roman"/>
          <w:szCs w:val="20"/>
        </w:rPr>
        <w:t>manufactura</w:t>
      </w:r>
      <w:r w:rsidRPr="009A671C">
        <w:rPr>
          <w:rFonts w:eastAsia="Times New Roman" w:cs="Times New Roman"/>
          <w:szCs w:val="20"/>
        </w:rPr>
        <w:t xml:space="preserve"> de productos farmacéuticos </w:t>
      </w:r>
      <w:r>
        <w:rPr>
          <w:rFonts w:eastAsia="Times New Roman" w:cs="Times New Roman"/>
          <w:szCs w:val="20"/>
        </w:rPr>
        <w:t>y</w:t>
      </w:r>
      <w:r w:rsidRPr="009A671C">
        <w:rPr>
          <w:rFonts w:eastAsia="Times New Roman" w:cs="Times New Roman"/>
          <w:szCs w:val="20"/>
        </w:rPr>
        <w:t xml:space="preserve"> facilitar el restablecimiento de una base sólida de fabricación farmacéutica nacional. La OE 14293 ordena a la FDA que revise las regulaciones y directrices existentes relacionadas con el desarrollo de la fabricación farmacéutica nacional y que tome medidas para “eliminar cualquier requisito duplicado o innecesario, </w:t>
      </w:r>
      <w:r>
        <w:rPr>
          <w:rFonts w:eastAsia="Times New Roman" w:cs="Times New Roman"/>
          <w:szCs w:val="20"/>
        </w:rPr>
        <w:t>con el objetivo de</w:t>
      </w:r>
      <w:r w:rsidRPr="009A671C">
        <w:rPr>
          <w:rFonts w:eastAsia="Times New Roman" w:cs="Times New Roman"/>
          <w:szCs w:val="20"/>
        </w:rPr>
        <w:t xml:space="preserve"> maximizar la puntualidad y la previsibilidad de la revisión de la agencia</w:t>
      </w:r>
      <w:r>
        <w:rPr>
          <w:rFonts w:eastAsia="Times New Roman" w:cs="Times New Roman"/>
          <w:szCs w:val="20"/>
        </w:rPr>
        <w:t>,</w:t>
      </w:r>
      <w:r w:rsidRPr="009A671C">
        <w:rPr>
          <w:rFonts w:eastAsia="Times New Roman" w:cs="Times New Roman"/>
          <w:szCs w:val="20"/>
        </w:rPr>
        <w:t xml:space="preserve"> y para simplificar y acelerar el desarrollo de la fabricación farmacéutica nacional”.</w:t>
      </w:r>
      <w:r>
        <w:rPr>
          <w:rFonts w:eastAsia="Times New Roman" w:cs="Times New Roman"/>
          <w:szCs w:val="20"/>
        </w:rPr>
        <w:t xml:space="preserve"> </w:t>
      </w:r>
    </w:p>
    <w:p w14:paraId="17CC3888" w14:textId="77777777" w:rsidR="006920D8" w:rsidRPr="009A671C" w:rsidRDefault="006920D8" w:rsidP="006920D8">
      <w:pPr>
        <w:contextualSpacing/>
        <w:outlineLvl w:val="0"/>
        <w:rPr>
          <w:rFonts w:eastAsia="Times New Roman" w:cs="Times New Roman"/>
          <w:szCs w:val="20"/>
        </w:rPr>
      </w:pPr>
    </w:p>
    <w:p w14:paraId="10A17281" w14:textId="77777777" w:rsidR="006920D8" w:rsidRDefault="006920D8" w:rsidP="006920D8">
      <w:pPr>
        <w:rPr>
          <w:rFonts w:cs="Times New Roman"/>
          <w:szCs w:val="20"/>
        </w:rPr>
      </w:pPr>
      <w:r w:rsidRPr="009A671C">
        <w:rPr>
          <w:rFonts w:cs="Times New Roman"/>
          <w:szCs w:val="20"/>
        </w:rPr>
        <w:t xml:space="preserve">En respuesta a la Orden Ejecutiva 14293, la FDA ha desarrollado el Programa Piloto FDA </w:t>
      </w:r>
      <w:proofErr w:type="spellStart"/>
      <w:r w:rsidRPr="009A671C">
        <w:rPr>
          <w:rFonts w:cs="Times New Roman"/>
          <w:szCs w:val="20"/>
        </w:rPr>
        <w:t>PreCheck</w:t>
      </w:r>
      <w:proofErr w:type="spellEnd"/>
      <w:r w:rsidRPr="009A671C">
        <w:rPr>
          <w:rFonts w:cs="Times New Roman"/>
          <w:szCs w:val="20"/>
        </w:rPr>
        <w:t>, cuyo objetivo es acelerar el establecimiento de nuevas instalaciones de fabricación farmacéutica de alta prioridad en EE UU</w:t>
      </w:r>
      <w:r>
        <w:rPr>
          <w:rFonts w:cs="Times New Roman"/>
          <w:szCs w:val="20"/>
        </w:rPr>
        <w:t>,</w:t>
      </w:r>
      <w:r w:rsidRPr="009A671C">
        <w:rPr>
          <w:rFonts w:cs="Times New Roman"/>
          <w:szCs w:val="20"/>
        </w:rPr>
        <w:t xml:space="preserve"> y fortalecer la cadena de suministro farmacéutico nacional. </w:t>
      </w:r>
    </w:p>
    <w:p w14:paraId="1CB28214" w14:textId="77777777" w:rsidR="006920D8" w:rsidRPr="009A671C" w:rsidRDefault="006920D8" w:rsidP="006920D8">
      <w:pPr>
        <w:rPr>
          <w:rFonts w:cs="Times New Roman"/>
          <w:szCs w:val="20"/>
        </w:rPr>
      </w:pPr>
    </w:p>
    <w:p w14:paraId="0734EA1F" w14:textId="77777777" w:rsidR="006920D8" w:rsidRPr="009A671C" w:rsidRDefault="006920D8" w:rsidP="006920D8">
      <w:pPr>
        <w:contextualSpacing/>
        <w:outlineLvl w:val="0"/>
        <w:rPr>
          <w:rFonts w:eastAsia="Times New Roman" w:cs="Times New Roman"/>
          <w:szCs w:val="20"/>
        </w:rPr>
      </w:pPr>
      <w:r w:rsidRPr="009A671C">
        <w:rPr>
          <w:rFonts w:eastAsia="Times New Roman" w:cs="Times New Roman"/>
          <w:szCs w:val="20"/>
        </w:rPr>
        <w:t xml:space="preserve">Específicamente, el programa piloto consta de dos fases: </w:t>
      </w:r>
    </w:p>
    <w:p w14:paraId="14066B3A" w14:textId="77777777" w:rsidR="006920D8" w:rsidRPr="009A671C" w:rsidRDefault="006920D8" w:rsidP="006920D8">
      <w:pPr>
        <w:contextualSpacing/>
        <w:outlineLvl w:val="0"/>
        <w:rPr>
          <w:rFonts w:eastAsia="Times New Roman" w:cs="Times New Roman"/>
          <w:szCs w:val="20"/>
        </w:rPr>
      </w:pPr>
      <w:r w:rsidRPr="009A671C">
        <w:rPr>
          <w:rFonts w:eastAsia="Times New Roman" w:cs="Times New Roman"/>
          <w:szCs w:val="20"/>
        </w:rPr>
        <w:t xml:space="preserve">1. Fase de Preparación de la Instalación </w:t>
      </w:r>
    </w:p>
    <w:p w14:paraId="554C39E1" w14:textId="77777777" w:rsidR="006920D8" w:rsidRPr="009A671C" w:rsidRDefault="006920D8" w:rsidP="006920D8">
      <w:pPr>
        <w:contextualSpacing/>
        <w:outlineLvl w:val="0"/>
        <w:rPr>
          <w:rFonts w:eastAsia="Times New Roman" w:cs="Times New Roman"/>
          <w:szCs w:val="20"/>
        </w:rPr>
      </w:pPr>
      <w:r w:rsidRPr="009A671C">
        <w:rPr>
          <w:rFonts w:eastAsia="Times New Roman" w:cs="Times New Roman"/>
          <w:szCs w:val="20"/>
        </w:rPr>
        <w:t xml:space="preserve">2. Fase de Presentación de la Solicitud. </w:t>
      </w:r>
    </w:p>
    <w:p w14:paraId="68555436" w14:textId="77777777" w:rsidR="006920D8" w:rsidRPr="00095E65" w:rsidRDefault="006920D8" w:rsidP="006920D8">
      <w:pPr>
        <w:rPr>
          <w:rFonts w:cs="Times New Roman"/>
          <w:color w:val="EE0000"/>
          <w:szCs w:val="20"/>
          <w:lang w:val="es-ES"/>
        </w:rPr>
      </w:pPr>
    </w:p>
    <w:p w14:paraId="2C8C95E7" w14:textId="77777777" w:rsidR="006920D8" w:rsidRPr="009A671C" w:rsidRDefault="006920D8" w:rsidP="006920D8">
      <w:pPr>
        <w:contextualSpacing/>
        <w:outlineLvl w:val="0"/>
        <w:rPr>
          <w:rFonts w:eastAsia="Times New Roman" w:cs="Times New Roman"/>
          <w:szCs w:val="20"/>
        </w:rPr>
      </w:pPr>
      <w:r w:rsidRPr="009A671C">
        <w:rPr>
          <w:rFonts w:eastAsia="Times New Roman" w:cs="Times New Roman"/>
          <w:szCs w:val="20"/>
        </w:rPr>
        <w:t>En la Fase 1, la Fase de Preparación de la Instalación, los fabricantes seleccionados pueden contactar a la FDA para obtener asesor</w:t>
      </w:r>
      <w:r>
        <w:rPr>
          <w:rFonts w:eastAsia="Times New Roman" w:cs="Times New Roman"/>
          <w:szCs w:val="20"/>
        </w:rPr>
        <w:t>ía</w:t>
      </w:r>
      <w:r w:rsidRPr="009A671C">
        <w:rPr>
          <w:rFonts w:eastAsia="Times New Roman" w:cs="Times New Roman"/>
          <w:szCs w:val="20"/>
        </w:rPr>
        <w:t xml:space="preserve"> técnic</w:t>
      </w:r>
      <w:r>
        <w:rPr>
          <w:rFonts w:eastAsia="Times New Roman" w:cs="Times New Roman"/>
          <w:szCs w:val="20"/>
        </w:rPr>
        <w:t>a</w:t>
      </w:r>
      <w:r w:rsidRPr="009A671C">
        <w:rPr>
          <w:rFonts w:eastAsia="Times New Roman" w:cs="Times New Roman"/>
          <w:szCs w:val="20"/>
        </w:rPr>
        <w:t xml:space="preserve"> tempran</w:t>
      </w:r>
      <w:r>
        <w:rPr>
          <w:rFonts w:eastAsia="Times New Roman" w:cs="Times New Roman"/>
          <w:szCs w:val="20"/>
        </w:rPr>
        <w:t>a</w:t>
      </w:r>
      <w:r w:rsidRPr="009A671C">
        <w:rPr>
          <w:rFonts w:eastAsia="Times New Roman" w:cs="Times New Roman"/>
          <w:szCs w:val="20"/>
        </w:rPr>
        <w:t>, antes de que la instalación esté operativa</w:t>
      </w:r>
      <w:r>
        <w:rPr>
          <w:rFonts w:eastAsia="Times New Roman" w:cs="Times New Roman"/>
          <w:szCs w:val="20"/>
        </w:rPr>
        <w:t>. Para ello se podrán hacer</w:t>
      </w:r>
      <w:r w:rsidRPr="009A671C">
        <w:rPr>
          <w:rFonts w:eastAsia="Times New Roman" w:cs="Times New Roman"/>
          <w:szCs w:val="20"/>
        </w:rPr>
        <w:t xml:space="preserve"> revisiones preoperacionales y</w:t>
      </w:r>
      <w:r>
        <w:rPr>
          <w:rFonts w:eastAsia="Times New Roman" w:cs="Times New Roman"/>
          <w:szCs w:val="20"/>
        </w:rPr>
        <w:t xml:space="preserve"> se</w:t>
      </w:r>
      <w:r w:rsidRPr="009A671C">
        <w:rPr>
          <w:rFonts w:eastAsia="Times New Roman" w:cs="Times New Roman"/>
          <w:szCs w:val="20"/>
        </w:rPr>
        <w:t xml:space="preserve"> utiliza</w:t>
      </w:r>
      <w:r>
        <w:rPr>
          <w:rFonts w:eastAsia="Times New Roman" w:cs="Times New Roman"/>
          <w:szCs w:val="20"/>
        </w:rPr>
        <w:t>rá</w:t>
      </w:r>
      <w:r w:rsidRPr="009A671C">
        <w:rPr>
          <w:rFonts w:eastAsia="Times New Roman" w:cs="Times New Roman"/>
          <w:szCs w:val="20"/>
        </w:rPr>
        <w:t xml:space="preserve"> un Expediente Maestro de Medicamentos específico para la instalación, lo que facilita</w:t>
      </w:r>
      <w:r>
        <w:rPr>
          <w:rFonts w:eastAsia="Times New Roman" w:cs="Times New Roman"/>
          <w:szCs w:val="20"/>
        </w:rPr>
        <w:t>rá</w:t>
      </w:r>
      <w:r w:rsidRPr="009A671C">
        <w:rPr>
          <w:rFonts w:eastAsia="Times New Roman" w:cs="Times New Roman"/>
          <w:szCs w:val="20"/>
        </w:rPr>
        <w:t xml:space="preserve"> la </w:t>
      </w:r>
      <w:r>
        <w:rPr>
          <w:rFonts w:eastAsia="Times New Roman" w:cs="Times New Roman"/>
          <w:szCs w:val="20"/>
        </w:rPr>
        <w:t xml:space="preserve">eficiencia en la </w:t>
      </w:r>
      <w:r w:rsidRPr="009A671C">
        <w:rPr>
          <w:rFonts w:eastAsia="Times New Roman" w:cs="Times New Roman"/>
          <w:szCs w:val="20"/>
        </w:rPr>
        <w:t>evaluación de los elementos específicos de la instalación antes de presenta</w:t>
      </w:r>
      <w:r>
        <w:rPr>
          <w:rFonts w:eastAsia="Times New Roman" w:cs="Times New Roman"/>
          <w:szCs w:val="20"/>
        </w:rPr>
        <w:t>r</w:t>
      </w:r>
      <w:r w:rsidRPr="009A671C">
        <w:rPr>
          <w:rFonts w:eastAsia="Times New Roman" w:cs="Times New Roman"/>
          <w:szCs w:val="20"/>
        </w:rPr>
        <w:t xml:space="preserve"> la solicitud de registro del medicamento. </w:t>
      </w:r>
    </w:p>
    <w:p w14:paraId="285F832E" w14:textId="77777777" w:rsidR="006920D8" w:rsidRPr="009A671C" w:rsidRDefault="006920D8" w:rsidP="006920D8">
      <w:pPr>
        <w:contextualSpacing/>
        <w:outlineLvl w:val="0"/>
        <w:rPr>
          <w:rFonts w:eastAsia="Times New Roman" w:cs="Times New Roman"/>
          <w:szCs w:val="20"/>
        </w:rPr>
      </w:pPr>
    </w:p>
    <w:p w14:paraId="73384164" w14:textId="77777777" w:rsidR="006920D8" w:rsidRPr="009A671C" w:rsidRDefault="006920D8" w:rsidP="006920D8">
      <w:pPr>
        <w:contextualSpacing/>
        <w:outlineLvl w:val="0"/>
        <w:rPr>
          <w:rFonts w:eastAsia="Times New Roman" w:cs="Times New Roman"/>
          <w:szCs w:val="20"/>
        </w:rPr>
      </w:pPr>
      <w:r>
        <w:rPr>
          <w:rFonts w:eastAsia="Times New Roman" w:cs="Times New Roman"/>
          <w:szCs w:val="20"/>
        </w:rPr>
        <w:t>Durante</w:t>
      </w:r>
      <w:r w:rsidRPr="009A671C">
        <w:rPr>
          <w:rFonts w:eastAsia="Times New Roman" w:cs="Times New Roman"/>
          <w:szCs w:val="20"/>
        </w:rPr>
        <w:t xml:space="preserve"> la Fase 2, la Fase de Presentación de la Solicitud, la FDA y los solicitantes se basan en la Fase 1 y participan en reuniones previas a la presentación para resolver problemas y agilizar las evaluaciones de la información </w:t>
      </w:r>
      <w:r>
        <w:rPr>
          <w:rFonts w:eastAsia="Times New Roman" w:cs="Times New Roman"/>
          <w:szCs w:val="20"/>
        </w:rPr>
        <w:t>sobre la</w:t>
      </w:r>
      <w:r w:rsidRPr="009A671C">
        <w:rPr>
          <w:rFonts w:eastAsia="Times New Roman" w:cs="Times New Roman"/>
          <w:szCs w:val="20"/>
        </w:rPr>
        <w:t xml:space="preserve"> fabricación </w:t>
      </w:r>
      <w:r>
        <w:rPr>
          <w:rFonts w:eastAsia="Times New Roman" w:cs="Times New Roman"/>
          <w:szCs w:val="20"/>
        </w:rPr>
        <w:t xml:space="preserve">que se incluye </w:t>
      </w:r>
      <w:r w:rsidRPr="009A671C">
        <w:rPr>
          <w:rFonts w:eastAsia="Times New Roman" w:cs="Times New Roman"/>
          <w:szCs w:val="20"/>
        </w:rPr>
        <w:t>en la</w:t>
      </w:r>
      <w:r>
        <w:rPr>
          <w:rFonts w:eastAsia="Times New Roman" w:cs="Times New Roman"/>
          <w:szCs w:val="20"/>
        </w:rPr>
        <w:t xml:space="preserve"> </w:t>
      </w:r>
      <w:r w:rsidRPr="009A671C">
        <w:rPr>
          <w:rFonts w:eastAsia="Times New Roman" w:cs="Times New Roman"/>
          <w:szCs w:val="20"/>
        </w:rPr>
        <w:t>solicitud de registro del medicamento y</w:t>
      </w:r>
      <w:r>
        <w:rPr>
          <w:rFonts w:eastAsia="Times New Roman" w:cs="Times New Roman"/>
          <w:szCs w:val="20"/>
        </w:rPr>
        <w:t xml:space="preserve"> en</w:t>
      </w:r>
      <w:r w:rsidRPr="009A671C">
        <w:rPr>
          <w:rFonts w:eastAsia="Times New Roman" w:cs="Times New Roman"/>
          <w:szCs w:val="20"/>
        </w:rPr>
        <w:t xml:space="preserve"> las inspecciones.</w:t>
      </w:r>
      <w:r>
        <w:rPr>
          <w:rFonts w:eastAsia="Times New Roman" w:cs="Times New Roman"/>
          <w:szCs w:val="20"/>
        </w:rPr>
        <w:t xml:space="preserve"> </w:t>
      </w:r>
    </w:p>
    <w:p w14:paraId="503196AF" w14:textId="77777777" w:rsidR="006920D8" w:rsidRPr="009A671C" w:rsidRDefault="006920D8" w:rsidP="006920D8">
      <w:pPr>
        <w:contextualSpacing/>
        <w:outlineLvl w:val="0"/>
        <w:rPr>
          <w:rFonts w:eastAsia="Times New Roman" w:cs="Times New Roman"/>
          <w:szCs w:val="20"/>
        </w:rPr>
      </w:pPr>
    </w:p>
    <w:p w14:paraId="196E8D12" w14:textId="77777777" w:rsidR="006920D8" w:rsidRPr="009A671C" w:rsidRDefault="006920D8" w:rsidP="006920D8">
      <w:pPr>
        <w:contextualSpacing/>
        <w:outlineLvl w:val="0"/>
        <w:rPr>
          <w:rFonts w:eastAsia="Times New Roman" w:cs="Times New Roman"/>
          <w:b/>
          <w:bCs/>
          <w:szCs w:val="20"/>
        </w:rPr>
      </w:pPr>
      <w:r w:rsidRPr="009A671C">
        <w:rPr>
          <w:rFonts w:eastAsia="Times New Roman" w:cs="Times New Roman"/>
          <w:b/>
          <w:bCs/>
          <w:szCs w:val="20"/>
        </w:rPr>
        <w:t xml:space="preserve">Criterios de elegibilidad del Programa </w:t>
      </w:r>
      <w:proofErr w:type="spellStart"/>
      <w:r w:rsidRPr="009A671C">
        <w:rPr>
          <w:rFonts w:eastAsia="Times New Roman" w:cs="Times New Roman"/>
          <w:b/>
          <w:bCs/>
          <w:szCs w:val="20"/>
        </w:rPr>
        <w:t>PreCheck</w:t>
      </w:r>
      <w:proofErr w:type="spellEnd"/>
      <w:r w:rsidRPr="009A671C">
        <w:rPr>
          <w:rFonts w:eastAsia="Times New Roman" w:cs="Times New Roman"/>
          <w:b/>
          <w:bCs/>
          <w:szCs w:val="20"/>
        </w:rPr>
        <w:t xml:space="preserve"> de la FDA</w:t>
      </w:r>
    </w:p>
    <w:p w14:paraId="4126A8AE" w14:textId="77777777" w:rsidR="006920D8" w:rsidRPr="009A671C" w:rsidRDefault="006920D8" w:rsidP="006920D8">
      <w:pPr>
        <w:contextualSpacing/>
        <w:outlineLvl w:val="0"/>
        <w:rPr>
          <w:rFonts w:eastAsia="Times New Roman" w:cs="Times New Roman"/>
          <w:szCs w:val="20"/>
        </w:rPr>
      </w:pPr>
      <w:r>
        <w:rPr>
          <w:rFonts w:eastAsia="Times New Roman" w:cs="Times New Roman"/>
          <w:szCs w:val="20"/>
        </w:rPr>
        <w:t>P</w:t>
      </w:r>
      <w:r w:rsidRPr="009A671C">
        <w:rPr>
          <w:rFonts w:eastAsia="Times New Roman" w:cs="Times New Roman"/>
          <w:szCs w:val="20"/>
        </w:rPr>
        <w:t xml:space="preserve">ara ser elegibles para el Programa Piloto </w:t>
      </w:r>
      <w:proofErr w:type="spellStart"/>
      <w:r w:rsidRPr="009A671C">
        <w:rPr>
          <w:rFonts w:eastAsia="Times New Roman" w:cs="Times New Roman"/>
          <w:szCs w:val="20"/>
        </w:rPr>
        <w:t>PreCheck</w:t>
      </w:r>
      <w:proofErr w:type="spellEnd"/>
      <w:r w:rsidRPr="009A671C">
        <w:rPr>
          <w:rFonts w:eastAsia="Times New Roman" w:cs="Times New Roman"/>
          <w:szCs w:val="20"/>
        </w:rPr>
        <w:t xml:space="preserve"> de la FDA</w:t>
      </w:r>
      <w:r>
        <w:rPr>
          <w:rFonts w:eastAsia="Times New Roman" w:cs="Times New Roman"/>
          <w:szCs w:val="20"/>
        </w:rPr>
        <w:t>,</w:t>
      </w:r>
      <w:r w:rsidRPr="009609BA">
        <w:rPr>
          <w:rFonts w:eastAsia="Times New Roman" w:cs="Times New Roman"/>
          <w:szCs w:val="20"/>
        </w:rPr>
        <w:t xml:space="preserve"> </w:t>
      </w:r>
      <w:r>
        <w:rPr>
          <w:rFonts w:eastAsia="Times New Roman" w:cs="Times New Roman"/>
          <w:szCs w:val="20"/>
        </w:rPr>
        <w:t>la</w:t>
      </w:r>
      <w:r w:rsidRPr="009A671C">
        <w:rPr>
          <w:rFonts w:eastAsia="Times New Roman" w:cs="Times New Roman"/>
          <w:szCs w:val="20"/>
        </w:rPr>
        <w:t>s empresas deben cumplir los requisitos</w:t>
      </w:r>
      <w:r>
        <w:rPr>
          <w:rFonts w:eastAsia="Times New Roman" w:cs="Times New Roman"/>
          <w:szCs w:val="20"/>
        </w:rPr>
        <w:t xml:space="preserve"> que se mencionan a continuación</w:t>
      </w:r>
      <w:r w:rsidRPr="009A671C">
        <w:rPr>
          <w:rFonts w:eastAsia="Times New Roman" w:cs="Times New Roman"/>
          <w:szCs w:val="20"/>
        </w:rPr>
        <w:t>. Tenga en cuenta que las empresas están limitadas a una solicitud p</w:t>
      </w:r>
      <w:r>
        <w:rPr>
          <w:rFonts w:eastAsia="Times New Roman" w:cs="Times New Roman"/>
          <w:szCs w:val="20"/>
        </w:rPr>
        <w:t>ara una nueva</w:t>
      </w:r>
      <w:r w:rsidRPr="009A671C">
        <w:rPr>
          <w:rFonts w:eastAsia="Times New Roman" w:cs="Times New Roman"/>
          <w:szCs w:val="20"/>
        </w:rPr>
        <w:t xml:space="preserve"> planta de </w:t>
      </w:r>
      <w:r>
        <w:rPr>
          <w:rFonts w:eastAsia="Times New Roman" w:cs="Times New Roman"/>
          <w:szCs w:val="20"/>
        </w:rPr>
        <w:t>manufactura</w:t>
      </w:r>
      <w:r w:rsidRPr="009A671C">
        <w:rPr>
          <w:rFonts w:eastAsia="Times New Roman" w:cs="Times New Roman"/>
          <w:szCs w:val="20"/>
        </w:rPr>
        <w:t xml:space="preserve"> en EE UU.</w:t>
      </w:r>
    </w:p>
    <w:p w14:paraId="0321FD72" w14:textId="77777777" w:rsidR="006920D8" w:rsidRPr="009A671C" w:rsidRDefault="006920D8" w:rsidP="006920D8">
      <w:pPr>
        <w:contextualSpacing/>
        <w:outlineLvl w:val="0"/>
        <w:rPr>
          <w:rFonts w:eastAsia="Times New Roman" w:cs="Times New Roman"/>
          <w:b/>
          <w:bCs/>
          <w:szCs w:val="20"/>
        </w:rPr>
      </w:pPr>
    </w:p>
    <w:p w14:paraId="4A04B6E9" w14:textId="77777777" w:rsidR="006920D8" w:rsidRPr="009A671C" w:rsidRDefault="006920D8" w:rsidP="006920D8">
      <w:pPr>
        <w:contextualSpacing/>
        <w:outlineLvl w:val="0"/>
        <w:rPr>
          <w:rFonts w:eastAsia="Times New Roman" w:cs="Times New Roman"/>
          <w:szCs w:val="20"/>
        </w:rPr>
      </w:pPr>
      <w:r w:rsidRPr="009A671C">
        <w:rPr>
          <w:rFonts w:eastAsia="Times New Roman" w:cs="Times New Roman"/>
          <w:b/>
          <w:bCs/>
          <w:szCs w:val="20"/>
        </w:rPr>
        <w:t xml:space="preserve">Nueva planta de </w:t>
      </w:r>
      <w:r>
        <w:rPr>
          <w:rFonts w:eastAsia="Times New Roman" w:cs="Times New Roman"/>
          <w:b/>
          <w:bCs/>
          <w:szCs w:val="20"/>
        </w:rPr>
        <w:t>manufactura</w:t>
      </w:r>
      <w:r w:rsidRPr="009A671C">
        <w:rPr>
          <w:rFonts w:eastAsia="Times New Roman" w:cs="Times New Roman"/>
          <w:b/>
          <w:bCs/>
          <w:szCs w:val="20"/>
        </w:rPr>
        <w:t>:</w:t>
      </w:r>
      <w:r>
        <w:rPr>
          <w:rFonts w:eastAsia="Times New Roman" w:cs="Times New Roman"/>
          <w:szCs w:val="20"/>
        </w:rPr>
        <w:t xml:space="preserve"> </w:t>
      </w:r>
      <w:r w:rsidRPr="009A671C">
        <w:rPr>
          <w:rFonts w:eastAsia="Times New Roman" w:cs="Times New Roman"/>
          <w:szCs w:val="20"/>
        </w:rPr>
        <w:t xml:space="preserve">Una planta de </w:t>
      </w:r>
      <w:r>
        <w:rPr>
          <w:rFonts w:eastAsia="Times New Roman" w:cs="Times New Roman"/>
          <w:szCs w:val="20"/>
        </w:rPr>
        <w:t>manufactura</w:t>
      </w:r>
      <w:r w:rsidRPr="009A671C">
        <w:rPr>
          <w:rFonts w:eastAsia="Times New Roman" w:cs="Times New Roman"/>
          <w:szCs w:val="20"/>
        </w:rPr>
        <w:t xml:space="preserve"> nacional</w:t>
      </w:r>
      <w:r>
        <w:rPr>
          <w:rFonts w:eastAsia="Times New Roman" w:cs="Times New Roman"/>
          <w:szCs w:val="20"/>
        </w:rPr>
        <w:t>,</w:t>
      </w:r>
      <w:r w:rsidRPr="009A671C">
        <w:rPr>
          <w:rFonts w:eastAsia="Times New Roman" w:cs="Times New Roman"/>
          <w:szCs w:val="20"/>
        </w:rPr>
        <w:t xml:space="preserve"> que no sea una instalación existente ni una extensión de una instalación existente y que haya comenzado su construcción, </w:t>
      </w:r>
      <w:r>
        <w:rPr>
          <w:rFonts w:eastAsia="Times New Roman" w:cs="Times New Roman"/>
          <w:szCs w:val="20"/>
        </w:rPr>
        <w:t xml:space="preserve">que </w:t>
      </w:r>
      <w:r w:rsidRPr="009A671C">
        <w:rPr>
          <w:rFonts w:eastAsia="Times New Roman" w:cs="Times New Roman"/>
          <w:szCs w:val="20"/>
        </w:rPr>
        <w:t xml:space="preserve">vaya a comenzar su construcción antes de la fecha límite para la presentación completa de la propuesta piloto, o que se encuentre en la fase de desarrollo preoperacional </w:t>
      </w:r>
      <w:r>
        <w:rPr>
          <w:rFonts w:eastAsia="Times New Roman" w:cs="Times New Roman"/>
          <w:szCs w:val="20"/>
        </w:rPr>
        <w:t>para</w:t>
      </w:r>
      <w:r w:rsidRPr="009A671C">
        <w:rPr>
          <w:rFonts w:eastAsia="Times New Roman" w:cs="Times New Roman"/>
          <w:szCs w:val="20"/>
        </w:rPr>
        <w:t xml:space="preserve"> producir medicamentos para uso humano y/o productos biológicos.</w:t>
      </w:r>
    </w:p>
    <w:p w14:paraId="31E9E0D7" w14:textId="77777777" w:rsidR="006920D8" w:rsidRPr="009A671C" w:rsidRDefault="006920D8" w:rsidP="006920D8">
      <w:pPr>
        <w:contextualSpacing/>
        <w:outlineLvl w:val="0"/>
        <w:rPr>
          <w:rFonts w:eastAsia="Times New Roman" w:cs="Times New Roman"/>
          <w:b/>
          <w:bCs/>
          <w:szCs w:val="20"/>
        </w:rPr>
      </w:pPr>
    </w:p>
    <w:p w14:paraId="74635A90" w14:textId="77777777" w:rsidR="006920D8" w:rsidRPr="009A671C" w:rsidRDefault="006920D8" w:rsidP="006920D8">
      <w:pPr>
        <w:contextualSpacing/>
        <w:outlineLvl w:val="0"/>
        <w:rPr>
          <w:rFonts w:eastAsia="Times New Roman" w:cs="Times New Roman"/>
          <w:szCs w:val="20"/>
        </w:rPr>
      </w:pPr>
      <w:r w:rsidRPr="009A671C">
        <w:rPr>
          <w:rFonts w:eastAsia="Times New Roman" w:cs="Times New Roman"/>
          <w:b/>
          <w:bCs/>
          <w:szCs w:val="20"/>
        </w:rPr>
        <w:t>Ubicad</w:t>
      </w:r>
      <w:r>
        <w:rPr>
          <w:rFonts w:eastAsia="Times New Roman" w:cs="Times New Roman"/>
          <w:b/>
          <w:bCs/>
          <w:szCs w:val="20"/>
        </w:rPr>
        <w:t>a</w:t>
      </w:r>
      <w:r w:rsidRPr="009A671C">
        <w:rPr>
          <w:rFonts w:eastAsia="Times New Roman" w:cs="Times New Roman"/>
          <w:b/>
          <w:bCs/>
          <w:szCs w:val="20"/>
        </w:rPr>
        <w:t xml:space="preserve"> en EE UU:</w:t>
      </w:r>
      <w:r>
        <w:rPr>
          <w:rFonts w:eastAsia="Times New Roman" w:cs="Times New Roman"/>
          <w:szCs w:val="20"/>
        </w:rPr>
        <w:t xml:space="preserve"> </w:t>
      </w:r>
      <w:r w:rsidRPr="009A671C">
        <w:rPr>
          <w:rFonts w:eastAsia="Times New Roman" w:cs="Times New Roman"/>
          <w:szCs w:val="20"/>
        </w:rPr>
        <w:t xml:space="preserve">El programa piloto </w:t>
      </w:r>
      <w:proofErr w:type="spellStart"/>
      <w:r w:rsidRPr="009A671C">
        <w:rPr>
          <w:rFonts w:eastAsia="Times New Roman" w:cs="Times New Roman"/>
          <w:szCs w:val="20"/>
        </w:rPr>
        <w:t>PreCheck</w:t>
      </w:r>
      <w:proofErr w:type="spellEnd"/>
      <w:r w:rsidRPr="009A671C">
        <w:rPr>
          <w:rFonts w:eastAsia="Times New Roman" w:cs="Times New Roman"/>
          <w:szCs w:val="20"/>
        </w:rPr>
        <w:t xml:space="preserve"> de la FDA se limitará a las nuevas instalaciones de fabricación ubicadas en EE UU y sus territorios insulares.</w:t>
      </w:r>
    </w:p>
    <w:p w14:paraId="22964AF0" w14:textId="77777777" w:rsidR="006920D8" w:rsidRPr="009A671C" w:rsidRDefault="006920D8" w:rsidP="006920D8">
      <w:pPr>
        <w:contextualSpacing/>
        <w:outlineLvl w:val="0"/>
        <w:rPr>
          <w:rFonts w:eastAsia="Times New Roman" w:cs="Times New Roman"/>
          <w:b/>
          <w:bCs/>
          <w:szCs w:val="20"/>
        </w:rPr>
      </w:pPr>
    </w:p>
    <w:p w14:paraId="7AC5A024" w14:textId="77777777" w:rsidR="006920D8" w:rsidRPr="009A671C" w:rsidRDefault="006920D8" w:rsidP="006920D8">
      <w:pPr>
        <w:contextualSpacing/>
        <w:outlineLvl w:val="0"/>
        <w:rPr>
          <w:rFonts w:eastAsia="Times New Roman" w:cs="Times New Roman"/>
          <w:szCs w:val="20"/>
        </w:rPr>
      </w:pPr>
      <w:r w:rsidRPr="00533ED3">
        <w:rPr>
          <w:rFonts w:eastAsia="Times New Roman" w:cs="Times New Roman"/>
          <w:b/>
          <w:bCs/>
          <w:szCs w:val="20"/>
        </w:rPr>
        <w:t>Umbrales del tamaño de</w:t>
      </w:r>
      <w:r w:rsidRPr="009A671C">
        <w:rPr>
          <w:rFonts w:eastAsia="Times New Roman" w:cs="Times New Roman"/>
          <w:b/>
          <w:bCs/>
          <w:szCs w:val="20"/>
        </w:rPr>
        <w:t xml:space="preserve"> las instalaciones:</w:t>
      </w:r>
      <w:r>
        <w:rPr>
          <w:rFonts w:eastAsia="Times New Roman" w:cs="Times New Roman"/>
          <w:szCs w:val="20"/>
        </w:rPr>
        <w:t xml:space="preserve"> </w:t>
      </w:r>
      <w:r w:rsidRPr="009A671C">
        <w:rPr>
          <w:rFonts w:eastAsia="Times New Roman" w:cs="Times New Roman"/>
          <w:szCs w:val="20"/>
        </w:rPr>
        <w:t xml:space="preserve">Nuevas instalaciones de </w:t>
      </w:r>
      <w:r>
        <w:rPr>
          <w:rFonts w:eastAsia="Times New Roman" w:cs="Times New Roman"/>
          <w:szCs w:val="20"/>
        </w:rPr>
        <w:t>manufactura</w:t>
      </w:r>
      <w:r w:rsidRPr="009A671C">
        <w:rPr>
          <w:rFonts w:eastAsia="Times New Roman" w:cs="Times New Roman"/>
          <w:szCs w:val="20"/>
        </w:rPr>
        <w:t xml:space="preserve"> que produzcan un volumen suficiente para satisfacer una necesidad específica del mercado (por ejemplo, un volumen pequeño puede ser aceptable si satisface plenamente las necesidades de una enfermedad rara con una población de pacientes limitada) o que contribuyan significativamente a cubrir las necesidades de suministro del mercado estadounidense.</w:t>
      </w:r>
    </w:p>
    <w:p w14:paraId="0A9D85CF" w14:textId="77777777" w:rsidR="006920D8" w:rsidRPr="00EC12E5" w:rsidRDefault="006920D8" w:rsidP="006920D8">
      <w:pPr>
        <w:contextualSpacing/>
        <w:outlineLvl w:val="0"/>
        <w:rPr>
          <w:rFonts w:eastAsia="Times New Roman" w:cs="Times New Roman"/>
          <w:b/>
          <w:bCs/>
          <w:szCs w:val="20"/>
        </w:rPr>
      </w:pPr>
    </w:p>
    <w:p w14:paraId="58230C12" w14:textId="77777777" w:rsidR="006920D8" w:rsidRDefault="006920D8" w:rsidP="006920D8">
      <w:pPr>
        <w:contextualSpacing/>
        <w:outlineLvl w:val="0"/>
        <w:rPr>
          <w:rFonts w:eastAsia="Times New Roman" w:cs="Times New Roman"/>
          <w:szCs w:val="20"/>
        </w:rPr>
      </w:pPr>
      <w:r w:rsidRPr="009A671C">
        <w:rPr>
          <w:rFonts w:eastAsia="Times New Roman" w:cs="Times New Roman"/>
          <w:b/>
          <w:bCs/>
          <w:szCs w:val="20"/>
        </w:rPr>
        <w:t>Compromisos de postulación:</w:t>
      </w:r>
      <w:r>
        <w:rPr>
          <w:rFonts w:eastAsia="Times New Roman" w:cs="Times New Roman"/>
          <w:szCs w:val="20"/>
        </w:rPr>
        <w:t xml:space="preserve"> </w:t>
      </w:r>
      <w:r w:rsidRPr="009A671C">
        <w:rPr>
          <w:rFonts w:eastAsia="Times New Roman" w:cs="Times New Roman"/>
          <w:szCs w:val="20"/>
        </w:rPr>
        <w:t xml:space="preserve">[Las empresas que se postulen] </w:t>
      </w:r>
      <w:r>
        <w:rPr>
          <w:rFonts w:eastAsia="Times New Roman" w:cs="Times New Roman"/>
          <w:szCs w:val="20"/>
        </w:rPr>
        <w:t>se comprometen</w:t>
      </w:r>
      <w:r w:rsidRPr="009A671C">
        <w:rPr>
          <w:rFonts w:eastAsia="Times New Roman" w:cs="Times New Roman"/>
          <w:szCs w:val="20"/>
        </w:rPr>
        <w:t xml:space="preserve"> presentar </w:t>
      </w:r>
      <w:r>
        <w:rPr>
          <w:rFonts w:eastAsia="Times New Roman" w:cs="Times New Roman"/>
          <w:szCs w:val="20"/>
        </w:rPr>
        <w:t>al menos una de las siguientes solicitudes</w:t>
      </w:r>
      <w:r w:rsidRPr="009A671C">
        <w:rPr>
          <w:rFonts w:eastAsia="Times New Roman" w:cs="Times New Roman"/>
          <w:szCs w:val="20"/>
        </w:rPr>
        <w:t xml:space="preserve">: </w:t>
      </w:r>
    </w:p>
    <w:p w14:paraId="5392FF61" w14:textId="77777777" w:rsidR="006920D8" w:rsidRPr="009A671C" w:rsidRDefault="006920D8" w:rsidP="006920D8">
      <w:pPr>
        <w:contextualSpacing/>
        <w:outlineLvl w:val="0"/>
        <w:rPr>
          <w:rFonts w:eastAsia="Times New Roman" w:cs="Times New Roman"/>
          <w:szCs w:val="20"/>
        </w:rPr>
      </w:pPr>
    </w:p>
    <w:p w14:paraId="495C1B35" w14:textId="77777777" w:rsidR="006920D8" w:rsidRDefault="006920D8" w:rsidP="002478D5">
      <w:pPr>
        <w:pStyle w:val="Prrafodelista"/>
        <w:numPr>
          <w:ilvl w:val="0"/>
          <w:numId w:val="20"/>
        </w:numPr>
        <w:ind w:left="180" w:hanging="180"/>
        <w:outlineLvl w:val="0"/>
        <w:rPr>
          <w:rFonts w:eastAsia="Times New Roman" w:cs="Times New Roman"/>
          <w:color w:val="000000" w:themeColor="text1"/>
          <w:szCs w:val="20"/>
        </w:rPr>
      </w:pPr>
      <w:r w:rsidRPr="009A671C">
        <w:rPr>
          <w:rFonts w:eastAsia="Times New Roman" w:cs="Times New Roman"/>
          <w:szCs w:val="20"/>
        </w:rPr>
        <w:t xml:space="preserve">Solicitud de </w:t>
      </w:r>
      <w:r>
        <w:rPr>
          <w:rFonts w:eastAsia="Times New Roman" w:cs="Times New Roman"/>
          <w:szCs w:val="20"/>
        </w:rPr>
        <w:t xml:space="preserve">comercialización de un </w:t>
      </w:r>
      <w:r w:rsidRPr="009A671C">
        <w:rPr>
          <w:rFonts w:eastAsia="Times New Roman" w:cs="Times New Roman"/>
          <w:szCs w:val="20"/>
        </w:rPr>
        <w:t xml:space="preserve">Medicamento Nuevo (NDA, </w:t>
      </w:r>
      <w:r w:rsidRPr="009A671C">
        <w:rPr>
          <w:rFonts w:eastAsia="Times New Roman" w:cs="Times New Roman"/>
          <w:i/>
          <w:iCs/>
          <w:color w:val="000000" w:themeColor="text1"/>
          <w:szCs w:val="20"/>
        </w:rPr>
        <w:t xml:space="preserve">New </w:t>
      </w:r>
      <w:proofErr w:type="spellStart"/>
      <w:r w:rsidRPr="009A671C">
        <w:rPr>
          <w:rFonts w:eastAsia="Times New Roman" w:cs="Times New Roman"/>
          <w:i/>
          <w:iCs/>
          <w:color w:val="000000" w:themeColor="text1"/>
          <w:szCs w:val="20"/>
        </w:rPr>
        <w:t>Drug</w:t>
      </w:r>
      <w:proofErr w:type="spellEnd"/>
      <w:r w:rsidRPr="009A671C">
        <w:rPr>
          <w:rFonts w:eastAsia="Times New Roman" w:cs="Times New Roman"/>
          <w:i/>
          <w:iCs/>
          <w:color w:val="000000" w:themeColor="text1"/>
          <w:szCs w:val="20"/>
        </w:rPr>
        <w:t xml:space="preserve"> </w:t>
      </w:r>
      <w:proofErr w:type="spellStart"/>
      <w:r w:rsidRPr="009A671C">
        <w:rPr>
          <w:rFonts w:eastAsia="Times New Roman" w:cs="Times New Roman"/>
          <w:i/>
          <w:iCs/>
          <w:color w:val="000000" w:themeColor="text1"/>
          <w:szCs w:val="20"/>
        </w:rPr>
        <w:t>Application</w:t>
      </w:r>
      <w:proofErr w:type="spellEnd"/>
      <w:r w:rsidRPr="009A671C">
        <w:rPr>
          <w:rFonts w:eastAsia="Times New Roman" w:cs="Times New Roman"/>
          <w:color w:val="000000" w:themeColor="text1"/>
          <w:szCs w:val="20"/>
        </w:rPr>
        <w:t xml:space="preserve">), </w:t>
      </w:r>
    </w:p>
    <w:p w14:paraId="6D8C9A77" w14:textId="77777777" w:rsidR="006920D8" w:rsidRPr="009A671C" w:rsidRDefault="006920D8" w:rsidP="006920D8">
      <w:pPr>
        <w:pStyle w:val="Prrafodelista"/>
        <w:ind w:left="180" w:hanging="180"/>
        <w:outlineLvl w:val="0"/>
        <w:rPr>
          <w:rFonts w:eastAsia="Times New Roman" w:cs="Times New Roman"/>
          <w:color w:val="000000" w:themeColor="text1"/>
          <w:szCs w:val="20"/>
        </w:rPr>
      </w:pPr>
    </w:p>
    <w:p w14:paraId="460EBBBE" w14:textId="77777777" w:rsidR="006920D8" w:rsidRDefault="006920D8" w:rsidP="002478D5">
      <w:pPr>
        <w:pStyle w:val="Prrafodelista"/>
        <w:numPr>
          <w:ilvl w:val="0"/>
          <w:numId w:val="20"/>
        </w:numPr>
        <w:ind w:left="180" w:hanging="180"/>
        <w:outlineLvl w:val="0"/>
        <w:rPr>
          <w:rFonts w:eastAsia="Times New Roman" w:cs="Times New Roman"/>
          <w:color w:val="000000" w:themeColor="text1"/>
          <w:szCs w:val="20"/>
        </w:rPr>
      </w:pPr>
      <w:r w:rsidRPr="009A671C">
        <w:rPr>
          <w:rFonts w:eastAsia="Times New Roman" w:cs="Times New Roman"/>
          <w:color w:val="000000" w:themeColor="text1"/>
          <w:szCs w:val="20"/>
        </w:rPr>
        <w:lastRenderedPageBreak/>
        <w:t xml:space="preserve">Solicitud Abreviada de Medicamento Nuevo (ANDA, </w:t>
      </w:r>
      <w:proofErr w:type="spellStart"/>
      <w:r w:rsidRPr="009A671C">
        <w:rPr>
          <w:rFonts w:eastAsia="Times New Roman" w:cs="Times New Roman"/>
          <w:i/>
          <w:iCs/>
          <w:color w:val="000000" w:themeColor="text1"/>
          <w:szCs w:val="20"/>
        </w:rPr>
        <w:t>Abbreviated</w:t>
      </w:r>
      <w:proofErr w:type="spellEnd"/>
      <w:r w:rsidRPr="009A671C">
        <w:rPr>
          <w:rFonts w:eastAsia="Times New Roman" w:cs="Times New Roman"/>
          <w:i/>
          <w:iCs/>
          <w:color w:val="000000" w:themeColor="text1"/>
          <w:szCs w:val="20"/>
        </w:rPr>
        <w:t xml:space="preserve"> New </w:t>
      </w:r>
      <w:proofErr w:type="spellStart"/>
      <w:r w:rsidRPr="009A671C">
        <w:rPr>
          <w:rFonts w:eastAsia="Times New Roman" w:cs="Times New Roman"/>
          <w:i/>
          <w:iCs/>
          <w:color w:val="000000" w:themeColor="text1"/>
          <w:szCs w:val="20"/>
        </w:rPr>
        <w:t>Drug</w:t>
      </w:r>
      <w:proofErr w:type="spellEnd"/>
      <w:r w:rsidRPr="009A671C">
        <w:rPr>
          <w:rFonts w:eastAsia="Times New Roman" w:cs="Times New Roman"/>
          <w:i/>
          <w:iCs/>
          <w:color w:val="000000" w:themeColor="text1"/>
          <w:szCs w:val="20"/>
        </w:rPr>
        <w:t xml:space="preserve"> </w:t>
      </w:r>
      <w:proofErr w:type="spellStart"/>
      <w:r w:rsidRPr="009A671C">
        <w:rPr>
          <w:rFonts w:eastAsia="Times New Roman" w:cs="Times New Roman"/>
          <w:i/>
          <w:iCs/>
          <w:color w:val="000000" w:themeColor="text1"/>
          <w:szCs w:val="20"/>
        </w:rPr>
        <w:t>Application</w:t>
      </w:r>
      <w:proofErr w:type="spellEnd"/>
      <w:r w:rsidRPr="009A671C">
        <w:rPr>
          <w:rFonts w:eastAsia="Times New Roman" w:cs="Times New Roman"/>
          <w:color w:val="000000" w:themeColor="text1"/>
          <w:szCs w:val="20"/>
        </w:rPr>
        <w:t xml:space="preserve">), </w:t>
      </w:r>
    </w:p>
    <w:p w14:paraId="3E45533F" w14:textId="77777777" w:rsidR="006920D8" w:rsidRPr="007408DB" w:rsidRDefault="006920D8" w:rsidP="006920D8">
      <w:pPr>
        <w:ind w:left="180" w:hanging="180"/>
        <w:outlineLvl w:val="0"/>
        <w:rPr>
          <w:rFonts w:eastAsia="Times New Roman" w:cs="Times New Roman"/>
          <w:color w:val="000000" w:themeColor="text1"/>
          <w:szCs w:val="20"/>
        </w:rPr>
      </w:pPr>
    </w:p>
    <w:p w14:paraId="04976EF5" w14:textId="77777777" w:rsidR="006920D8" w:rsidRDefault="006920D8" w:rsidP="002478D5">
      <w:pPr>
        <w:pStyle w:val="Prrafodelista"/>
        <w:numPr>
          <w:ilvl w:val="0"/>
          <w:numId w:val="20"/>
        </w:numPr>
        <w:ind w:left="180" w:hanging="180"/>
        <w:outlineLvl w:val="0"/>
        <w:rPr>
          <w:rFonts w:eastAsia="Times New Roman" w:cs="Times New Roman"/>
          <w:color w:val="000000" w:themeColor="text1"/>
          <w:szCs w:val="20"/>
        </w:rPr>
      </w:pPr>
      <w:r w:rsidRPr="009A671C">
        <w:rPr>
          <w:rFonts w:eastAsia="Times New Roman" w:cs="Times New Roman"/>
          <w:color w:val="000000" w:themeColor="text1"/>
          <w:szCs w:val="20"/>
        </w:rPr>
        <w:t xml:space="preserve">Solicitud de Licencia para Productos Biológicos (BLA, </w:t>
      </w:r>
      <w:proofErr w:type="spellStart"/>
      <w:r w:rsidRPr="009A671C">
        <w:rPr>
          <w:rFonts w:eastAsia="Times New Roman" w:cs="Times New Roman"/>
          <w:i/>
          <w:iCs/>
          <w:color w:val="000000" w:themeColor="text1"/>
          <w:szCs w:val="20"/>
        </w:rPr>
        <w:t>Biologics</w:t>
      </w:r>
      <w:proofErr w:type="spellEnd"/>
      <w:r w:rsidRPr="009A671C">
        <w:rPr>
          <w:rFonts w:eastAsia="Times New Roman" w:cs="Times New Roman"/>
          <w:i/>
          <w:iCs/>
          <w:color w:val="000000" w:themeColor="text1"/>
          <w:szCs w:val="20"/>
        </w:rPr>
        <w:t xml:space="preserve"> </w:t>
      </w:r>
      <w:proofErr w:type="spellStart"/>
      <w:r w:rsidRPr="009A671C">
        <w:rPr>
          <w:rFonts w:eastAsia="Times New Roman" w:cs="Times New Roman"/>
          <w:i/>
          <w:iCs/>
          <w:color w:val="000000" w:themeColor="text1"/>
          <w:szCs w:val="20"/>
        </w:rPr>
        <w:t>License</w:t>
      </w:r>
      <w:proofErr w:type="spellEnd"/>
      <w:r w:rsidRPr="009A671C">
        <w:rPr>
          <w:rFonts w:eastAsia="Times New Roman" w:cs="Times New Roman"/>
          <w:i/>
          <w:iCs/>
          <w:color w:val="000000" w:themeColor="text1"/>
          <w:szCs w:val="20"/>
        </w:rPr>
        <w:t xml:space="preserve"> </w:t>
      </w:r>
      <w:proofErr w:type="spellStart"/>
      <w:r w:rsidRPr="009A671C">
        <w:rPr>
          <w:rFonts w:eastAsia="Times New Roman" w:cs="Times New Roman"/>
          <w:i/>
          <w:iCs/>
          <w:color w:val="000000" w:themeColor="text1"/>
          <w:szCs w:val="20"/>
        </w:rPr>
        <w:t>Application</w:t>
      </w:r>
      <w:proofErr w:type="spellEnd"/>
      <w:r w:rsidRPr="009A671C">
        <w:rPr>
          <w:rFonts w:eastAsia="Times New Roman" w:cs="Times New Roman"/>
          <w:color w:val="000000" w:themeColor="text1"/>
          <w:szCs w:val="20"/>
        </w:rPr>
        <w:t xml:space="preserve">), </w:t>
      </w:r>
    </w:p>
    <w:p w14:paraId="40886307" w14:textId="77777777" w:rsidR="006920D8" w:rsidRPr="007408DB" w:rsidRDefault="006920D8" w:rsidP="006920D8">
      <w:pPr>
        <w:ind w:left="180" w:hanging="180"/>
        <w:outlineLvl w:val="0"/>
        <w:rPr>
          <w:rFonts w:eastAsia="Times New Roman" w:cs="Times New Roman"/>
          <w:color w:val="000000" w:themeColor="text1"/>
          <w:szCs w:val="20"/>
        </w:rPr>
      </w:pPr>
    </w:p>
    <w:p w14:paraId="4B4BDBF5" w14:textId="77777777" w:rsidR="006920D8" w:rsidRDefault="006920D8" w:rsidP="002478D5">
      <w:pPr>
        <w:pStyle w:val="Prrafodelista"/>
        <w:numPr>
          <w:ilvl w:val="0"/>
          <w:numId w:val="20"/>
        </w:numPr>
        <w:ind w:left="180" w:hanging="180"/>
        <w:outlineLvl w:val="0"/>
        <w:rPr>
          <w:rFonts w:eastAsia="Times New Roman" w:cs="Times New Roman"/>
          <w:color w:val="000000" w:themeColor="text1"/>
          <w:szCs w:val="20"/>
        </w:rPr>
      </w:pPr>
      <w:r w:rsidRPr="009A671C">
        <w:rPr>
          <w:rFonts w:eastAsia="Times New Roman" w:cs="Times New Roman"/>
          <w:color w:val="000000" w:themeColor="text1"/>
          <w:szCs w:val="20"/>
        </w:rPr>
        <w:t xml:space="preserve">Solicitud suplementaria para la sustancia </w:t>
      </w:r>
      <w:r>
        <w:rPr>
          <w:rFonts w:eastAsia="Times New Roman" w:cs="Times New Roman"/>
          <w:color w:val="000000" w:themeColor="text1"/>
          <w:szCs w:val="20"/>
        </w:rPr>
        <w:t>farmacológica</w:t>
      </w:r>
      <w:r w:rsidRPr="009A671C">
        <w:rPr>
          <w:rFonts w:eastAsia="Times New Roman" w:cs="Times New Roman"/>
          <w:color w:val="000000" w:themeColor="text1"/>
          <w:szCs w:val="20"/>
        </w:rPr>
        <w:t xml:space="preserve"> (DS, </w:t>
      </w:r>
      <w:proofErr w:type="spellStart"/>
      <w:r w:rsidRPr="009A671C">
        <w:rPr>
          <w:rFonts w:eastAsia="Times New Roman" w:cs="Times New Roman"/>
          <w:i/>
          <w:iCs/>
          <w:color w:val="000000" w:themeColor="text1"/>
          <w:szCs w:val="20"/>
        </w:rPr>
        <w:t>drug</w:t>
      </w:r>
      <w:proofErr w:type="spellEnd"/>
      <w:r w:rsidRPr="009A671C">
        <w:rPr>
          <w:rFonts w:eastAsia="Times New Roman" w:cs="Times New Roman"/>
          <w:i/>
          <w:iCs/>
          <w:color w:val="000000" w:themeColor="text1"/>
          <w:szCs w:val="20"/>
        </w:rPr>
        <w:t xml:space="preserve"> </w:t>
      </w:r>
      <w:proofErr w:type="spellStart"/>
      <w:r w:rsidRPr="009A671C">
        <w:rPr>
          <w:rFonts w:eastAsia="Times New Roman" w:cs="Times New Roman"/>
          <w:i/>
          <w:iCs/>
          <w:color w:val="000000" w:themeColor="text1"/>
          <w:szCs w:val="20"/>
        </w:rPr>
        <w:t>substance</w:t>
      </w:r>
      <w:proofErr w:type="spellEnd"/>
      <w:r w:rsidRPr="009A671C">
        <w:rPr>
          <w:rFonts w:eastAsia="Times New Roman" w:cs="Times New Roman"/>
          <w:color w:val="000000" w:themeColor="text1"/>
          <w:szCs w:val="20"/>
        </w:rPr>
        <w:t xml:space="preserve">), </w:t>
      </w:r>
    </w:p>
    <w:p w14:paraId="38422CBB" w14:textId="77777777" w:rsidR="006920D8" w:rsidRPr="007408DB" w:rsidRDefault="006920D8" w:rsidP="006920D8">
      <w:pPr>
        <w:ind w:left="180" w:hanging="180"/>
        <w:outlineLvl w:val="0"/>
        <w:rPr>
          <w:rFonts w:eastAsia="Times New Roman" w:cs="Times New Roman"/>
          <w:color w:val="000000" w:themeColor="text1"/>
          <w:szCs w:val="20"/>
        </w:rPr>
      </w:pPr>
    </w:p>
    <w:p w14:paraId="5DBADCE5" w14:textId="77777777" w:rsidR="006920D8" w:rsidRDefault="006920D8" w:rsidP="002478D5">
      <w:pPr>
        <w:pStyle w:val="Prrafodelista"/>
        <w:numPr>
          <w:ilvl w:val="0"/>
          <w:numId w:val="20"/>
        </w:numPr>
        <w:ind w:left="180" w:hanging="180"/>
        <w:outlineLvl w:val="0"/>
        <w:rPr>
          <w:rFonts w:eastAsia="Times New Roman" w:cs="Times New Roman"/>
          <w:szCs w:val="20"/>
        </w:rPr>
      </w:pPr>
      <w:r w:rsidRPr="007408DB">
        <w:rPr>
          <w:rFonts w:eastAsia="Times New Roman" w:cs="Times New Roman"/>
          <w:szCs w:val="20"/>
        </w:rPr>
        <w:t xml:space="preserve">Formas farmacéuticas terminadas </w:t>
      </w:r>
      <w:r w:rsidRPr="007408DB">
        <w:rPr>
          <w:rFonts w:eastAsia="Times New Roman" w:cs="Times New Roman"/>
          <w:color w:val="000000" w:themeColor="text1"/>
          <w:szCs w:val="20"/>
        </w:rPr>
        <w:t xml:space="preserve">(FFT) o Producto farmacéutico (DP, </w:t>
      </w:r>
      <w:proofErr w:type="spellStart"/>
      <w:r w:rsidRPr="007408DB">
        <w:rPr>
          <w:rFonts w:eastAsia="Times New Roman" w:cs="Times New Roman"/>
          <w:i/>
          <w:iCs/>
          <w:color w:val="000000" w:themeColor="text1"/>
          <w:szCs w:val="20"/>
        </w:rPr>
        <w:t>drug</w:t>
      </w:r>
      <w:proofErr w:type="spellEnd"/>
      <w:r w:rsidRPr="007408DB">
        <w:rPr>
          <w:rFonts w:eastAsia="Times New Roman" w:cs="Times New Roman"/>
          <w:i/>
          <w:iCs/>
          <w:color w:val="000000" w:themeColor="text1"/>
          <w:szCs w:val="20"/>
        </w:rPr>
        <w:t xml:space="preserve"> </w:t>
      </w:r>
      <w:proofErr w:type="spellStart"/>
      <w:r w:rsidRPr="007408DB">
        <w:rPr>
          <w:rFonts w:eastAsia="Times New Roman" w:cs="Times New Roman"/>
          <w:i/>
          <w:iCs/>
          <w:color w:val="000000" w:themeColor="text1"/>
          <w:szCs w:val="20"/>
        </w:rPr>
        <w:t>product</w:t>
      </w:r>
      <w:proofErr w:type="spellEnd"/>
      <w:r w:rsidRPr="007408DB">
        <w:rPr>
          <w:rFonts w:eastAsia="Times New Roman" w:cs="Times New Roman"/>
          <w:szCs w:val="20"/>
        </w:rPr>
        <w:t xml:space="preserve">) o </w:t>
      </w:r>
    </w:p>
    <w:p w14:paraId="64B92AA9" w14:textId="77777777" w:rsidR="006920D8" w:rsidRPr="007408DB" w:rsidRDefault="006920D8" w:rsidP="006920D8">
      <w:pPr>
        <w:ind w:left="180" w:hanging="180"/>
        <w:outlineLvl w:val="0"/>
        <w:rPr>
          <w:rFonts w:eastAsia="Times New Roman" w:cs="Times New Roman"/>
          <w:szCs w:val="20"/>
        </w:rPr>
      </w:pPr>
    </w:p>
    <w:p w14:paraId="2EA67DB2" w14:textId="77777777" w:rsidR="006920D8" w:rsidRPr="009A671C" w:rsidRDefault="006920D8" w:rsidP="002478D5">
      <w:pPr>
        <w:pStyle w:val="Prrafodelista"/>
        <w:numPr>
          <w:ilvl w:val="0"/>
          <w:numId w:val="20"/>
        </w:numPr>
        <w:ind w:left="180" w:hanging="180"/>
        <w:outlineLvl w:val="0"/>
        <w:rPr>
          <w:rFonts w:eastAsia="Times New Roman" w:cs="Times New Roman"/>
          <w:szCs w:val="20"/>
        </w:rPr>
      </w:pPr>
      <w:r>
        <w:rPr>
          <w:rFonts w:eastAsia="Times New Roman" w:cs="Times New Roman"/>
          <w:szCs w:val="20"/>
        </w:rPr>
        <w:t xml:space="preserve">Archivo Maestro del Producto </w:t>
      </w:r>
      <w:r w:rsidRPr="009A671C">
        <w:rPr>
          <w:rFonts w:eastAsia="Times New Roman" w:cs="Times New Roman"/>
          <w:szCs w:val="20"/>
        </w:rPr>
        <w:t xml:space="preserve">(DMF, </w:t>
      </w:r>
      <w:proofErr w:type="spellStart"/>
      <w:r w:rsidRPr="009A671C">
        <w:rPr>
          <w:rFonts w:eastAsia="Times New Roman" w:cs="Times New Roman"/>
          <w:i/>
          <w:iCs/>
          <w:szCs w:val="20"/>
        </w:rPr>
        <w:t>Drug</w:t>
      </w:r>
      <w:proofErr w:type="spellEnd"/>
      <w:r w:rsidRPr="009A671C">
        <w:rPr>
          <w:rFonts w:eastAsia="Times New Roman" w:cs="Times New Roman"/>
          <w:i/>
          <w:iCs/>
          <w:szCs w:val="20"/>
        </w:rPr>
        <w:t xml:space="preserve"> Master File</w:t>
      </w:r>
      <w:r w:rsidRPr="009A671C">
        <w:rPr>
          <w:rFonts w:eastAsia="Times New Roman" w:cs="Times New Roman"/>
          <w:szCs w:val="20"/>
        </w:rPr>
        <w:t xml:space="preserve">) Tipo II para </w:t>
      </w:r>
      <w:r>
        <w:rPr>
          <w:rFonts w:eastAsia="Times New Roman" w:cs="Times New Roman"/>
          <w:szCs w:val="20"/>
        </w:rPr>
        <w:t>ingredientes farmacéuticos activos</w:t>
      </w:r>
      <w:r w:rsidRPr="009A671C">
        <w:rPr>
          <w:rFonts w:eastAsia="Times New Roman" w:cs="Times New Roman"/>
          <w:szCs w:val="20"/>
        </w:rPr>
        <w:t xml:space="preserve"> (</w:t>
      </w:r>
      <w:r>
        <w:rPr>
          <w:rFonts w:eastAsia="Times New Roman" w:cs="Times New Roman"/>
          <w:szCs w:val="20"/>
        </w:rPr>
        <w:t>IFA</w:t>
      </w:r>
      <w:r w:rsidRPr="009A671C">
        <w:rPr>
          <w:rFonts w:eastAsia="Times New Roman" w:cs="Times New Roman"/>
          <w:szCs w:val="20"/>
        </w:rPr>
        <w:t xml:space="preserve">, </w:t>
      </w:r>
      <w:r w:rsidRPr="009A671C">
        <w:rPr>
          <w:rFonts w:eastAsia="Times New Roman" w:cs="Times New Roman"/>
          <w:i/>
          <w:iCs/>
          <w:szCs w:val="20"/>
        </w:rPr>
        <w:t xml:space="preserve">Active </w:t>
      </w:r>
      <w:proofErr w:type="spellStart"/>
      <w:r w:rsidRPr="009A671C">
        <w:rPr>
          <w:rFonts w:eastAsia="Times New Roman" w:cs="Times New Roman"/>
          <w:i/>
          <w:iCs/>
          <w:szCs w:val="20"/>
        </w:rPr>
        <w:t>Pharmaceutical</w:t>
      </w:r>
      <w:proofErr w:type="spellEnd"/>
      <w:r w:rsidRPr="009A671C">
        <w:rPr>
          <w:rFonts w:eastAsia="Times New Roman" w:cs="Times New Roman"/>
          <w:i/>
          <w:iCs/>
          <w:szCs w:val="20"/>
        </w:rPr>
        <w:t xml:space="preserve"> </w:t>
      </w:r>
      <w:proofErr w:type="spellStart"/>
      <w:r w:rsidRPr="009A671C">
        <w:rPr>
          <w:rFonts w:eastAsia="Times New Roman" w:cs="Times New Roman"/>
          <w:i/>
          <w:iCs/>
          <w:szCs w:val="20"/>
        </w:rPr>
        <w:t>Ingredient</w:t>
      </w:r>
      <w:proofErr w:type="spellEnd"/>
      <w:r w:rsidRPr="009A671C">
        <w:rPr>
          <w:rFonts w:eastAsia="Times New Roman" w:cs="Times New Roman"/>
          <w:szCs w:val="20"/>
        </w:rPr>
        <w:t xml:space="preserve">) para la nueva planta de </w:t>
      </w:r>
      <w:r>
        <w:rPr>
          <w:rFonts w:eastAsia="Times New Roman" w:cs="Times New Roman"/>
          <w:szCs w:val="20"/>
        </w:rPr>
        <w:t>manufactura</w:t>
      </w:r>
      <w:r w:rsidRPr="009A671C">
        <w:rPr>
          <w:rFonts w:eastAsia="Times New Roman" w:cs="Times New Roman"/>
          <w:szCs w:val="20"/>
        </w:rPr>
        <w:t xml:space="preserve"> durante el Programa Piloto </w:t>
      </w:r>
      <w:proofErr w:type="spellStart"/>
      <w:r w:rsidRPr="009A671C">
        <w:rPr>
          <w:rFonts w:eastAsia="Times New Roman" w:cs="Times New Roman"/>
          <w:szCs w:val="20"/>
        </w:rPr>
        <w:t>PreCheck</w:t>
      </w:r>
      <w:proofErr w:type="spellEnd"/>
      <w:r w:rsidRPr="009A671C">
        <w:rPr>
          <w:rFonts w:eastAsia="Times New Roman" w:cs="Times New Roman"/>
          <w:szCs w:val="20"/>
        </w:rPr>
        <w:t xml:space="preserve"> de la FDA. </w:t>
      </w:r>
    </w:p>
    <w:p w14:paraId="4430E982" w14:textId="77777777" w:rsidR="006920D8" w:rsidRPr="007408DB" w:rsidRDefault="006920D8" w:rsidP="006920D8">
      <w:pPr>
        <w:contextualSpacing/>
        <w:outlineLvl w:val="0"/>
        <w:rPr>
          <w:rFonts w:eastAsia="Times New Roman" w:cs="Times New Roman"/>
          <w:color w:val="EE0000"/>
          <w:szCs w:val="20"/>
          <w:lang w:val="es-ES"/>
        </w:rPr>
      </w:pPr>
    </w:p>
    <w:p w14:paraId="237B03E2" w14:textId="77777777" w:rsidR="006920D8" w:rsidRDefault="006920D8" w:rsidP="006920D8">
      <w:pPr>
        <w:rPr>
          <w:rFonts w:cs="Times New Roman"/>
          <w:szCs w:val="20"/>
        </w:rPr>
      </w:pPr>
      <w:r w:rsidRPr="009A671C">
        <w:rPr>
          <w:rFonts w:cs="Times New Roman"/>
          <w:szCs w:val="20"/>
        </w:rPr>
        <w:t xml:space="preserve">Las empresas también se comprometen a fabricar activamente productos en la planta evaluada </w:t>
      </w:r>
      <w:r>
        <w:rPr>
          <w:rFonts w:cs="Times New Roman"/>
          <w:szCs w:val="20"/>
        </w:rPr>
        <w:t>que formó</w:t>
      </w:r>
      <w:r w:rsidRPr="009A671C">
        <w:rPr>
          <w:rFonts w:cs="Times New Roman"/>
          <w:szCs w:val="20"/>
        </w:rPr>
        <w:t xml:space="preserve"> parte del programa piloto durante al menos tres años </w:t>
      </w:r>
      <w:r>
        <w:rPr>
          <w:rFonts w:cs="Times New Roman"/>
          <w:szCs w:val="20"/>
        </w:rPr>
        <w:t>tras recibir la autorización de comercialización de la FDA para</w:t>
      </w:r>
      <w:r w:rsidRPr="009A671C">
        <w:rPr>
          <w:rFonts w:cs="Times New Roman"/>
          <w:szCs w:val="20"/>
        </w:rPr>
        <w:t xml:space="preserve"> los productos fabricados en dicha planta durante la participación en el programa piloto. </w:t>
      </w:r>
      <w:r>
        <w:rPr>
          <w:rFonts w:cs="Times New Roman"/>
          <w:szCs w:val="20"/>
        </w:rPr>
        <w:t xml:space="preserve"> </w:t>
      </w:r>
    </w:p>
    <w:p w14:paraId="4150BEE8" w14:textId="77777777" w:rsidR="006920D8" w:rsidRPr="009A671C" w:rsidRDefault="006920D8" w:rsidP="006920D8">
      <w:pPr>
        <w:rPr>
          <w:rFonts w:cs="Times New Roman"/>
          <w:szCs w:val="20"/>
        </w:rPr>
      </w:pPr>
    </w:p>
    <w:p w14:paraId="51B8A0E6" w14:textId="77777777" w:rsidR="006920D8" w:rsidRPr="009A671C" w:rsidRDefault="006920D8" w:rsidP="006920D8">
      <w:pPr>
        <w:contextualSpacing/>
        <w:outlineLvl w:val="0"/>
        <w:rPr>
          <w:rFonts w:eastAsia="Times New Roman" w:cs="Times New Roman"/>
          <w:b/>
          <w:bCs/>
          <w:szCs w:val="20"/>
        </w:rPr>
      </w:pPr>
      <w:r w:rsidRPr="009A671C">
        <w:rPr>
          <w:rFonts w:eastAsia="Times New Roman" w:cs="Times New Roman"/>
          <w:b/>
          <w:bCs/>
          <w:szCs w:val="20"/>
        </w:rPr>
        <w:t>Criterios de selección y prioridades del Programa Piloto</w:t>
      </w:r>
    </w:p>
    <w:p w14:paraId="3301707F"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color w:val="0D0D0D" w:themeColor="text1" w:themeTint="F2"/>
          <w:szCs w:val="20"/>
        </w:rPr>
        <w:t xml:space="preserve">Estos criterios resaltan las prioridades del gobierno estadounidense para las nuevas instalaciones de fabricación farmacéutica. Las solicitudes deben cumplir al menos dos, </w:t>
      </w:r>
      <w:r>
        <w:rPr>
          <w:rFonts w:eastAsia="Times New Roman" w:cs="Times New Roman"/>
          <w:color w:val="0D0D0D" w:themeColor="text1" w:themeTint="F2"/>
          <w:szCs w:val="20"/>
        </w:rPr>
        <w:t>aunque podrían cumplirlos</w:t>
      </w:r>
      <w:r w:rsidRPr="009A671C">
        <w:rPr>
          <w:rFonts w:eastAsia="Times New Roman" w:cs="Times New Roman"/>
          <w:color w:val="0D0D0D" w:themeColor="text1" w:themeTint="F2"/>
          <w:szCs w:val="20"/>
        </w:rPr>
        <w:t xml:space="preserve"> todos,</w:t>
      </w:r>
      <w:r>
        <w:rPr>
          <w:rFonts w:eastAsia="Times New Roman" w:cs="Times New Roman"/>
          <w:color w:val="0D0D0D" w:themeColor="text1" w:themeTint="F2"/>
          <w:szCs w:val="20"/>
        </w:rPr>
        <w:t xml:space="preserve"> de</w:t>
      </w:r>
      <w:r w:rsidRPr="009A671C">
        <w:rPr>
          <w:rFonts w:eastAsia="Times New Roman" w:cs="Times New Roman"/>
          <w:color w:val="0D0D0D" w:themeColor="text1" w:themeTint="F2"/>
          <w:szCs w:val="20"/>
        </w:rPr>
        <w:t xml:space="preserve"> los siguientes criterios para ser consideradas en el proceso de evaluación y selección de la FDA </w:t>
      </w:r>
      <w:proofErr w:type="spellStart"/>
      <w:r w:rsidRPr="009A671C">
        <w:rPr>
          <w:rFonts w:eastAsia="Times New Roman" w:cs="Times New Roman"/>
          <w:color w:val="0D0D0D" w:themeColor="text1" w:themeTint="F2"/>
          <w:szCs w:val="20"/>
        </w:rPr>
        <w:t>PreCheck</w:t>
      </w:r>
      <w:proofErr w:type="spellEnd"/>
      <w:r w:rsidRPr="009A671C">
        <w:rPr>
          <w:rFonts w:eastAsia="Times New Roman" w:cs="Times New Roman"/>
          <w:color w:val="0D0D0D" w:themeColor="text1" w:themeTint="F2"/>
          <w:szCs w:val="20"/>
        </w:rPr>
        <w:t>.</w:t>
      </w:r>
    </w:p>
    <w:p w14:paraId="594582EA" w14:textId="77777777" w:rsidR="006920D8" w:rsidRPr="009A671C" w:rsidRDefault="006920D8" w:rsidP="006920D8">
      <w:pPr>
        <w:contextualSpacing/>
        <w:outlineLvl w:val="0"/>
        <w:rPr>
          <w:rFonts w:eastAsia="Times New Roman" w:cs="Times New Roman"/>
          <w:b/>
          <w:bCs/>
          <w:color w:val="0D0D0D" w:themeColor="text1" w:themeTint="F2"/>
          <w:szCs w:val="20"/>
        </w:rPr>
      </w:pPr>
    </w:p>
    <w:p w14:paraId="5ABC2F7C"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b/>
          <w:bCs/>
          <w:color w:val="0D0D0D" w:themeColor="text1" w:themeTint="F2"/>
          <w:szCs w:val="20"/>
        </w:rPr>
        <w:t>Fuente:</w:t>
      </w:r>
      <w:r>
        <w:rPr>
          <w:rFonts w:eastAsia="Times New Roman" w:cs="Times New Roman"/>
          <w:b/>
          <w:bCs/>
          <w:color w:val="0D0D0D" w:themeColor="text1" w:themeTint="F2"/>
          <w:szCs w:val="20"/>
        </w:rPr>
        <w:t xml:space="preserve"> </w:t>
      </w:r>
      <w:r w:rsidRPr="009A671C">
        <w:rPr>
          <w:rFonts w:eastAsia="Times New Roman" w:cs="Times New Roman"/>
          <w:color w:val="0D0D0D" w:themeColor="text1" w:themeTint="F2"/>
          <w:szCs w:val="20"/>
        </w:rPr>
        <w:t>La FDA dará prioridad a las instalaciones que fabriquen productos terminados/</w:t>
      </w:r>
      <w:r>
        <w:rPr>
          <w:rFonts w:eastAsia="Times New Roman" w:cs="Times New Roman"/>
          <w:color w:val="0D0D0D" w:themeColor="text1" w:themeTint="F2"/>
          <w:szCs w:val="20"/>
        </w:rPr>
        <w:t>FFT</w:t>
      </w:r>
      <w:r w:rsidRPr="009A671C">
        <w:rPr>
          <w:rFonts w:eastAsia="Times New Roman" w:cs="Times New Roman"/>
          <w:color w:val="0D0D0D" w:themeColor="text1" w:themeTint="F2"/>
          <w:szCs w:val="20"/>
        </w:rPr>
        <w:t xml:space="preserve"> estadounidenses utilizando </w:t>
      </w:r>
      <w:r>
        <w:rPr>
          <w:rFonts w:eastAsia="Times New Roman" w:cs="Times New Roman"/>
          <w:color w:val="0D0D0D" w:themeColor="text1" w:themeTint="F2"/>
          <w:szCs w:val="20"/>
        </w:rPr>
        <w:t>ingredientes farmacéuticos</w:t>
      </w:r>
      <w:r w:rsidRPr="009A671C">
        <w:rPr>
          <w:rFonts w:eastAsia="Times New Roman" w:cs="Times New Roman"/>
          <w:color w:val="0D0D0D" w:themeColor="text1" w:themeTint="F2"/>
          <w:szCs w:val="20"/>
        </w:rPr>
        <w:t xml:space="preserve"> activos</w:t>
      </w:r>
      <w:r>
        <w:rPr>
          <w:rFonts w:eastAsia="Times New Roman" w:cs="Times New Roman"/>
          <w:color w:val="0D0D0D" w:themeColor="text1" w:themeTint="F2"/>
          <w:szCs w:val="20"/>
        </w:rPr>
        <w:t xml:space="preserve"> (IFA)</w:t>
      </w:r>
      <w:r w:rsidRPr="009A671C">
        <w:rPr>
          <w:rFonts w:eastAsia="Times New Roman" w:cs="Times New Roman"/>
          <w:color w:val="0D0D0D" w:themeColor="text1" w:themeTint="F2"/>
          <w:szCs w:val="20"/>
        </w:rPr>
        <w:t>/</w:t>
      </w:r>
      <w:r>
        <w:rPr>
          <w:rFonts w:eastAsia="Times New Roman" w:cs="Times New Roman"/>
          <w:color w:val="0D0D0D" w:themeColor="text1" w:themeTint="F2"/>
          <w:szCs w:val="20"/>
        </w:rPr>
        <w:t xml:space="preserve"> sustancias farmacológicas</w:t>
      </w:r>
      <w:r w:rsidRPr="009A671C">
        <w:rPr>
          <w:rFonts w:eastAsia="Times New Roman" w:cs="Times New Roman"/>
          <w:color w:val="0D0D0D" w:themeColor="text1" w:themeTint="F2"/>
          <w:szCs w:val="20"/>
        </w:rPr>
        <w:t xml:space="preserve"> estadounidenses, o </w:t>
      </w:r>
      <w:r>
        <w:rPr>
          <w:rFonts w:eastAsia="Times New Roman" w:cs="Times New Roman"/>
          <w:color w:val="0D0D0D" w:themeColor="text1" w:themeTint="F2"/>
          <w:szCs w:val="20"/>
        </w:rPr>
        <w:t>IFA</w:t>
      </w:r>
      <w:r w:rsidRPr="009A671C">
        <w:rPr>
          <w:rFonts w:eastAsia="Times New Roman" w:cs="Times New Roman"/>
          <w:color w:val="0D0D0D" w:themeColor="text1" w:themeTint="F2"/>
          <w:szCs w:val="20"/>
        </w:rPr>
        <w:t xml:space="preserve">/sustancias </w:t>
      </w:r>
      <w:r>
        <w:rPr>
          <w:rFonts w:eastAsia="Times New Roman" w:cs="Times New Roman"/>
          <w:color w:val="0D0D0D" w:themeColor="text1" w:themeTint="F2"/>
          <w:szCs w:val="20"/>
        </w:rPr>
        <w:t>farmacológicas</w:t>
      </w:r>
      <w:r w:rsidRPr="009A671C">
        <w:rPr>
          <w:rFonts w:eastAsia="Times New Roman" w:cs="Times New Roman"/>
          <w:color w:val="0D0D0D" w:themeColor="text1" w:themeTint="F2"/>
          <w:szCs w:val="20"/>
        </w:rPr>
        <w:t xml:space="preserve"> estadounidenses </w:t>
      </w:r>
      <w:r>
        <w:rPr>
          <w:rFonts w:eastAsia="Times New Roman" w:cs="Times New Roman"/>
          <w:color w:val="0D0D0D" w:themeColor="text1" w:themeTint="F2"/>
          <w:szCs w:val="20"/>
        </w:rPr>
        <w:t xml:space="preserve">que </w:t>
      </w:r>
      <w:r w:rsidRPr="009A671C">
        <w:rPr>
          <w:rFonts w:eastAsia="Times New Roman" w:cs="Times New Roman"/>
          <w:color w:val="0D0D0D" w:themeColor="text1" w:themeTint="F2"/>
          <w:szCs w:val="20"/>
        </w:rPr>
        <w:t>utili</w:t>
      </w:r>
      <w:r>
        <w:rPr>
          <w:rFonts w:eastAsia="Times New Roman" w:cs="Times New Roman"/>
          <w:color w:val="0D0D0D" w:themeColor="text1" w:themeTint="F2"/>
          <w:szCs w:val="20"/>
        </w:rPr>
        <w:t>cen</w:t>
      </w:r>
      <w:r w:rsidRPr="009A671C">
        <w:rPr>
          <w:rFonts w:eastAsia="Times New Roman" w:cs="Times New Roman"/>
          <w:color w:val="0D0D0D" w:themeColor="text1" w:themeTint="F2"/>
          <w:szCs w:val="20"/>
        </w:rPr>
        <w:t xml:space="preserve"> materias primas clave de EE UU. Se tendrán en cuenta las solicitudes FDA </w:t>
      </w:r>
      <w:proofErr w:type="spellStart"/>
      <w:r>
        <w:rPr>
          <w:rFonts w:eastAsia="Times New Roman" w:cs="Times New Roman"/>
          <w:color w:val="0D0D0D" w:themeColor="text1" w:themeTint="F2"/>
          <w:szCs w:val="20"/>
        </w:rPr>
        <w:t>PreCheck</w:t>
      </w:r>
      <w:proofErr w:type="spellEnd"/>
      <w:r>
        <w:rPr>
          <w:rFonts w:eastAsia="Times New Roman" w:cs="Times New Roman"/>
          <w:color w:val="0D0D0D" w:themeColor="text1" w:themeTint="F2"/>
          <w:szCs w:val="20"/>
        </w:rPr>
        <w:t xml:space="preserve"> </w:t>
      </w:r>
      <w:r w:rsidRPr="009A671C">
        <w:rPr>
          <w:rFonts w:eastAsia="Times New Roman" w:cs="Times New Roman"/>
          <w:color w:val="0D0D0D" w:themeColor="text1" w:themeTint="F2"/>
          <w:szCs w:val="20"/>
        </w:rPr>
        <w:t xml:space="preserve">que </w:t>
      </w:r>
      <w:r>
        <w:rPr>
          <w:rFonts w:eastAsia="Times New Roman" w:cs="Times New Roman"/>
          <w:color w:val="0D0D0D" w:themeColor="text1" w:themeTint="F2"/>
          <w:szCs w:val="20"/>
        </w:rPr>
        <w:t>utilicen</w:t>
      </w:r>
      <w:r w:rsidRPr="009A671C">
        <w:rPr>
          <w:rFonts w:eastAsia="Times New Roman" w:cs="Times New Roman"/>
          <w:color w:val="0D0D0D" w:themeColor="text1" w:themeTint="F2"/>
          <w:szCs w:val="20"/>
        </w:rPr>
        <w:t xml:space="preserve"> un</w:t>
      </w:r>
      <w:r>
        <w:rPr>
          <w:rFonts w:eastAsia="Times New Roman" w:cs="Times New Roman"/>
          <w:color w:val="0D0D0D" w:themeColor="text1" w:themeTint="F2"/>
          <w:szCs w:val="20"/>
        </w:rPr>
        <w:t xml:space="preserve">a estrategia </w:t>
      </w:r>
      <w:r w:rsidRPr="009A671C">
        <w:rPr>
          <w:rFonts w:eastAsia="Times New Roman" w:cs="Times New Roman"/>
          <w:color w:val="0D0D0D" w:themeColor="text1" w:themeTint="F2"/>
          <w:szCs w:val="20"/>
        </w:rPr>
        <w:t>sólid</w:t>
      </w:r>
      <w:r>
        <w:rPr>
          <w:rFonts w:eastAsia="Times New Roman" w:cs="Times New Roman"/>
          <w:color w:val="0D0D0D" w:themeColor="text1" w:themeTint="F2"/>
          <w:szCs w:val="20"/>
        </w:rPr>
        <w:t>a</w:t>
      </w:r>
      <w:r w:rsidRPr="009A671C">
        <w:rPr>
          <w:rFonts w:eastAsia="Times New Roman" w:cs="Times New Roman"/>
          <w:color w:val="0D0D0D" w:themeColor="text1" w:themeTint="F2"/>
          <w:szCs w:val="20"/>
        </w:rPr>
        <w:t xml:space="preserve"> para el abastecimiento nacional mediante </w:t>
      </w:r>
      <w:r>
        <w:rPr>
          <w:rFonts w:eastAsia="Times New Roman" w:cs="Times New Roman"/>
          <w:color w:val="0D0D0D" w:themeColor="text1" w:themeTint="F2"/>
          <w:szCs w:val="20"/>
        </w:rPr>
        <w:t>alianzas</w:t>
      </w:r>
      <w:r w:rsidRPr="009A671C">
        <w:rPr>
          <w:rFonts w:eastAsia="Times New Roman" w:cs="Times New Roman"/>
          <w:color w:val="0D0D0D" w:themeColor="text1" w:themeTint="F2"/>
          <w:szCs w:val="20"/>
        </w:rPr>
        <w:t xml:space="preserve"> comprobadas o compromisos internos.</w:t>
      </w:r>
    </w:p>
    <w:p w14:paraId="00769825" w14:textId="77777777" w:rsidR="006920D8" w:rsidRPr="009A671C" w:rsidRDefault="006920D8" w:rsidP="006920D8">
      <w:pPr>
        <w:contextualSpacing/>
        <w:outlineLvl w:val="0"/>
        <w:rPr>
          <w:rFonts w:eastAsia="Times New Roman" w:cs="Times New Roman"/>
          <w:b/>
          <w:bCs/>
          <w:color w:val="0D0D0D" w:themeColor="text1" w:themeTint="F2"/>
          <w:szCs w:val="20"/>
        </w:rPr>
      </w:pPr>
    </w:p>
    <w:p w14:paraId="60B76CBA"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b/>
          <w:bCs/>
          <w:color w:val="0D0D0D" w:themeColor="text1" w:themeTint="F2"/>
          <w:szCs w:val="20"/>
        </w:rPr>
        <w:t>Productos:</w:t>
      </w:r>
      <w:r>
        <w:rPr>
          <w:rFonts w:eastAsia="Times New Roman" w:cs="Times New Roman"/>
          <w:color w:val="0D0D0D" w:themeColor="text1" w:themeTint="F2"/>
          <w:szCs w:val="20"/>
        </w:rPr>
        <w:t xml:space="preserve"> </w:t>
      </w:r>
      <w:r w:rsidRPr="009A671C">
        <w:rPr>
          <w:rFonts w:eastAsia="Times New Roman" w:cs="Times New Roman"/>
          <w:color w:val="0D0D0D" w:themeColor="text1" w:themeTint="F2"/>
          <w:szCs w:val="20"/>
        </w:rPr>
        <w:t xml:space="preserve">El programa piloto FDA </w:t>
      </w:r>
      <w:proofErr w:type="spellStart"/>
      <w:r w:rsidRPr="009A671C">
        <w:rPr>
          <w:rFonts w:eastAsia="Times New Roman" w:cs="Times New Roman"/>
          <w:color w:val="0D0D0D" w:themeColor="text1" w:themeTint="F2"/>
          <w:szCs w:val="20"/>
        </w:rPr>
        <w:t>PreCheck</w:t>
      </w:r>
      <w:proofErr w:type="spellEnd"/>
      <w:r w:rsidRPr="009A671C">
        <w:rPr>
          <w:rFonts w:eastAsia="Times New Roman" w:cs="Times New Roman"/>
          <w:color w:val="0D0D0D" w:themeColor="text1" w:themeTint="F2"/>
          <w:szCs w:val="20"/>
        </w:rPr>
        <w:t xml:space="preserve"> considerará las solicitudes de una instalación que fabrique una variedad de productos en diversas especiali</w:t>
      </w:r>
      <w:r>
        <w:rPr>
          <w:rFonts w:eastAsia="Times New Roman" w:cs="Times New Roman"/>
          <w:color w:val="0D0D0D" w:themeColor="text1" w:themeTint="F2"/>
          <w:szCs w:val="20"/>
        </w:rPr>
        <w:t>dades</w:t>
      </w:r>
      <w:r w:rsidRPr="009A671C">
        <w:rPr>
          <w:rFonts w:eastAsia="Times New Roman" w:cs="Times New Roman"/>
          <w:color w:val="0D0D0D" w:themeColor="text1" w:themeTint="F2"/>
          <w:szCs w:val="20"/>
        </w:rPr>
        <w:t xml:space="preserve"> y áreas terapéuticas, incluyendo </w:t>
      </w:r>
      <w:r>
        <w:rPr>
          <w:rFonts w:eastAsia="Times New Roman" w:cs="Times New Roman"/>
          <w:color w:val="0D0D0D" w:themeColor="text1" w:themeTint="F2"/>
          <w:szCs w:val="20"/>
        </w:rPr>
        <w:t>IFA</w:t>
      </w:r>
      <w:r w:rsidRPr="009A671C">
        <w:rPr>
          <w:rFonts w:eastAsia="Times New Roman" w:cs="Times New Roman"/>
          <w:color w:val="0D0D0D" w:themeColor="text1" w:themeTint="F2"/>
          <w:szCs w:val="20"/>
        </w:rPr>
        <w:t>/</w:t>
      </w:r>
      <w:r>
        <w:rPr>
          <w:rFonts w:eastAsia="Times New Roman" w:cs="Times New Roman"/>
          <w:color w:val="0D0D0D" w:themeColor="text1" w:themeTint="F2"/>
          <w:szCs w:val="20"/>
        </w:rPr>
        <w:t>sustancias farmacológicas</w:t>
      </w:r>
      <w:r w:rsidRPr="009A671C">
        <w:rPr>
          <w:rFonts w:eastAsia="Times New Roman" w:cs="Times New Roman"/>
          <w:color w:val="0D0D0D" w:themeColor="text1" w:themeTint="F2"/>
          <w:szCs w:val="20"/>
        </w:rPr>
        <w:t xml:space="preserve">, </w:t>
      </w:r>
      <w:r>
        <w:rPr>
          <w:rFonts w:eastAsia="Times New Roman" w:cs="Times New Roman"/>
          <w:color w:val="0D0D0D" w:themeColor="text1" w:themeTint="F2"/>
          <w:szCs w:val="20"/>
        </w:rPr>
        <w:t>FFT</w:t>
      </w:r>
      <w:r w:rsidRPr="009A671C">
        <w:rPr>
          <w:rFonts w:eastAsia="Times New Roman" w:cs="Times New Roman"/>
          <w:color w:val="0D0D0D" w:themeColor="text1" w:themeTint="F2"/>
          <w:szCs w:val="20"/>
        </w:rPr>
        <w:t>/</w:t>
      </w:r>
      <w:r>
        <w:rPr>
          <w:rFonts w:eastAsia="Times New Roman" w:cs="Times New Roman"/>
          <w:color w:val="0D0D0D" w:themeColor="text1" w:themeTint="F2"/>
          <w:szCs w:val="20"/>
        </w:rPr>
        <w:t>producto farmacéutico</w:t>
      </w:r>
      <w:r w:rsidRPr="009A671C">
        <w:rPr>
          <w:rFonts w:eastAsia="Times New Roman" w:cs="Times New Roman"/>
          <w:color w:val="0D0D0D" w:themeColor="text1" w:themeTint="F2"/>
          <w:szCs w:val="20"/>
        </w:rPr>
        <w:t xml:space="preserve">, inyectables estériles u otros productos farmacéuticos especializados que fortalezcan la cadena de suministro farmacéutico de EE UU o que mejoren el acceso de los pacientes a terapias novedosas </w:t>
      </w:r>
      <w:r>
        <w:rPr>
          <w:rFonts w:eastAsia="Times New Roman" w:cs="Times New Roman"/>
          <w:color w:val="0D0D0D" w:themeColor="text1" w:themeTint="F2"/>
          <w:szCs w:val="20"/>
        </w:rPr>
        <w:t xml:space="preserve">que aborden </w:t>
      </w:r>
      <w:r w:rsidRPr="009A671C">
        <w:rPr>
          <w:rFonts w:eastAsia="Times New Roman" w:cs="Times New Roman"/>
          <w:color w:val="0D0D0D" w:themeColor="text1" w:themeTint="F2"/>
          <w:szCs w:val="20"/>
        </w:rPr>
        <w:t xml:space="preserve">necesidades no satisfechas que beneficien a los pacientes estadounidenses. </w:t>
      </w:r>
    </w:p>
    <w:p w14:paraId="77D2F8A1" w14:textId="77777777" w:rsidR="006920D8" w:rsidRPr="009A671C" w:rsidRDefault="006920D8" w:rsidP="006920D8">
      <w:pPr>
        <w:contextualSpacing/>
        <w:outlineLvl w:val="0"/>
        <w:rPr>
          <w:rFonts w:eastAsia="Times New Roman" w:cs="Times New Roman"/>
          <w:color w:val="0D0D0D" w:themeColor="text1" w:themeTint="F2"/>
          <w:szCs w:val="20"/>
        </w:rPr>
      </w:pPr>
    </w:p>
    <w:p w14:paraId="739934B7" w14:textId="77777777" w:rsidR="006920D8"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color w:val="0D0D0D" w:themeColor="text1" w:themeTint="F2"/>
          <w:szCs w:val="20"/>
        </w:rPr>
        <w:t xml:space="preserve">Se podrá dar prioridad a las instalaciones que </w:t>
      </w:r>
      <w:r>
        <w:rPr>
          <w:rFonts w:eastAsia="Times New Roman" w:cs="Times New Roman"/>
          <w:color w:val="0D0D0D" w:themeColor="text1" w:themeTint="F2"/>
          <w:szCs w:val="20"/>
        </w:rPr>
        <w:t>manufacturen</w:t>
      </w:r>
      <w:r w:rsidRPr="009A671C">
        <w:rPr>
          <w:rFonts w:eastAsia="Times New Roman" w:cs="Times New Roman"/>
          <w:color w:val="0D0D0D" w:themeColor="text1" w:themeTint="F2"/>
          <w:szCs w:val="20"/>
        </w:rPr>
        <w:t xml:space="preserve"> productos que aborden la escasez de medicamentos, medicamentos críticos o vulnerabilidades clave en la cadena de suministro, como los productos farmacéuticos estériles, parenterales de gran volumen u otros medicamentos terapéuticamente esenciales </w:t>
      </w:r>
      <w:r>
        <w:rPr>
          <w:rFonts w:eastAsia="Times New Roman" w:cs="Times New Roman"/>
          <w:color w:val="0D0D0D" w:themeColor="text1" w:themeTint="F2"/>
          <w:szCs w:val="20"/>
        </w:rPr>
        <w:t>que figuren</w:t>
      </w:r>
      <w:r w:rsidRPr="009A671C">
        <w:rPr>
          <w:rFonts w:eastAsia="Times New Roman" w:cs="Times New Roman"/>
          <w:color w:val="0D0D0D" w:themeColor="text1" w:themeTint="F2"/>
          <w:szCs w:val="20"/>
        </w:rPr>
        <w:t xml:space="preserve"> en las listas de escasez o designaciones de medicamentos críticos de la FDA. </w:t>
      </w:r>
    </w:p>
    <w:p w14:paraId="578856FA" w14:textId="77777777" w:rsidR="006920D8" w:rsidRPr="009A671C" w:rsidRDefault="006920D8" w:rsidP="006920D8">
      <w:pPr>
        <w:contextualSpacing/>
        <w:outlineLvl w:val="0"/>
        <w:rPr>
          <w:rFonts w:eastAsia="Times New Roman" w:cs="Times New Roman"/>
          <w:color w:val="0D0D0D" w:themeColor="text1" w:themeTint="F2"/>
          <w:szCs w:val="20"/>
        </w:rPr>
      </w:pPr>
    </w:p>
    <w:p w14:paraId="247D9076"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color w:val="0D0D0D" w:themeColor="text1" w:themeTint="F2"/>
          <w:szCs w:val="20"/>
        </w:rPr>
        <w:t xml:space="preserve">Se considerarán las instalaciones diseñadas </w:t>
      </w:r>
      <w:r>
        <w:rPr>
          <w:rFonts w:eastAsia="Times New Roman" w:cs="Times New Roman"/>
          <w:color w:val="0D0D0D" w:themeColor="text1" w:themeTint="F2"/>
          <w:szCs w:val="20"/>
        </w:rPr>
        <w:t>para la</w:t>
      </w:r>
      <w:r w:rsidRPr="009A671C">
        <w:rPr>
          <w:rFonts w:eastAsia="Times New Roman" w:cs="Times New Roman"/>
          <w:color w:val="0D0D0D" w:themeColor="text1" w:themeTint="F2"/>
          <w:szCs w:val="20"/>
        </w:rPr>
        <w:t xml:space="preserve"> fabricación</w:t>
      </w:r>
      <w:r>
        <w:rPr>
          <w:rFonts w:eastAsia="Times New Roman" w:cs="Times New Roman"/>
          <w:color w:val="0D0D0D" w:themeColor="text1" w:themeTint="F2"/>
          <w:szCs w:val="20"/>
        </w:rPr>
        <w:t xml:space="preserve"> de</w:t>
      </w:r>
      <w:r w:rsidRPr="009A671C">
        <w:rPr>
          <w:rFonts w:eastAsia="Times New Roman" w:cs="Times New Roman"/>
          <w:color w:val="0D0D0D" w:themeColor="text1" w:themeTint="F2"/>
          <w:szCs w:val="20"/>
        </w:rPr>
        <w:t xml:space="preserve"> un solo producto o</w:t>
      </w:r>
      <w:r>
        <w:rPr>
          <w:rFonts w:eastAsia="Times New Roman" w:cs="Times New Roman"/>
          <w:color w:val="0D0D0D" w:themeColor="text1" w:themeTint="F2"/>
          <w:szCs w:val="20"/>
        </w:rPr>
        <w:t xml:space="preserve"> las</w:t>
      </w:r>
      <w:r w:rsidRPr="009A671C">
        <w:rPr>
          <w:rFonts w:eastAsia="Times New Roman" w:cs="Times New Roman"/>
          <w:color w:val="0D0D0D" w:themeColor="text1" w:themeTint="F2"/>
          <w:szCs w:val="20"/>
        </w:rPr>
        <w:t xml:space="preserve"> instalaci</w:t>
      </w:r>
      <w:r>
        <w:rPr>
          <w:rFonts w:eastAsia="Times New Roman" w:cs="Times New Roman"/>
          <w:color w:val="0D0D0D" w:themeColor="text1" w:themeTint="F2"/>
          <w:szCs w:val="20"/>
        </w:rPr>
        <w:t>ones</w:t>
      </w:r>
      <w:r w:rsidRPr="009A671C">
        <w:rPr>
          <w:rFonts w:eastAsia="Times New Roman" w:cs="Times New Roman"/>
          <w:color w:val="0D0D0D" w:themeColor="text1" w:themeTint="F2"/>
          <w:szCs w:val="20"/>
        </w:rPr>
        <w:t xml:space="preserve"> </w:t>
      </w:r>
      <w:proofErr w:type="spellStart"/>
      <w:r w:rsidRPr="009A671C">
        <w:rPr>
          <w:rFonts w:eastAsia="Times New Roman" w:cs="Times New Roman"/>
          <w:color w:val="0D0D0D" w:themeColor="text1" w:themeTint="F2"/>
          <w:szCs w:val="20"/>
        </w:rPr>
        <w:t>multiproducto</w:t>
      </w:r>
      <w:proofErr w:type="spellEnd"/>
      <w:r w:rsidRPr="009A671C">
        <w:rPr>
          <w:rFonts w:eastAsia="Times New Roman" w:cs="Times New Roman"/>
          <w:color w:val="0D0D0D" w:themeColor="text1" w:themeTint="F2"/>
          <w:szCs w:val="20"/>
        </w:rPr>
        <w:t xml:space="preserve">. </w:t>
      </w:r>
    </w:p>
    <w:p w14:paraId="001BB7F7" w14:textId="77777777" w:rsidR="006920D8" w:rsidRPr="009A671C" w:rsidRDefault="006920D8" w:rsidP="006920D8">
      <w:pPr>
        <w:contextualSpacing/>
        <w:outlineLvl w:val="0"/>
        <w:rPr>
          <w:rFonts w:eastAsia="Times New Roman" w:cs="Times New Roman"/>
          <w:color w:val="0D0D0D" w:themeColor="text1" w:themeTint="F2"/>
          <w:szCs w:val="20"/>
        </w:rPr>
      </w:pPr>
    </w:p>
    <w:p w14:paraId="426D41F1"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color w:val="0D0D0D" w:themeColor="text1" w:themeTint="F2"/>
          <w:szCs w:val="20"/>
        </w:rPr>
        <w:t xml:space="preserve">**Nota: La FDA se reserva el derecho de limitar el número de solicitudes específicas de productos en la Fase 2 y determinar </w:t>
      </w:r>
      <w:r>
        <w:rPr>
          <w:rFonts w:eastAsia="Times New Roman" w:cs="Times New Roman"/>
          <w:color w:val="0D0D0D" w:themeColor="text1" w:themeTint="F2"/>
          <w:szCs w:val="20"/>
        </w:rPr>
        <w:t xml:space="preserve">un proceso apropiado para la </w:t>
      </w:r>
      <w:r w:rsidRPr="009A671C">
        <w:rPr>
          <w:rFonts w:eastAsia="Times New Roman" w:cs="Times New Roman"/>
          <w:color w:val="0D0D0D" w:themeColor="text1" w:themeTint="F2"/>
          <w:szCs w:val="20"/>
        </w:rPr>
        <w:t xml:space="preserve">“graduación” del programa. </w:t>
      </w:r>
      <w:r>
        <w:rPr>
          <w:rFonts w:eastAsia="Times New Roman" w:cs="Times New Roman"/>
          <w:color w:val="0D0D0D" w:themeColor="text1" w:themeTint="F2"/>
          <w:szCs w:val="20"/>
        </w:rPr>
        <w:t xml:space="preserve"> </w:t>
      </w:r>
      <w:r w:rsidRPr="009A671C">
        <w:rPr>
          <w:rFonts w:eastAsia="Times New Roman" w:cs="Times New Roman"/>
          <w:color w:val="0D0D0D" w:themeColor="text1" w:themeTint="F2"/>
          <w:szCs w:val="20"/>
        </w:rPr>
        <w:t xml:space="preserve"> </w:t>
      </w:r>
      <w:r>
        <w:rPr>
          <w:rFonts w:eastAsia="Times New Roman" w:cs="Times New Roman"/>
          <w:color w:val="0D0D0D" w:themeColor="text1" w:themeTint="F2"/>
          <w:szCs w:val="20"/>
        </w:rPr>
        <w:t xml:space="preserve"> </w:t>
      </w:r>
    </w:p>
    <w:p w14:paraId="748791C4" w14:textId="77777777" w:rsidR="006920D8" w:rsidRPr="009A671C" w:rsidRDefault="006920D8" w:rsidP="006920D8">
      <w:pPr>
        <w:contextualSpacing/>
        <w:outlineLvl w:val="0"/>
        <w:rPr>
          <w:rFonts w:eastAsia="Times New Roman" w:cs="Times New Roman"/>
          <w:b/>
          <w:bCs/>
          <w:color w:val="0D0D0D" w:themeColor="text1" w:themeTint="F2"/>
          <w:szCs w:val="20"/>
        </w:rPr>
      </w:pPr>
    </w:p>
    <w:p w14:paraId="0FF004EA"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b/>
          <w:bCs/>
          <w:color w:val="0D0D0D" w:themeColor="text1" w:themeTint="F2"/>
          <w:szCs w:val="20"/>
        </w:rPr>
        <w:t>Fase de desarrollo de las instalaciones:</w:t>
      </w:r>
      <w:r>
        <w:rPr>
          <w:rFonts w:eastAsia="Times New Roman" w:cs="Times New Roman"/>
          <w:color w:val="0D0D0D" w:themeColor="text1" w:themeTint="F2"/>
          <w:szCs w:val="20"/>
        </w:rPr>
        <w:t xml:space="preserve"> </w:t>
      </w:r>
      <w:r w:rsidRPr="009A671C">
        <w:rPr>
          <w:rFonts w:eastAsia="Times New Roman" w:cs="Times New Roman"/>
          <w:color w:val="0D0D0D" w:themeColor="text1" w:themeTint="F2"/>
          <w:szCs w:val="20"/>
        </w:rPr>
        <w:t xml:space="preserve">La FDA dará prioridad a las instalaciones que se encuentren en las fases preoperacionales y de desarrollo inicial para optimizar la colaboración entre la agencia y la industria, garantizando así beneficios tanto para la FDA como para los participantes, antes de </w:t>
      </w:r>
      <w:r>
        <w:rPr>
          <w:rFonts w:eastAsia="Times New Roman" w:cs="Times New Roman"/>
          <w:color w:val="0D0D0D" w:themeColor="text1" w:themeTint="F2"/>
          <w:szCs w:val="20"/>
        </w:rPr>
        <w:t xml:space="preserve">que </w:t>
      </w:r>
      <w:r w:rsidRPr="009A671C">
        <w:rPr>
          <w:rFonts w:eastAsia="Times New Roman" w:cs="Times New Roman"/>
          <w:color w:val="0D0D0D" w:themeColor="text1" w:themeTint="F2"/>
          <w:szCs w:val="20"/>
        </w:rPr>
        <w:t>present</w:t>
      </w:r>
      <w:r>
        <w:rPr>
          <w:rFonts w:eastAsia="Times New Roman" w:cs="Times New Roman"/>
          <w:color w:val="0D0D0D" w:themeColor="text1" w:themeTint="F2"/>
          <w:szCs w:val="20"/>
        </w:rPr>
        <w:t>en</w:t>
      </w:r>
      <w:r w:rsidRPr="009A671C">
        <w:rPr>
          <w:rFonts w:eastAsia="Times New Roman" w:cs="Times New Roman"/>
          <w:color w:val="0D0D0D" w:themeColor="text1" w:themeTint="F2"/>
          <w:szCs w:val="20"/>
        </w:rPr>
        <w:t xml:space="preserve"> la solicitud de producto. Se dará preferencia a las instalaciones que presenten compromisos y estrategias para participar en las actividades de revisión preoperacional y que estén dispuestas a proporcionar información detallada </w:t>
      </w:r>
      <w:r>
        <w:rPr>
          <w:rFonts w:eastAsia="Times New Roman" w:cs="Times New Roman"/>
          <w:color w:val="0D0D0D" w:themeColor="text1" w:themeTint="F2"/>
          <w:szCs w:val="20"/>
        </w:rPr>
        <w:t xml:space="preserve">y </w:t>
      </w:r>
      <w:r w:rsidRPr="009A671C">
        <w:rPr>
          <w:rFonts w:eastAsia="Times New Roman" w:cs="Times New Roman"/>
          <w:color w:val="0D0D0D" w:themeColor="text1" w:themeTint="F2"/>
          <w:szCs w:val="20"/>
        </w:rPr>
        <w:t xml:space="preserve">específica de la instalación (no relacionada con el producto) en su </w:t>
      </w:r>
      <w:r>
        <w:rPr>
          <w:rFonts w:eastAsia="Times New Roman" w:cs="Times New Roman"/>
          <w:color w:val="0D0D0D" w:themeColor="text1" w:themeTint="F2"/>
          <w:szCs w:val="20"/>
        </w:rPr>
        <w:t>Archivo Maestro del Producto</w:t>
      </w:r>
      <w:r w:rsidRPr="009A671C">
        <w:rPr>
          <w:rFonts w:eastAsia="Times New Roman" w:cs="Times New Roman"/>
          <w:color w:val="0D0D0D" w:themeColor="text1" w:themeTint="F2"/>
          <w:szCs w:val="20"/>
        </w:rPr>
        <w:t xml:space="preserve"> de tipo V, así como a participar en posibles visitas a las instalaciones.</w:t>
      </w:r>
      <w:r>
        <w:rPr>
          <w:rFonts w:eastAsia="Times New Roman" w:cs="Times New Roman"/>
          <w:color w:val="0D0D0D" w:themeColor="text1" w:themeTint="F2"/>
          <w:szCs w:val="20"/>
        </w:rPr>
        <w:t xml:space="preserve"> </w:t>
      </w:r>
    </w:p>
    <w:p w14:paraId="05F95077" w14:textId="77777777" w:rsidR="006920D8" w:rsidRPr="009A671C" w:rsidRDefault="006920D8" w:rsidP="006920D8">
      <w:pPr>
        <w:contextualSpacing/>
        <w:outlineLvl w:val="0"/>
        <w:rPr>
          <w:rFonts w:eastAsia="Times New Roman" w:cs="Times New Roman"/>
          <w:b/>
          <w:bCs/>
          <w:color w:val="0D0D0D" w:themeColor="text1" w:themeTint="F2"/>
          <w:szCs w:val="20"/>
        </w:rPr>
      </w:pPr>
    </w:p>
    <w:p w14:paraId="48909556"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b/>
          <w:bCs/>
          <w:color w:val="0D0D0D" w:themeColor="text1" w:themeTint="F2"/>
          <w:szCs w:val="20"/>
        </w:rPr>
        <w:t>Cronograma:</w:t>
      </w:r>
      <w:r>
        <w:rPr>
          <w:rFonts w:eastAsia="Times New Roman" w:cs="Times New Roman"/>
          <w:color w:val="0D0D0D" w:themeColor="text1" w:themeTint="F2"/>
          <w:szCs w:val="20"/>
        </w:rPr>
        <w:t xml:space="preserve"> </w:t>
      </w:r>
      <w:r w:rsidRPr="009A671C">
        <w:rPr>
          <w:rFonts w:eastAsia="Times New Roman" w:cs="Times New Roman"/>
          <w:color w:val="0D0D0D" w:themeColor="text1" w:themeTint="F2"/>
          <w:szCs w:val="20"/>
        </w:rPr>
        <w:t xml:space="preserve">La FDA dará prioridad a las instalaciones que demuestren </w:t>
      </w:r>
      <w:r>
        <w:rPr>
          <w:rFonts w:eastAsia="Times New Roman" w:cs="Times New Roman"/>
          <w:color w:val="0D0D0D" w:themeColor="text1" w:themeTint="F2"/>
          <w:szCs w:val="20"/>
        </w:rPr>
        <w:t xml:space="preserve">tener </w:t>
      </w:r>
      <w:r w:rsidRPr="009A671C">
        <w:rPr>
          <w:rFonts w:eastAsia="Times New Roman" w:cs="Times New Roman"/>
          <w:color w:val="0D0D0D" w:themeColor="text1" w:themeTint="F2"/>
          <w:szCs w:val="20"/>
        </w:rPr>
        <w:t xml:space="preserve">planes de ejecución ágiles que cuantifiquen cómo </w:t>
      </w:r>
      <w:r>
        <w:rPr>
          <w:rFonts w:eastAsia="Times New Roman" w:cs="Times New Roman"/>
          <w:color w:val="0D0D0D" w:themeColor="text1" w:themeTint="F2"/>
          <w:szCs w:val="20"/>
        </w:rPr>
        <w:t>su</w:t>
      </w:r>
      <w:r w:rsidRPr="009A671C">
        <w:rPr>
          <w:rFonts w:eastAsia="Times New Roman" w:cs="Times New Roman"/>
          <w:color w:val="0D0D0D" w:themeColor="text1" w:themeTint="F2"/>
          <w:szCs w:val="20"/>
        </w:rPr>
        <w:t xml:space="preserve"> participación en </w:t>
      </w:r>
      <w:r>
        <w:rPr>
          <w:rFonts w:eastAsia="Times New Roman" w:cs="Times New Roman"/>
          <w:color w:val="0D0D0D" w:themeColor="text1" w:themeTint="F2"/>
          <w:szCs w:val="20"/>
        </w:rPr>
        <w:t>la estrategia</w:t>
      </w:r>
      <w:r w:rsidRPr="009A671C">
        <w:rPr>
          <w:rFonts w:eastAsia="Times New Roman" w:cs="Times New Roman"/>
          <w:color w:val="0D0D0D" w:themeColor="text1" w:themeTint="F2"/>
          <w:szCs w:val="20"/>
        </w:rPr>
        <w:t xml:space="preserve"> de dos fases de este programa les ayudará a minimizar el tiempo </w:t>
      </w:r>
      <w:r>
        <w:rPr>
          <w:rFonts w:eastAsia="Times New Roman" w:cs="Times New Roman"/>
          <w:color w:val="0D0D0D" w:themeColor="text1" w:themeTint="F2"/>
          <w:szCs w:val="20"/>
        </w:rPr>
        <w:t xml:space="preserve">hasta la </w:t>
      </w:r>
      <w:r w:rsidRPr="009A671C">
        <w:rPr>
          <w:rFonts w:eastAsia="Times New Roman" w:cs="Times New Roman"/>
          <w:color w:val="0D0D0D" w:themeColor="text1" w:themeTint="F2"/>
          <w:szCs w:val="20"/>
        </w:rPr>
        <w:t xml:space="preserve">comercialización de </w:t>
      </w:r>
      <w:r>
        <w:rPr>
          <w:rFonts w:eastAsia="Times New Roman" w:cs="Times New Roman"/>
          <w:color w:val="0D0D0D" w:themeColor="text1" w:themeTint="F2"/>
          <w:szCs w:val="20"/>
        </w:rPr>
        <w:t xml:space="preserve">los </w:t>
      </w:r>
      <w:r w:rsidRPr="009A671C">
        <w:rPr>
          <w:rFonts w:eastAsia="Times New Roman" w:cs="Times New Roman"/>
          <w:color w:val="0D0D0D" w:themeColor="text1" w:themeTint="F2"/>
          <w:szCs w:val="20"/>
        </w:rPr>
        <w:t>productos farmacéuticos críticos</w:t>
      </w:r>
      <w:r>
        <w:rPr>
          <w:rFonts w:eastAsia="Times New Roman" w:cs="Times New Roman"/>
          <w:color w:val="0D0D0D" w:themeColor="text1" w:themeTint="F2"/>
          <w:szCs w:val="20"/>
        </w:rPr>
        <w:t>,</w:t>
      </w:r>
      <w:r w:rsidRPr="009A671C">
        <w:rPr>
          <w:rFonts w:eastAsia="Times New Roman" w:cs="Times New Roman"/>
          <w:color w:val="0D0D0D" w:themeColor="text1" w:themeTint="F2"/>
          <w:szCs w:val="20"/>
        </w:rPr>
        <w:t xml:space="preserve"> y contribuir</w:t>
      </w:r>
      <w:r>
        <w:rPr>
          <w:rFonts w:eastAsia="Times New Roman" w:cs="Times New Roman"/>
          <w:color w:val="0D0D0D" w:themeColor="text1" w:themeTint="F2"/>
          <w:szCs w:val="20"/>
        </w:rPr>
        <w:t>á</w:t>
      </w:r>
      <w:r w:rsidRPr="009A671C">
        <w:rPr>
          <w:rFonts w:eastAsia="Times New Roman" w:cs="Times New Roman"/>
          <w:color w:val="0D0D0D" w:themeColor="text1" w:themeTint="F2"/>
          <w:szCs w:val="20"/>
        </w:rPr>
        <w:t xml:space="preserve"> a</w:t>
      </w:r>
      <w:r>
        <w:rPr>
          <w:rFonts w:eastAsia="Times New Roman" w:cs="Times New Roman"/>
          <w:color w:val="0D0D0D" w:themeColor="text1" w:themeTint="F2"/>
          <w:szCs w:val="20"/>
        </w:rPr>
        <w:t xml:space="preserve"> generar</w:t>
      </w:r>
      <w:r w:rsidRPr="009A671C">
        <w:rPr>
          <w:rFonts w:eastAsia="Times New Roman" w:cs="Times New Roman"/>
          <w:color w:val="0D0D0D" w:themeColor="text1" w:themeTint="F2"/>
          <w:szCs w:val="20"/>
        </w:rPr>
        <w:t xml:space="preserve"> capacidad de fabricación farmacéutica. </w:t>
      </w:r>
    </w:p>
    <w:p w14:paraId="6DBDCF3E" w14:textId="77777777" w:rsidR="006920D8" w:rsidRPr="009A671C" w:rsidRDefault="006920D8" w:rsidP="006920D8">
      <w:pPr>
        <w:contextualSpacing/>
        <w:outlineLvl w:val="0"/>
        <w:rPr>
          <w:rFonts w:eastAsia="Times New Roman" w:cs="Times New Roman"/>
          <w:color w:val="0D0D0D" w:themeColor="text1" w:themeTint="F2"/>
          <w:szCs w:val="20"/>
        </w:rPr>
      </w:pPr>
    </w:p>
    <w:p w14:paraId="25C476E9" w14:textId="77777777" w:rsidR="006920D8" w:rsidRPr="009A671C" w:rsidRDefault="006920D8" w:rsidP="006920D8">
      <w:pPr>
        <w:contextualSpacing/>
        <w:outlineLvl w:val="0"/>
        <w:rPr>
          <w:rFonts w:eastAsia="Times New Roman" w:cs="Times New Roman"/>
          <w:color w:val="0D0D0D" w:themeColor="text1" w:themeTint="F2"/>
          <w:szCs w:val="20"/>
        </w:rPr>
      </w:pPr>
      <w:r>
        <w:rPr>
          <w:rFonts w:eastAsia="Times New Roman" w:cs="Times New Roman"/>
          <w:color w:val="0D0D0D" w:themeColor="text1" w:themeTint="F2"/>
          <w:szCs w:val="20"/>
        </w:rPr>
        <w:t>A diferencia de</w:t>
      </w:r>
      <w:r w:rsidRPr="009A671C">
        <w:rPr>
          <w:rFonts w:eastAsia="Times New Roman" w:cs="Times New Roman"/>
          <w:color w:val="0D0D0D" w:themeColor="text1" w:themeTint="F2"/>
          <w:szCs w:val="20"/>
        </w:rPr>
        <w:t xml:space="preserve"> los enfoques tradicionales, la FDA busca instalaciones capaces de alcanzar el estado operativo en un plazo acelerado</w:t>
      </w:r>
      <w:r>
        <w:rPr>
          <w:rFonts w:eastAsia="Times New Roman" w:cs="Times New Roman"/>
          <w:color w:val="0D0D0D" w:themeColor="text1" w:themeTint="F2"/>
          <w:szCs w:val="20"/>
        </w:rPr>
        <w:t>,</w:t>
      </w:r>
      <w:r w:rsidRPr="009A671C">
        <w:rPr>
          <w:rFonts w:eastAsia="Times New Roman" w:cs="Times New Roman"/>
          <w:color w:val="0D0D0D" w:themeColor="text1" w:themeTint="F2"/>
          <w:szCs w:val="20"/>
        </w:rPr>
        <w:t xml:space="preserve"> utilizando tecnologías o e</w:t>
      </w:r>
      <w:r>
        <w:rPr>
          <w:rFonts w:eastAsia="Times New Roman" w:cs="Times New Roman"/>
          <w:color w:val="0D0D0D" w:themeColor="text1" w:themeTint="F2"/>
          <w:szCs w:val="20"/>
        </w:rPr>
        <w:t>strategias</w:t>
      </w:r>
      <w:r w:rsidRPr="009A671C">
        <w:rPr>
          <w:rFonts w:eastAsia="Times New Roman" w:cs="Times New Roman"/>
          <w:color w:val="0D0D0D" w:themeColor="text1" w:themeTint="F2"/>
          <w:szCs w:val="20"/>
        </w:rPr>
        <w:t xml:space="preserve"> modern</w:t>
      </w:r>
      <w:r>
        <w:rPr>
          <w:rFonts w:eastAsia="Times New Roman" w:cs="Times New Roman"/>
          <w:color w:val="0D0D0D" w:themeColor="text1" w:themeTint="F2"/>
          <w:szCs w:val="20"/>
        </w:rPr>
        <w:t>a</w:t>
      </w:r>
      <w:r w:rsidRPr="009A671C">
        <w:rPr>
          <w:rFonts w:eastAsia="Times New Roman" w:cs="Times New Roman"/>
          <w:color w:val="0D0D0D" w:themeColor="text1" w:themeTint="F2"/>
          <w:szCs w:val="20"/>
        </w:rPr>
        <w:t>s, ya que el rápido despliegue de la capacidad de fabricación nacional es esencial para los objetivos de seguridad nacional y para la preparación en materia de salud pública.</w:t>
      </w:r>
    </w:p>
    <w:p w14:paraId="7D128602" w14:textId="77777777" w:rsidR="006920D8" w:rsidRPr="009A671C" w:rsidRDefault="006920D8" w:rsidP="006920D8">
      <w:pPr>
        <w:contextualSpacing/>
        <w:outlineLvl w:val="0"/>
        <w:rPr>
          <w:rFonts w:eastAsia="Times New Roman" w:cs="Times New Roman"/>
          <w:b/>
          <w:bCs/>
          <w:color w:val="0D0D0D" w:themeColor="text1" w:themeTint="F2"/>
          <w:szCs w:val="20"/>
        </w:rPr>
      </w:pPr>
    </w:p>
    <w:p w14:paraId="4AABF1DD"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b/>
          <w:bCs/>
          <w:color w:val="0D0D0D" w:themeColor="text1" w:themeTint="F2"/>
          <w:szCs w:val="20"/>
        </w:rPr>
        <w:t>Innovación:</w:t>
      </w:r>
      <w:r>
        <w:rPr>
          <w:rFonts w:eastAsia="Times New Roman" w:cs="Times New Roman"/>
          <w:color w:val="0D0D0D" w:themeColor="text1" w:themeTint="F2"/>
          <w:szCs w:val="20"/>
        </w:rPr>
        <w:t xml:space="preserve"> </w:t>
      </w:r>
      <w:r w:rsidRPr="009A671C">
        <w:rPr>
          <w:rFonts w:eastAsia="Times New Roman" w:cs="Times New Roman"/>
          <w:color w:val="0D0D0D" w:themeColor="text1" w:themeTint="F2"/>
          <w:szCs w:val="20"/>
        </w:rPr>
        <w:t xml:space="preserve">La FDA evaluará el uso que las instalaciones hagan de </w:t>
      </w:r>
      <w:r>
        <w:rPr>
          <w:rFonts w:eastAsia="Times New Roman" w:cs="Times New Roman"/>
          <w:color w:val="0D0D0D" w:themeColor="text1" w:themeTint="F2"/>
          <w:szCs w:val="20"/>
        </w:rPr>
        <w:t xml:space="preserve">las estrategias </w:t>
      </w:r>
      <w:r w:rsidRPr="009A671C">
        <w:rPr>
          <w:rFonts w:eastAsia="Times New Roman" w:cs="Times New Roman"/>
          <w:color w:val="0D0D0D" w:themeColor="text1" w:themeTint="F2"/>
          <w:szCs w:val="20"/>
        </w:rPr>
        <w:t>novedos</w:t>
      </w:r>
      <w:r>
        <w:rPr>
          <w:rFonts w:eastAsia="Times New Roman" w:cs="Times New Roman"/>
          <w:color w:val="0D0D0D" w:themeColor="text1" w:themeTint="F2"/>
          <w:szCs w:val="20"/>
        </w:rPr>
        <w:t>a</w:t>
      </w:r>
      <w:r w:rsidRPr="009A671C">
        <w:rPr>
          <w:rFonts w:eastAsia="Times New Roman" w:cs="Times New Roman"/>
          <w:color w:val="0D0D0D" w:themeColor="text1" w:themeTint="F2"/>
          <w:szCs w:val="20"/>
        </w:rPr>
        <w:t>s para el diseño, la construcción o la implementación</w:t>
      </w:r>
      <w:r>
        <w:rPr>
          <w:rFonts w:eastAsia="Times New Roman" w:cs="Times New Roman"/>
          <w:color w:val="0D0D0D" w:themeColor="text1" w:themeTint="F2"/>
          <w:szCs w:val="20"/>
        </w:rPr>
        <w:t>, para verificar</w:t>
      </w:r>
      <w:r w:rsidRPr="009A671C">
        <w:rPr>
          <w:rFonts w:eastAsia="Times New Roman" w:cs="Times New Roman"/>
          <w:color w:val="0D0D0D" w:themeColor="text1" w:themeTint="F2"/>
          <w:szCs w:val="20"/>
        </w:rPr>
        <w:t xml:space="preserve"> que puedan acelerar los plazos de desarrollo o mejorar la eficiencia de la fabricación, así como las metodologías de construcción modular o prefabricada, tecnologías de automatización avanzadas, integración digital u otros métodos para mejorar la innovación en las instalaciones y los procesos de fabricación. </w:t>
      </w:r>
    </w:p>
    <w:p w14:paraId="416A7DEE" w14:textId="77777777" w:rsidR="006920D8" w:rsidRPr="00DB5597" w:rsidRDefault="006920D8" w:rsidP="006920D8">
      <w:pPr>
        <w:contextualSpacing/>
        <w:outlineLvl w:val="0"/>
        <w:rPr>
          <w:rFonts w:eastAsia="Times New Roman" w:cs="Times New Roman"/>
          <w:color w:val="EE0000"/>
          <w:szCs w:val="20"/>
          <w:lang w:val="es-ES"/>
        </w:rPr>
      </w:pPr>
    </w:p>
    <w:p w14:paraId="2D6DFAB7"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color w:val="0D0D0D" w:themeColor="text1" w:themeTint="F2"/>
          <w:szCs w:val="20"/>
        </w:rPr>
        <w:t xml:space="preserve">Dependiendo de la tecnología, también podría ser necesario colaborar con el Programa de Tecnologías Emergentes de la FDA o el Equipo de Tecnologías Avanzadas del CBER. Si bien solo se seleccionará una instalación para el programa FDA </w:t>
      </w:r>
      <w:proofErr w:type="spellStart"/>
      <w:r w:rsidRPr="009A671C">
        <w:rPr>
          <w:rFonts w:eastAsia="Times New Roman" w:cs="Times New Roman"/>
          <w:color w:val="0D0D0D" w:themeColor="text1" w:themeTint="F2"/>
          <w:szCs w:val="20"/>
        </w:rPr>
        <w:t>PreCheck</w:t>
      </w:r>
      <w:proofErr w:type="spellEnd"/>
      <w:r w:rsidRPr="009A671C">
        <w:rPr>
          <w:rFonts w:eastAsia="Times New Roman" w:cs="Times New Roman"/>
          <w:color w:val="0D0D0D" w:themeColor="text1" w:themeTint="F2"/>
          <w:szCs w:val="20"/>
        </w:rPr>
        <w:t xml:space="preserve">, se considerarán las instalaciones diseñadas como plantillas replicables que podrían servir como modelos para la construcción acelerada a gran escala </w:t>
      </w:r>
      <w:r>
        <w:rPr>
          <w:rFonts w:eastAsia="Times New Roman" w:cs="Times New Roman"/>
          <w:color w:val="0D0D0D" w:themeColor="text1" w:themeTint="F2"/>
          <w:szCs w:val="20"/>
        </w:rPr>
        <w:t>del</w:t>
      </w:r>
      <w:r w:rsidRPr="009A671C">
        <w:rPr>
          <w:rFonts w:eastAsia="Times New Roman" w:cs="Times New Roman"/>
          <w:color w:val="0D0D0D" w:themeColor="text1" w:themeTint="F2"/>
          <w:szCs w:val="20"/>
        </w:rPr>
        <w:t xml:space="preserve"> establecimiento </w:t>
      </w:r>
      <w:r>
        <w:rPr>
          <w:rFonts w:eastAsia="Times New Roman" w:cs="Times New Roman"/>
          <w:color w:val="0D0D0D" w:themeColor="text1" w:themeTint="F2"/>
          <w:szCs w:val="20"/>
        </w:rPr>
        <w:t>en</w:t>
      </w:r>
      <w:r w:rsidRPr="009A671C">
        <w:rPr>
          <w:rFonts w:eastAsia="Times New Roman" w:cs="Times New Roman"/>
          <w:color w:val="0D0D0D" w:themeColor="text1" w:themeTint="F2"/>
          <w:szCs w:val="20"/>
        </w:rPr>
        <w:t xml:space="preserve"> ubicaciones adicionales, o enfoques innovadores que demuestren potencial para </w:t>
      </w:r>
      <w:r>
        <w:rPr>
          <w:rFonts w:eastAsia="Times New Roman" w:cs="Times New Roman"/>
          <w:color w:val="0D0D0D" w:themeColor="text1" w:themeTint="F2"/>
          <w:szCs w:val="20"/>
        </w:rPr>
        <w:t>su</w:t>
      </w:r>
      <w:r w:rsidRPr="009A671C">
        <w:rPr>
          <w:rFonts w:eastAsia="Times New Roman" w:cs="Times New Roman"/>
          <w:color w:val="0D0D0D" w:themeColor="text1" w:themeTint="F2"/>
          <w:szCs w:val="20"/>
        </w:rPr>
        <w:t xml:space="preserve"> aplicación más amplia </w:t>
      </w:r>
      <w:r>
        <w:rPr>
          <w:rFonts w:eastAsia="Times New Roman" w:cs="Times New Roman"/>
          <w:color w:val="0D0D0D" w:themeColor="text1" w:themeTint="F2"/>
          <w:szCs w:val="20"/>
        </w:rPr>
        <w:t xml:space="preserve">en </w:t>
      </w:r>
      <w:r w:rsidRPr="009A671C">
        <w:rPr>
          <w:rFonts w:eastAsia="Times New Roman" w:cs="Times New Roman"/>
          <w:color w:val="0D0D0D" w:themeColor="text1" w:themeTint="F2"/>
          <w:szCs w:val="20"/>
        </w:rPr>
        <w:t xml:space="preserve">el sector farmacéutico nacional. Tenga en cuenta que los sistemas de fabricación distribuida </w:t>
      </w:r>
      <w:r>
        <w:rPr>
          <w:rFonts w:eastAsia="Times New Roman" w:cs="Times New Roman"/>
          <w:color w:val="0D0D0D" w:themeColor="text1" w:themeTint="F2"/>
          <w:szCs w:val="20"/>
        </w:rPr>
        <w:t>(</w:t>
      </w:r>
      <w:r w:rsidRPr="00B07037">
        <w:rPr>
          <w:rFonts w:eastAsia="Times New Roman" w:cs="Times New Roman"/>
          <w:color w:val="0D0D0D" w:themeColor="text1" w:themeTint="F2"/>
          <w:szCs w:val="20"/>
        </w:rPr>
        <w:t>un modelo de producci</w:t>
      </w:r>
      <w:r w:rsidRPr="00B07037">
        <w:rPr>
          <w:rFonts w:eastAsia="Times New Roman" w:cs="Times New Roman" w:hint="cs"/>
          <w:color w:val="0D0D0D" w:themeColor="text1" w:themeTint="F2"/>
          <w:szCs w:val="20"/>
        </w:rPr>
        <w:t>ó</w:t>
      </w:r>
      <w:r w:rsidRPr="00B07037">
        <w:rPr>
          <w:rFonts w:eastAsia="Times New Roman" w:cs="Times New Roman"/>
          <w:color w:val="0D0D0D" w:themeColor="text1" w:themeTint="F2"/>
          <w:szCs w:val="20"/>
        </w:rPr>
        <w:t>n en el que los bienes se fabrican a trav</w:t>
      </w:r>
      <w:r w:rsidRPr="00B07037">
        <w:rPr>
          <w:rFonts w:eastAsia="Times New Roman" w:cs="Times New Roman" w:hint="cs"/>
          <w:color w:val="0D0D0D" w:themeColor="text1" w:themeTint="F2"/>
          <w:szCs w:val="20"/>
        </w:rPr>
        <w:t>é</w:t>
      </w:r>
      <w:r w:rsidRPr="00B07037">
        <w:rPr>
          <w:rFonts w:eastAsia="Times New Roman" w:cs="Times New Roman"/>
          <w:color w:val="0D0D0D" w:themeColor="text1" w:themeTint="F2"/>
          <w:szCs w:val="20"/>
        </w:rPr>
        <w:t>s de una red de instalaciones m</w:t>
      </w:r>
      <w:r w:rsidRPr="00B07037">
        <w:rPr>
          <w:rFonts w:eastAsia="Times New Roman" w:cs="Times New Roman" w:hint="cs"/>
          <w:color w:val="0D0D0D" w:themeColor="text1" w:themeTint="F2"/>
          <w:szCs w:val="20"/>
        </w:rPr>
        <w:t>á</w:t>
      </w:r>
      <w:r w:rsidRPr="00B07037">
        <w:rPr>
          <w:rFonts w:eastAsia="Times New Roman" w:cs="Times New Roman"/>
          <w:color w:val="0D0D0D" w:themeColor="text1" w:themeTint="F2"/>
          <w:szCs w:val="20"/>
        </w:rPr>
        <w:t>s peque</w:t>
      </w:r>
      <w:r w:rsidRPr="00B07037">
        <w:rPr>
          <w:rFonts w:eastAsia="Times New Roman" w:cs="Times New Roman" w:hint="cs"/>
          <w:color w:val="0D0D0D" w:themeColor="text1" w:themeTint="F2"/>
          <w:szCs w:val="20"/>
        </w:rPr>
        <w:t>ñ</w:t>
      </w:r>
      <w:r w:rsidRPr="00B07037">
        <w:rPr>
          <w:rFonts w:eastAsia="Times New Roman" w:cs="Times New Roman"/>
          <w:color w:val="0D0D0D" w:themeColor="text1" w:themeTint="F2"/>
          <w:szCs w:val="20"/>
        </w:rPr>
        <w:t>as y geogr</w:t>
      </w:r>
      <w:r w:rsidRPr="00B07037">
        <w:rPr>
          <w:rFonts w:eastAsia="Times New Roman" w:cs="Times New Roman" w:hint="cs"/>
          <w:color w:val="0D0D0D" w:themeColor="text1" w:themeTint="F2"/>
          <w:szCs w:val="20"/>
        </w:rPr>
        <w:t>á</w:t>
      </w:r>
      <w:r w:rsidRPr="00B07037">
        <w:rPr>
          <w:rFonts w:eastAsia="Times New Roman" w:cs="Times New Roman"/>
          <w:color w:val="0D0D0D" w:themeColor="text1" w:themeTint="F2"/>
          <w:szCs w:val="20"/>
        </w:rPr>
        <w:t>ficamente dispersas</w:t>
      </w:r>
      <w:r>
        <w:rPr>
          <w:rFonts w:eastAsia="Times New Roman" w:cs="Times New Roman"/>
          <w:color w:val="0D0D0D" w:themeColor="text1" w:themeTint="F2"/>
          <w:szCs w:val="20"/>
        </w:rPr>
        <w:t>)</w:t>
      </w:r>
      <w:r w:rsidRPr="00B07037">
        <w:rPr>
          <w:rFonts w:eastAsia="Times New Roman" w:cs="Times New Roman"/>
          <w:color w:val="0D0D0D" w:themeColor="text1" w:themeTint="F2"/>
          <w:szCs w:val="20"/>
        </w:rPr>
        <w:t xml:space="preserve">, </w:t>
      </w:r>
      <w:r w:rsidRPr="009A671C">
        <w:rPr>
          <w:rFonts w:eastAsia="Times New Roman" w:cs="Times New Roman"/>
          <w:color w:val="0D0D0D" w:themeColor="text1" w:themeTint="F2"/>
          <w:szCs w:val="20"/>
        </w:rPr>
        <w:t>o de punto de atención</w:t>
      </w:r>
      <w:r w:rsidRPr="00B07037">
        <w:rPr>
          <w:rFonts w:eastAsia="Times New Roman" w:cs="Times New Roman"/>
          <w:color w:val="0D0D0D" w:themeColor="text1" w:themeTint="F2"/>
          <w:szCs w:val="20"/>
        </w:rPr>
        <w:t xml:space="preserve"> </w:t>
      </w:r>
      <w:r w:rsidRPr="009A671C">
        <w:rPr>
          <w:rFonts w:eastAsia="Times New Roman" w:cs="Times New Roman"/>
          <w:color w:val="0D0D0D" w:themeColor="text1" w:themeTint="F2"/>
          <w:szCs w:val="20"/>
        </w:rPr>
        <w:t>no están incluidos en el alcance de este programa piloto.</w:t>
      </w:r>
    </w:p>
    <w:p w14:paraId="6F37FD7E" w14:textId="77777777" w:rsidR="006920D8" w:rsidRPr="009A671C" w:rsidRDefault="006920D8" w:rsidP="006920D8">
      <w:pPr>
        <w:contextualSpacing/>
        <w:outlineLvl w:val="0"/>
        <w:rPr>
          <w:rFonts w:eastAsia="Times New Roman" w:cs="Times New Roman"/>
          <w:b/>
          <w:bCs/>
          <w:color w:val="0D0D0D" w:themeColor="text1" w:themeTint="F2"/>
          <w:szCs w:val="20"/>
        </w:rPr>
      </w:pPr>
    </w:p>
    <w:p w14:paraId="5204C1C2"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b/>
          <w:bCs/>
          <w:color w:val="0D0D0D" w:themeColor="text1" w:themeTint="F2"/>
          <w:szCs w:val="20"/>
        </w:rPr>
        <w:t>Requisitos de la empresa:</w:t>
      </w:r>
      <w:r w:rsidRPr="009A671C">
        <w:rPr>
          <w:rFonts w:eastAsia="Times New Roman" w:cs="Times New Roman"/>
          <w:color w:val="0D0D0D" w:themeColor="text1" w:themeTint="F2"/>
          <w:szCs w:val="20"/>
        </w:rPr>
        <w:t xml:space="preserve"> El programa piloto </w:t>
      </w:r>
      <w:r>
        <w:rPr>
          <w:rFonts w:eastAsia="Times New Roman" w:cs="Times New Roman"/>
          <w:color w:val="0D0D0D" w:themeColor="text1" w:themeTint="F2"/>
          <w:szCs w:val="20"/>
        </w:rPr>
        <w:t xml:space="preserve">FDA </w:t>
      </w:r>
      <w:proofErr w:type="spellStart"/>
      <w:r w:rsidRPr="009A671C">
        <w:rPr>
          <w:rFonts w:eastAsia="Times New Roman" w:cs="Times New Roman"/>
          <w:color w:val="0D0D0D" w:themeColor="text1" w:themeTint="F2"/>
          <w:szCs w:val="20"/>
        </w:rPr>
        <w:t>PreCheck</w:t>
      </w:r>
      <w:proofErr w:type="spellEnd"/>
      <w:r w:rsidRPr="009A671C">
        <w:rPr>
          <w:rFonts w:eastAsia="Times New Roman" w:cs="Times New Roman"/>
          <w:color w:val="0D0D0D" w:themeColor="text1" w:themeTint="F2"/>
          <w:szCs w:val="20"/>
        </w:rPr>
        <w:t xml:space="preserve"> dará prioridad a las empresas con experiencia previa en la fabricación de productos farmacéuticos, la cual podrá demostrarse mediante instalaciones comerciales existentes, alianzas con socios con experiencia en fabricación o un plan para desarrollar la experiencia interna necesaria. Esto incluye tanto a fabricantes grandes como pequeños, así como a organizaciones </w:t>
      </w:r>
      <w:r w:rsidRPr="009A671C">
        <w:rPr>
          <w:rFonts w:eastAsia="Times New Roman" w:cs="Times New Roman"/>
          <w:color w:val="0D0D0D" w:themeColor="text1" w:themeTint="F2"/>
          <w:szCs w:val="20"/>
        </w:rPr>
        <w:lastRenderedPageBreak/>
        <w:t xml:space="preserve">de desarrollo y de fabricación por contrato (CDMO, </w:t>
      </w:r>
      <w:proofErr w:type="spellStart"/>
      <w:r w:rsidRPr="009A671C">
        <w:rPr>
          <w:rFonts w:eastAsia="Times New Roman" w:cs="Times New Roman"/>
          <w:i/>
          <w:iCs/>
          <w:color w:val="0D0D0D" w:themeColor="text1" w:themeTint="F2"/>
          <w:szCs w:val="20"/>
        </w:rPr>
        <w:t>Contract</w:t>
      </w:r>
      <w:proofErr w:type="spellEnd"/>
      <w:r w:rsidRPr="009A671C">
        <w:rPr>
          <w:rFonts w:eastAsia="Times New Roman" w:cs="Times New Roman"/>
          <w:i/>
          <w:iCs/>
          <w:color w:val="0D0D0D" w:themeColor="text1" w:themeTint="F2"/>
          <w:szCs w:val="20"/>
        </w:rPr>
        <w:t xml:space="preserve"> </w:t>
      </w:r>
      <w:proofErr w:type="spellStart"/>
      <w:r w:rsidRPr="009A671C">
        <w:rPr>
          <w:rFonts w:eastAsia="Times New Roman" w:cs="Times New Roman"/>
          <w:i/>
          <w:iCs/>
          <w:color w:val="0D0D0D" w:themeColor="text1" w:themeTint="F2"/>
          <w:szCs w:val="20"/>
        </w:rPr>
        <w:t>Development</w:t>
      </w:r>
      <w:proofErr w:type="spellEnd"/>
      <w:r w:rsidRPr="009A671C">
        <w:rPr>
          <w:rFonts w:eastAsia="Times New Roman" w:cs="Times New Roman"/>
          <w:i/>
          <w:iCs/>
          <w:color w:val="0D0D0D" w:themeColor="text1" w:themeTint="F2"/>
          <w:szCs w:val="20"/>
        </w:rPr>
        <w:t xml:space="preserve"> and </w:t>
      </w:r>
      <w:proofErr w:type="spellStart"/>
      <w:r w:rsidRPr="009A671C">
        <w:rPr>
          <w:rFonts w:eastAsia="Times New Roman" w:cs="Times New Roman"/>
          <w:i/>
          <w:iCs/>
          <w:color w:val="0D0D0D" w:themeColor="text1" w:themeTint="F2"/>
          <w:szCs w:val="20"/>
        </w:rPr>
        <w:t>Manufacturing</w:t>
      </w:r>
      <w:proofErr w:type="spellEnd"/>
      <w:r w:rsidRPr="009A671C">
        <w:rPr>
          <w:rFonts w:eastAsia="Times New Roman" w:cs="Times New Roman"/>
          <w:i/>
          <w:iCs/>
          <w:color w:val="0D0D0D" w:themeColor="text1" w:themeTint="F2"/>
          <w:szCs w:val="20"/>
        </w:rPr>
        <w:t xml:space="preserve"> </w:t>
      </w:r>
      <w:proofErr w:type="spellStart"/>
      <w:r w:rsidRPr="009A671C">
        <w:rPr>
          <w:rFonts w:eastAsia="Times New Roman" w:cs="Times New Roman"/>
          <w:i/>
          <w:iCs/>
          <w:color w:val="0D0D0D" w:themeColor="text1" w:themeTint="F2"/>
          <w:szCs w:val="20"/>
        </w:rPr>
        <w:t>Organization</w:t>
      </w:r>
      <w:proofErr w:type="spellEnd"/>
      <w:r w:rsidRPr="009A671C">
        <w:rPr>
          <w:rFonts w:eastAsia="Times New Roman" w:cs="Times New Roman"/>
          <w:color w:val="0D0D0D" w:themeColor="text1" w:themeTint="F2"/>
          <w:szCs w:val="20"/>
        </w:rPr>
        <w:t xml:space="preserve">), que cuenten con acuerdos con patrocinadores experimentados y con una disposición documentada para compartir información sobre las instalaciones propuestas con sus socios patrocinadores. </w:t>
      </w:r>
      <w:r>
        <w:rPr>
          <w:rFonts w:eastAsia="Times New Roman" w:cs="Times New Roman"/>
          <w:color w:val="0D0D0D" w:themeColor="text1" w:themeTint="F2"/>
          <w:szCs w:val="20"/>
        </w:rPr>
        <w:t xml:space="preserve"> </w:t>
      </w:r>
    </w:p>
    <w:p w14:paraId="1B8A1A67" w14:textId="77777777" w:rsidR="006920D8" w:rsidRPr="009A671C" w:rsidRDefault="006920D8" w:rsidP="006920D8">
      <w:pPr>
        <w:contextualSpacing/>
        <w:outlineLvl w:val="0"/>
        <w:rPr>
          <w:rFonts w:eastAsia="Times New Roman" w:cs="Times New Roman"/>
          <w:color w:val="0D0D0D" w:themeColor="text1" w:themeTint="F2"/>
          <w:szCs w:val="20"/>
        </w:rPr>
      </w:pPr>
    </w:p>
    <w:p w14:paraId="1C239C9D" w14:textId="77777777" w:rsidR="006920D8" w:rsidRPr="009A671C" w:rsidRDefault="006920D8" w:rsidP="006920D8">
      <w:pPr>
        <w:rPr>
          <w:rFonts w:cs="Times New Roman"/>
          <w:b/>
          <w:bCs/>
          <w:szCs w:val="20"/>
        </w:rPr>
      </w:pPr>
      <w:r w:rsidRPr="009A671C">
        <w:rPr>
          <w:rFonts w:cs="Times New Roman"/>
          <w:b/>
          <w:bCs/>
          <w:szCs w:val="20"/>
        </w:rPr>
        <w:t>Preguntas Frecuentes</w:t>
      </w:r>
    </w:p>
    <w:p w14:paraId="1D3BF98C"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b/>
          <w:bCs/>
          <w:color w:val="0D0D0D" w:themeColor="text1" w:themeTint="F2"/>
          <w:szCs w:val="20"/>
        </w:rPr>
        <w:t xml:space="preserve">P. ¿Cuál es el propósito del programa </w:t>
      </w:r>
      <w:proofErr w:type="spellStart"/>
      <w:r w:rsidRPr="009A671C">
        <w:rPr>
          <w:rFonts w:eastAsia="Times New Roman" w:cs="Times New Roman"/>
          <w:b/>
          <w:bCs/>
          <w:color w:val="0D0D0D" w:themeColor="text1" w:themeTint="F2"/>
          <w:szCs w:val="20"/>
        </w:rPr>
        <w:t>PreCheck</w:t>
      </w:r>
      <w:proofErr w:type="spellEnd"/>
      <w:r w:rsidRPr="009A671C">
        <w:rPr>
          <w:rFonts w:eastAsia="Times New Roman" w:cs="Times New Roman"/>
          <w:b/>
          <w:bCs/>
          <w:color w:val="0D0D0D" w:themeColor="text1" w:themeTint="F2"/>
          <w:szCs w:val="20"/>
        </w:rPr>
        <w:t xml:space="preserve"> de la FDA?</w:t>
      </w:r>
    </w:p>
    <w:p w14:paraId="20E1206A"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b/>
          <w:bCs/>
          <w:color w:val="0D0D0D" w:themeColor="text1" w:themeTint="F2"/>
          <w:szCs w:val="20"/>
        </w:rPr>
        <w:t>R/</w:t>
      </w:r>
      <w:r w:rsidRPr="009A671C">
        <w:rPr>
          <w:rFonts w:eastAsia="Times New Roman" w:cs="Times New Roman"/>
          <w:color w:val="0D0D0D" w:themeColor="text1" w:themeTint="F2"/>
          <w:szCs w:val="20"/>
        </w:rPr>
        <w:t xml:space="preserve"> El</w:t>
      </w:r>
      <w:r>
        <w:rPr>
          <w:rFonts w:eastAsia="Times New Roman" w:cs="Times New Roman"/>
          <w:color w:val="0D0D0D" w:themeColor="text1" w:themeTint="F2"/>
          <w:szCs w:val="20"/>
        </w:rPr>
        <w:t xml:space="preserve"> </w:t>
      </w:r>
      <w:r w:rsidRPr="009A671C">
        <w:rPr>
          <w:rFonts w:eastAsia="Times New Roman" w:cs="Times New Roman"/>
          <w:color w:val="0D0D0D" w:themeColor="text1" w:themeTint="F2"/>
          <w:szCs w:val="20"/>
        </w:rPr>
        <w:t xml:space="preserve">programa FDA </w:t>
      </w:r>
      <w:proofErr w:type="spellStart"/>
      <w:r w:rsidRPr="009A671C">
        <w:rPr>
          <w:rFonts w:eastAsia="Times New Roman" w:cs="Times New Roman"/>
          <w:color w:val="0D0D0D" w:themeColor="text1" w:themeTint="F2"/>
          <w:szCs w:val="20"/>
        </w:rPr>
        <w:t>PreCheck</w:t>
      </w:r>
      <w:proofErr w:type="spellEnd"/>
      <w:r w:rsidRPr="009A671C">
        <w:rPr>
          <w:rFonts w:eastAsia="Times New Roman" w:cs="Times New Roman"/>
          <w:color w:val="0D0D0D" w:themeColor="text1" w:themeTint="F2"/>
          <w:szCs w:val="20"/>
        </w:rPr>
        <w:t xml:space="preserve"> </w:t>
      </w:r>
      <w:r>
        <w:rPr>
          <w:rFonts w:eastAsia="Times New Roman" w:cs="Times New Roman"/>
          <w:color w:val="0D0D0D" w:themeColor="text1" w:themeTint="F2"/>
          <w:szCs w:val="20"/>
        </w:rPr>
        <w:t>pretende</w:t>
      </w:r>
      <w:r w:rsidRPr="009A671C">
        <w:rPr>
          <w:rFonts w:eastAsia="Times New Roman" w:cs="Times New Roman"/>
          <w:color w:val="0D0D0D" w:themeColor="text1" w:themeTint="F2"/>
          <w:szCs w:val="20"/>
        </w:rPr>
        <w:t xml:space="preserve"> fortalecer la fabricación farmacéutica nacional aumentando la capacidad </w:t>
      </w:r>
      <w:r>
        <w:rPr>
          <w:rFonts w:eastAsia="Times New Roman" w:cs="Times New Roman"/>
          <w:color w:val="0D0D0D" w:themeColor="text1" w:themeTint="F2"/>
          <w:szCs w:val="20"/>
        </w:rPr>
        <w:t xml:space="preserve">para predecir el resultado </w:t>
      </w:r>
      <w:r w:rsidRPr="009A671C">
        <w:rPr>
          <w:rFonts w:eastAsia="Times New Roman" w:cs="Times New Roman"/>
          <w:color w:val="0D0D0D" w:themeColor="text1" w:themeTint="F2"/>
          <w:szCs w:val="20"/>
        </w:rPr>
        <w:t>regulatori</w:t>
      </w:r>
      <w:r>
        <w:rPr>
          <w:rFonts w:eastAsia="Times New Roman" w:cs="Times New Roman"/>
          <w:color w:val="0D0D0D" w:themeColor="text1" w:themeTint="F2"/>
          <w:szCs w:val="20"/>
        </w:rPr>
        <w:t>o</w:t>
      </w:r>
      <w:r w:rsidRPr="009A671C">
        <w:rPr>
          <w:rFonts w:eastAsia="Times New Roman" w:cs="Times New Roman"/>
          <w:color w:val="0D0D0D" w:themeColor="text1" w:themeTint="F2"/>
          <w:szCs w:val="20"/>
        </w:rPr>
        <w:t xml:space="preserve">. Esto se logrará involucrando a los participantes </w:t>
      </w:r>
      <w:r>
        <w:rPr>
          <w:rFonts w:eastAsia="Times New Roman" w:cs="Times New Roman"/>
          <w:color w:val="0D0D0D" w:themeColor="text1" w:themeTint="F2"/>
          <w:szCs w:val="20"/>
        </w:rPr>
        <w:t xml:space="preserve">en </w:t>
      </w:r>
      <w:r w:rsidRPr="009A671C">
        <w:rPr>
          <w:rFonts w:eastAsia="Times New Roman" w:cs="Times New Roman"/>
          <w:color w:val="0D0D0D" w:themeColor="text1" w:themeTint="F2"/>
          <w:szCs w:val="20"/>
        </w:rPr>
        <w:t xml:space="preserve">el programa durante las etapas de desarrollo de una nueva planta de </w:t>
      </w:r>
      <w:r>
        <w:rPr>
          <w:rFonts w:eastAsia="Times New Roman" w:cs="Times New Roman"/>
          <w:color w:val="0D0D0D" w:themeColor="text1" w:themeTint="F2"/>
          <w:szCs w:val="20"/>
        </w:rPr>
        <w:t>manufactura,</w:t>
      </w:r>
      <w:r w:rsidRPr="009A671C">
        <w:rPr>
          <w:rFonts w:eastAsia="Times New Roman" w:cs="Times New Roman"/>
          <w:color w:val="0D0D0D" w:themeColor="text1" w:themeTint="F2"/>
          <w:szCs w:val="20"/>
        </w:rPr>
        <w:t xml:space="preserve"> para facilitar la coordinación entre la FDA y la industria, lo que, en última instancia, agilizará la evaluación de las instalaciones de fabricación farmacéutica, antes de la evaluación regulatoria de solicitudes de productos específicos.</w:t>
      </w:r>
    </w:p>
    <w:p w14:paraId="77A550F4" w14:textId="77777777" w:rsidR="006920D8" w:rsidRPr="009A671C" w:rsidRDefault="006920D8" w:rsidP="006920D8">
      <w:pPr>
        <w:contextualSpacing/>
        <w:outlineLvl w:val="0"/>
        <w:rPr>
          <w:rFonts w:eastAsia="Times New Roman" w:cs="Times New Roman"/>
          <w:color w:val="EE0000"/>
          <w:szCs w:val="20"/>
        </w:rPr>
      </w:pPr>
    </w:p>
    <w:p w14:paraId="1C1FA7AA"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b/>
          <w:bCs/>
          <w:color w:val="0D0D0D" w:themeColor="text1" w:themeTint="F2"/>
          <w:szCs w:val="20"/>
        </w:rPr>
        <w:t>P. ¿Cuál es el propósito del Programa Piloto?</w:t>
      </w:r>
    </w:p>
    <w:p w14:paraId="056FE487"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b/>
          <w:bCs/>
          <w:color w:val="0D0D0D" w:themeColor="text1" w:themeTint="F2"/>
          <w:szCs w:val="20"/>
        </w:rPr>
        <w:t>R/</w:t>
      </w:r>
      <w:r>
        <w:rPr>
          <w:rFonts w:eastAsia="Times New Roman" w:cs="Times New Roman"/>
          <w:color w:val="0D0D0D" w:themeColor="text1" w:themeTint="F2"/>
          <w:szCs w:val="20"/>
        </w:rPr>
        <w:t xml:space="preserve"> </w:t>
      </w:r>
      <w:r w:rsidRPr="009A671C">
        <w:rPr>
          <w:rFonts w:eastAsia="Times New Roman" w:cs="Times New Roman"/>
          <w:color w:val="0D0D0D" w:themeColor="text1" w:themeTint="F2"/>
          <w:szCs w:val="20"/>
        </w:rPr>
        <w:t xml:space="preserve">El programa piloto FDA </w:t>
      </w:r>
      <w:proofErr w:type="spellStart"/>
      <w:r w:rsidRPr="009A671C">
        <w:rPr>
          <w:rFonts w:eastAsia="Times New Roman" w:cs="Times New Roman"/>
          <w:color w:val="0D0D0D" w:themeColor="text1" w:themeTint="F2"/>
          <w:szCs w:val="20"/>
        </w:rPr>
        <w:t>PreCheck</w:t>
      </w:r>
      <w:proofErr w:type="spellEnd"/>
      <w:r w:rsidRPr="009A671C">
        <w:rPr>
          <w:rFonts w:eastAsia="Times New Roman" w:cs="Times New Roman"/>
          <w:color w:val="0D0D0D" w:themeColor="text1" w:themeTint="F2"/>
          <w:szCs w:val="20"/>
        </w:rPr>
        <w:t xml:space="preserve"> sirve como modelo de prueba para identificar desafíos </w:t>
      </w:r>
      <w:r>
        <w:rPr>
          <w:rFonts w:eastAsia="Times New Roman" w:cs="Times New Roman"/>
          <w:color w:val="0D0D0D" w:themeColor="text1" w:themeTint="F2"/>
          <w:szCs w:val="20"/>
        </w:rPr>
        <w:t>a la</w:t>
      </w:r>
      <w:r w:rsidRPr="009A671C">
        <w:rPr>
          <w:rFonts w:eastAsia="Times New Roman" w:cs="Times New Roman"/>
          <w:color w:val="0D0D0D" w:themeColor="text1" w:themeTint="F2"/>
          <w:szCs w:val="20"/>
        </w:rPr>
        <w:t xml:space="preserve"> implementación, establecer mejores prácticas e informar sobre parámetros críticos y su posible </w:t>
      </w:r>
      <w:r>
        <w:rPr>
          <w:rFonts w:eastAsia="Times New Roman" w:cs="Times New Roman"/>
          <w:color w:val="0D0D0D" w:themeColor="text1" w:themeTint="F2"/>
          <w:szCs w:val="20"/>
        </w:rPr>
        <w:t>futura ampliación</w:t>
      </w:r>
      <w:r w:rsidRPr="009A671C">
        <w:rPr>
          <w:rFonts w:eastAsia="Times New Roman" w:cs="Times New Roman"/>
          <w:color w:val="0D0D0D" w:themeColor="text1" w:themeTint="F2"/>
          <w:szCs w:val="20"/>
        </w:rPr>
        <w:t>. Se evaluarán sistemáticamente las m</w:t>
      </w:r>
      <w:r>
        <w:rPr>
          <w:rFonts w:eastAsia="Times New Roman" w:cs="Times New Roman"/>
          <w:color w:val="0D0D0D" w:themeColor="text1" w:themeTint="F2"/>
          <w:szCs w:val="20"/>
        </w:rPr>
        <w:t>ediciones</w:t>
      </w:r>
      <w:r w:rsidRPr="009A671C">
        <w:rPr>
          <w:rFonts w:eastAsia="Times New Roman" w:cs="Times New Roman"/>
          <w:color w:val="0D0D0D" w:themeColor="text1" w:themeTint="F2"/>
          <w:szCs w:val="20"/>
        </w:rPr>
        <w:t xml:space="preserve"> de desempeño y los comentarios de las partes interesadas para optimizar la eficacia del programa piloto FDA </w:t>
      </w:r>
      <w:proofErr w:type="spellStart"/>
      <w:r w:rsidRPr="009A671C">
        <w:rPr>
          <w:rFonts w:eastAsia="Times New Roman" w:cs="Times New Roman"/>
          <w:color w:val="0D0D0D" w:themeColor="text1" w:themeTint="F2"/>
          <w:szCs w:val="20"/>
        </w:rPr>
        <w:t>PreCheck</w:t>
      </w:r>
      <w:proofErr w:type="spellEnd"/>
      <w:r w:rsidRPr="009A671C">
        <w:rPr>
          <w:rFonts w:eastAsia="Times New Roman" w:cs="Times New Roman"/>
          <w:color w:val="0D0D0D" w:themeColor="text1" w:themeTint="F2"/>
          <w:szCs w:val="20"/>
        </w:rPr>
        <w:t xml:space="preserve">. </w:t>
      </w:r>
      <w:r>
        <w:rPr>
          <w:rFonts w:eastAsia="Times New Roman" w:cs="Times New Roman"/>
          <w:color w:val="0D0D0D" w:themeColor="text1" w:themeTint="F2"/>
          <w:szCs w:val="20"/>
        </w:rPr>
        <w:t xml:space="preserve"> </w:t>
      </w:r>
    </w:p>
    <w:p w14:paraId="309EB243" w14:textId="77777777" w:rsidR="006920D8" w:rsidRPr="009A671C" w:rsidRDefault="006920D8" w:rsidP="006920D8">
      <w:pPr>
        <w:contextualSpacing/>
        <w:outlineLvl w:val="0"/>
        <w:rPr>
          <w:rFonts w:eastAsia="Times New Roman" w:cs="Times New Roman"/>
          <w:b/>
          <w:bCs/>
          <w:color w:val="0D0D0D" w:themeColor="text1" w:themeTint="F2"/>
          <w:szCs w:val="20"/>
        </w:rPr>
      </w:pPr>
    </w:p>
    <w:p w14:paraId="5329760D"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b/>
          <w:bCs/>
          <w:color w:val="0D0D0D" w:themeColor="text1" w:themeTint="F2"/>
          <w:szCs w:val="20"/>
        </w:rPr>
        <w:t xml:space="preserve">P. ¿Cuándo se seleccionarán los participantes </w:t>
      </w:r>
      <w:r>
        <w:rPr>
          <w:rFonts w:eastAsia="Times New Roman" w:cs="Times New Roman"/>
          <w:b/>
          <w:bCs/>
          <w:color w:val="0D0D0D" w:themeColor="text1" w:themeTint="F2"/>
          <w:szCs w:val="20"/>
        </w:rPr>
        <w:t xml:space="preserve">en </w:t>
      </w:r>
      <w:r w:rsidRPr="009A671C">
        <w:rPr>
          <w:rFonts w:eastAsia="Times New Roman" w:cs="Times New Roman"/>
          <w:b/>
          <w:bCs/>
          <w:color w:val="0D0D0D" w:themeColor="text1" w:themeTint="F2"/>
          <w:szCs w:val="20"/>
        </w:rPr>
        <w:t xml:space="preserve">el programa piloto FDA </w:t>
      </w:r>
      <w:proofErr w:type="spellStart"/>
      <w:r w:rsidRPr="009A671C">
        <w:rPr>
          <w:rFonts w:eastAsia="Times New Roman" w:cs="Times New Roman"/>
          <w:b/>
          <w:bCs/>
          <w:color w:val="0D0D0D" w:themeColor="text1" w:themeTint="F2"/>
          <w:szCs w:val="20"/>
        </w:rPr>
        <w:t>PreCheck</w:t>
      </w:r>
      <w:proofErr w:type="spellEnd"/>
      <w:r w:rsidRPr="009A671C">
        <w:rPr>
          <w:rFonts w:eastAsia="Times New Roman" w:cs="Times New Roman"/>
          <w:b/>
          <w:bCs/>
          <w:color w:val="0D0D0D" w:themeColor="text1" w:themeTint="F2"/>
          <w:szCs w:val="20"/>
        </w:rPr>
        <w:t>?</w:t>
      </w:r>
    </w:p>
    <w:p w14:paraId="78A2B606"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b/>
          <w:bCs/>
          <w:color w:val="0D0D0D" w:themeColor="text1" w:themeTint="F2"/>
          <w:szCs w:val="20"/>
        </w:rPr>
        <w:t>R/</w:t>
      </w:r>
      <w:r>
        <w:rPr>
          <w:rFonts w:eastAsia="Times New Roman" w:cs="Times New Roman"/>
          <w:color w:val="0D0D0D" w:themeColor="text1" w:themeTint="F2"/>
          <w:szCs w:val="20"/>
        </w:rPr>
        <w:t xml:space="preserve"> </w:t>
      </w:r>
      <w:r w:rsidRPr="009A671C">
        <w:rPr>
          <w:rFonts w:eastAsia="Times New Roman" w:cs="Times New Roman"/>
          <w:color w:val="0D0D0D" w:themeColor="text1" w:themeTint="F2"/>
          <w:szCs w:val="20"/>
        </w:rPr>
        <w:t xml:space="preserve">Los finalistas del programa FDA </w:t>
      </w:r>
      <w:proofErr w:type="spellStart"/>
      <w:r w:rsidRPr="009A671C">
        <w:rPr>
          <w:rFonts w:eastAsia="Times New Roman" w:cs="Times New Roman"/>
          <w:color w:val="0D0D0D" w:themeColor="text1" w:themeTint="F2"/>
          <w:szCs w:val="20"/>
        </w:rPr>
        <w:t>PreCheck</w:t>
      </w:r>
      <w:proofErr w:type="spellEnd"/>
      <w:r w:rsidRPr="009A671C">
        <w:rPr>
          <w:rFonts w:eastAsia="Times New Roman" w:cs="Times New Roman"/>
          <w:color w:val="0D0D0D" w:themeColor="text1" w:themeTint="F2"/>
          <w:szCs w:val="20"/>
        </w:rPr>
        <w:t xml:space="preserve"> serán notificados antes del 1 de abril de 2026, y la selección final se realizará antes del 30 de junio de 2026.</w:t>
      </w:r>
    </w:p>
    <w:p w14:paraId="152DF433" w14:textId="77777777" w:rsidR="006920D8" w:rsidRPr="009A671C" w:rsidRDefault="006920D8" w:rsidP="006920D8">
      <w:pPr>
        <w:contextualSpacing/>
        <w:outlineLvl w:val="0"/>
        <w:rPr>
          <w:rFonts w:eastAsia="Times New Roman" w:cs="Times New Roman"/>
          <w:b/>
          <w:bCs/>
          <w:color w:val="0D0D0D" w:themeColor="text1" w:themeTint="F2"/>
          <w:szCs w:val="20"/>
        </w:rPr>
      </w:pPr>
    </w:p>
    <w:p w14:paraId="1EFE1149"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b/>
          <w:bCs/>
          <w:color w:val="0D0D0D" w:themeColor="text1" w:themeTint="F2"/>
          <w:szCs w:val="20"/>
        </w:rPr>
        <w:t xml:space="preserve">P. ¿Quién evaluará las solicitudes para participar en el programa piloto </w:t>
      </w:r>
      <w:proofErr w:type="spellStart"/>
      <w:r w:rsidRPr="009A671C">
        <w:rPr>
          <w:rFonts w:eastAsia="Times New Roman" w:cs="Times New Roman"/>
          <w:b/>
          <w:bCs/>
          <w:color w:val="0D0D0D" w:themeColor="text1" w:themeTint="F2"/>
          <w:szCs w:val="20"/>
        </w:rPr>
        <w:t>PreCheck</w:t>
      </w:r>
      <w:proofErr w:type="spellEnd"/>
      <w:r w:rsidRPr="009A671C">
        <w:rPr>
          <w:rFonts w:eastAsia="Times New Roman" w:cs="Times New Roman"/>
          <w:b/>
          <w:bCs/>
          <w:color w:val="0D0D0D" w:themeColor="text1" w:themeTint="F2"/>
          <w:szCs w:val="20"/>
        </w:rPr>
        <w:t xml:space="preserve"> de la FDA?</w:t>
      </w:r>
    </w:p>
    <w:p w14:paraId="13E9DF4F"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b/>
          <w:bCs/>
          <w:color w:val="0D0D0D" w:themeColor="text1" w:themeTint="F2"/>
          <w:szCs w:val="20"/>
        </w:rPr>
        <w:t xml:space="preserve">R/ </w:t>
      </w:r>
      <w:r w:rsidRPr="009A671C">
        <w:rPr>
          <w:rFonts w:eastAsia="Times New Roman" w:cs="Times New Roman"/>
          <w:color w:val="0D0D0D" w:themeColor="text1" w:themeTint="F2"/>
          <w:szCs w:val="20"/>
        </w:rPr>
        <w:t>Las solicitudes de participación en el programa</w:t>
      </w:r>
      <w:r>
        <w:rPr>
          <w:rFonts w:eastAsia="Times New Roman" w:cs="Times New Roman"/>
          <w:color w:val="0D0D0D" w:themeColor="text1" w:themeTint="F2"/>
          <w:szCs w:val="20"/>
        </w:rPr>
        <w:t xml:space="preserve"> </w:t>
      </w:r>
      <w:r w:rsidRPr="009A671C">
        <w:rPr>
          <w:rFonts w:eastAsia="Times New Roman" w:cs="Times New Roman"/>
          <w:color w:val="0D0D0D" w:themeColor="text1" w:themeTint="F2"/>
          <w:szCs w:val="20"/>
        </w:rPr>
        <w:t xml:space="preserve">FDA </w:t>
      </w:r>
      <w:proofErr w:type="spellStart"/>
      <w:r w:rsidRPr="009A671C">
        <w:rPr>
          <w:rFonts w:eastAsia="Times New Roman" w:cs="Times New Roman"/>
          <w:color w:val="0D0D0D" w:themeColor="text1" w:themeTint="F2"/>
          <w:szCs w:val="20"/>
        </w:rPr>
        <w:t>PreCheck</w:t>
      </w:r>
      <w:proofErr w:type="spellEnd"/>
      <w:r w:rsidRPr="009A671C">
        <w:rPr>
          <w:rFonts w:eastAsia="Times New Roman" w:cs="Times New Roman"/>
          <w:color w:val="0D0D0D" w:themeColor="text1" w:themeTint="F2"/>
          <w:szCs w:val="20"/>
        </w:rPr>
        <w:t xml:space="preserve"> serán evaluadas por expertos en la materia del CDER y el CBER, siguiendo las prioridades y los criterios objetivos descritos en la página web de envío de solicitudes </w:t>
      </w:r>
      <w:r>
        <w:rPr>
          <w:rFonts w:eastAsia="Times New Roman" w:cs="Times New Roman"/>
          <w:color w:val="0D0D0D" w:themeColor="text1" w:themeTint="F2"/>
          <w:szCs w:val="20"/>
        </w:rPr>
        <w:t>a</w:t>
      </w:r>
      <w:r w:rsidRPr="009A671C">
        <w:rPr>
          <w:rFonts w:eastAsia="Times New Roman" w:cs="Times New Roman"/>
          <w:color w:val="0D0D0D" w:themeColor="text1" w:themeTint="F2"/>
          <w:szCs w:val="20"/>
        </w:rPr>
        <w:t xml:space="preserve"> FDA </w:t>
      </w:r>
      <w:proofErr w:type="spellStart"/>
      <w:r w:rsidRPr="009A671C">
        <w:rPr>
          <w:rFonts w:eastAsia="Times New Roman" w:cs="Times New Roman"/>
          <w:color w:val="0D0D0D" w:themeColor="text1" w:themeTint="F2"/>
          <w:szCs w:val="20"/>
        </w:rPr>
        <w:t>PreCheck</w:t>
      </w:r>
      <w:proofErr w:type="spellEnd"/>
      <w:r w:rsidRPr="009A671C">
        <w:rPr>
          <w:rFonts w:eastAsia="Times New Roman" w:cs="Times New Roman"/>
          <w:color w:val="0D0D0D" w:themeColor="text1" w:themeTint="F2"/>
          <w:szCs w:val="20"/>
        </w:rPr>
        <w:t xml:space="preserve">. El envío de una solicitud de participación es un requisito previo para participar en el programa piloto. </w:t>
      </w:r>
      <w:r>
        <w:rPr>
          <w:rFonts w:eastAsia="Times New Roman" w:cs="Times New Roman"/>
          <w:color w:val="0D0D0D" w:themeColor="text1" w:themeTint="F2"/>
          <w:szCs w:val="20"/>
        </w:rPr>
        <w:t xml:space="preserve"> </w:t>
      </w:r>
    </w:p>
    <w:p w14:paraId="0E289F9C" w14:textId="77777777" w:rsidR="006920D8" w:rsidRPr="009A671C" w:rsidRDefault="006920D8" w:rsidP="006920D8">
      <w:pPr>
        <w:contextualSpacing/>
        <w:outlineLvl w:val="0"/>
        <w:rPr>
          <w:rFonts w:eastAsia="Times New Roman" w:cs="Times New Roman"/>
          <w:b/>
          <w:bCs/>
          <w:color w:val="0D0D0D" w:themeColor="text1" w:themeTint="F2"/>
          <w:szCs w:val="20"/>
        </w:rPr>
      </w:pPr>
    </w:p>
    <w:p w14:paraId="477FE935"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b/>
          <w:bCs/>
          <w:color w:val="0D0D0D" w:themeColor="text1" w:themeTint="F2"/>
          <w:szCs w:val="20"/>
        </w:rPr>
        <w:t xml:space="preserve">P. ¿El programa FDA </w:t>
      </w:r>
      <w:proofErr w:type="spellStart"/>
      <w:r w:rsidRPr="009A671C">
        <w:rPr>
          <w:rFonts w:eastAsia="Times New Roman" w:cs="Times New Roman"/>
          <w:b/>
          <w:bCs/>
          <w:color w:val="0D0D0D" w:themeColor="text1" w:themeTint="F2"/>
          <w:szCs w:val="20"/>
        </w:rPr>
        <w:t>PreCheck</w:t>
      </w:r>
      <w:proofErr w:type="spellEnd"/>
      <w:r w:rsidRPr="009A671C">
        <w:rPr>
          <w:rFonts w:eastAsia="Times New Roman" w:cs="Times New Roman"/>
          <w:b/>
          <w:bCs/>
          <w:color w:val="0D0D0D" w:themeColor="text1" w:themeTint="F2"/>
          <w:szCs w:val="20"/>
        </w:rPr>
        <w:t xml:space="preserve"> implicará evaluaciones de las instalaciones de la FDA en mis instalaciones de fabricación existentes?</w:t>
      </w:r>
    </w:p>
    <w:p w14:paraId="11225F50"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b/>
          <w:bCs/>
          <w:color w:val="0D0D0D" w:themeColor="text1" w:themeTint="F2"/>
          <w:szCs w:val="20"/>
        </w:rPr>
        <w:t>R/</w:t>
      </w:r>
      <w:r>
        <w:rPr>
          <w:rFonts w:eastAsia="Times New Roman" w:cs="Times New Roman"/>
          <w:color w:val="0D0D0D" w:themeColor="text1" w:themeTint="F2"/>
          <w:szCs w:val="20"/>
        </w:rPr>
        <w:t xml:space="preserve"> </w:t>
      </w:r>
      <w:r w:rsidRPr="009A671C">
        <w:rPr>
          <w:rFonts w:eastAsia="Times New Roman" w:cs="Times New Roman"/>
          <w:color w:val="0D0D0D" w:themeColor="text1" w:themeTint="F2"/>
          <w:szCs w:val="20"/>
        </w:rPr>
        <w:t>El programa FDA</w:t>
      </w:r>
      <w:r>
        <w:rPr>
          <w:rFonts w:eastAsia="Times New Roman" w:cs="Times New Roman"/>
          <w:color w:val="0D0D0D" w:themeColor="text1" w:themeTint="F2"/>
          <w:szCs w:val="20"/>
        </w:rPr>
        <w:t xml:space="preserve"> </w:t>
      </w:r>
      <w:proofErr w:type="spellStart"/>
      <w:r w:rsidRPr="009A671C">
        <w:rPr>
          <w:rFonts w:eastAsia="Times New Roman" w:cs="Times New Roman"/>
          <w:color w:val="0D0D0D" w:themeColor="text1" w:themeTint="F2"/>
          <w:szCs w:val="20"/>
        </w:rPr>
        <w:t>PreCheck</w:t>
      </w:r>
      <w:proofErr w:type="spellEnd"/>
      <w:r w:rsidRPr="009A671C">
        <w:rPr>
          <w:rFonts w:eastAsia="Times New Roman" w:cs="Times New Roman"/>
          <w:color w:val="0D0D0D" w:themeColor="text1" w:themeTint="F2"/>
          <w:szCs w:val="20"/>
        </w:rPr>
        <w:t xml:space="preserve"> se centra en las nuevas instalaciones de fabricación en EE UU</w:t>
      </w:r>
      <w:r>
        <w:rPr>
          <w:rFonts w:eastAsia="Times New Roman" w:cs="Times New Roman"/>
          <w:color w:val="0D0D0D" w:themeColor="text1" w:themeTint="F2"/>
          <w:szCs w:val="20"/>
        </w:rPr>
        <w:t>,</w:t>
      </w:r>
      <w:r w:rsidRPr="009A671C">
        <w:rPr>
          <w:rFonts w:eastAsia="Times New Roman" w:cs="Times New Roman"/>
          <w:color w:val="0D0D0D" w:themeColor="text1" w:themeTint="F2"/>
          <w:szCs w:val="20"/>
        </w:rPr>
        <w:t xml:space="preserve"> y no incluirá evaluaciones de instalaciones de fabricación existentes que no estén incluidas en la solicitud de FDA </w:t>
      </w:r>
      <w:proofErr w:type="spellStart"/>
      <w:r w:rsidRPr="009A671C">
        <w:rPr>
          <w:rFonts w:eastAsia="Times New Roman" w:cs="Times New Roman"/>
          <w:color w:val="0D0D0D" w:themeColor="text1" w:themeTint="F2"/>
          <w:szCs w:val="20"/>
        </w:rPr>
        <w:t>PreCheck</w:t>
      </w:r>
      <w:proofErr w:type="spellEnd"/>
      <w:r w:rsidRPr="009A671C">
        <w:rPr>
          <w:rFonts w:eastAsia="Times New Roman" w:cs="Times New Roman"/>
          <w:color w:val="0D0D0D" w:themeColor="text1" w:themeTint="F2"/>
          <w:szCs w:val="20"/>
        </w:rPr>
        <w:t>.</w:t>
      </w:r>
    </w:p>
    <w:p w14:paraId="6EAF375B" w14:textId="77777777" w:rsidR="006920D8" w:rsidRPr="00EC12E5" w:rsidRDefault="006920D8" w:rsidP="006920D8">
      <w:pPr>
        <w:contextualSpacing/>
        <w:outlineLvl w:val="0"/>
        <w:rPr>
          <w:rFonts w:eastAsia="Times New Roman" w:cs="Times New Roman"/>
          <w:b/>
          <w:bCs/>
          <w:color w:val="0D0D0D" w:themeColor="text1" w:themeTint="F2"/>
          <w:szCs w:val="20"/>
        </w:rPr>
      </w:pPr>
    </w:p>
    <w:p w14:paraId="52EBA035"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b/>
          <w:bCs/>
          <w:color w:val="0D0D0D" w:themeColor="text1" w:themeTint="F2"/>
          <w:szCs w:val="20"/>
        </w:rPr>
        <w:t>P. ¿Puede una empresa presentar varias solicitudes de participación para diferentes plantas de fabricación farmacéutica?</w:t>
      </w:r>
    </w:p>
    <w:p w14:paraId="346DFEBA"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b/>
          <w:bCs/>
          <w:color w:val="0D0D0D" w:themeColor="text1" w:themeTint="F2"/>
          <w:szCs w:val="20"/>
        </w:rPr>
        <w:t>R/</w:t>
      </w:r>
      <w:r>
        <w:rPr>
          <w:rFonts w:eastAsia="Times New Roman" w:cs="Times New Roman"/>
          <w:color w:val="0D0D0D" w:themeColor="text1" w:themeTint="F2"/>
          <w:szCs w:val="20"/>
        </w:rPr>
        <w:t xml:space="preserve"> </w:t>
      </w:r>
      <w:r w:rsidRPr="009A671C">
        <w:rPr>
          <w:rFonts w:eastAsia="Times New Roman" w:cs="Times New Roman"/>
          <w:color w:val="0D0D0D" w:themeColor="text1" w:themeTint="F2"/>
          <w:szCs w:val="20"/>
        </w:rPr>
        <w:t xml:space="preserve">No, una empresa solo puede solicitar la admisión al programa piloto para una </w:t>
      </w:r>
      <w:r>
        <w:rPr>
          <w:rFonts w:eastAsia="Times New Roman" w:cs="Times New Roman"/>
          <w:color w:val="0D0D0D" w:themeColor="text1" w:themeTint="F2"/>
          <w:szCs w:val="20"/>
        </w:rPr>
        <w:t>sola</w:t>
      </w:r>
      <w:r w:rsidRPr="009A671C">
        <w:rPr>
          <w:rFonts w:eastAsia="Times New Roman" w:cs="Times New Roman"/>
          <w:color w:val="0D0D0D" w:themeColor="text1" w:themeTint="F2"/>
          <w:szCs w:val="20"/>
        </w:rPr>
        <w:t xml:space="preserve"> planta de fabricación farmacéutica. Sin embargo, al revisar las solicitudes de FDA </w:t>
      </w:r>
      <w:proofErr w:type="spellStart"/>
      <w:r w:rsidRPr="009A671C">
        <w:rPr>
          <w:rFonts w:eastAsia="Times New Roman" w:cs="Times New Roman"/>
          <w:color w:val="0D0D0D" w:themeColor="text1" w:themeTint="F2"/>
          <w:szCs w:val="20"/>
        </w:rPr>
        <w:t>PreCheck</w:t>
      </w:r>
      <w:proofErr w:type="spellEnd"/>
      <w:r w:rsidRPr="009A671C">
        <w:rPr>
          <w:rFonts w:eastAsia="Times New Roman" w:cs="Times New Roman"/>
          <w:color w:val="0D0D0D" w:themeColor="text1" w:themeTint="F2"/>
          <w:szCs w:val="20"/>
        </w:rPr>
        <w:t xml:space="preserve">, la FDA considerará si una planta puede servir de modelo para futuras plantas de fabricación adicionales que la empresa </w:t>
      </w:r>
      <w:r>
        <w:rPr>
          <w:rFonts w:eastAsia="Times New Roman" w:cs="Times New Roman"/>
          <w:color w:val="0D0D0D" w:themeColor="text1" w:themeTint="F2"/>
          <w:szCs w:val="20"/>
        </w:rPr>
        <w:t>tenga intención de</w:t>
      </w:r>
      <w:r w:rsidRPr="009A671C">
        <w:rPr>
          <w:rFonts w:eastAsia="Times New Roman" w:cs="Times New Roman"/>
          <w:color w:val="0D0D0D" w:themeColor="text1" w:themeTint="F2"/>
          <w:szCs w:val="20"/>
        </w:rPr>
        <w:t xml:space="preserve"> desarrollar.</w:t>
      </w:r>
    </w:p>
    <w:p w14:paraId="7AD1E781" w14:textId="77777777" w:rsidR="006920D8" w:rsidRPr="009A671C" w:rsidRDefault="006920D8" w:rsidP="006920D8">
      <w:pPr>
        <w:contextualSpacing/>
        <w:outlineLvl w:val="0"/>
        <w:rPr>
          <w:rFonts w:eastAsia="Times New Roman" w:cs="Times New Roman"/>
          <w:b/>
          <w:bCs/>
          <w:color w:val="0D0D0D" w:themeColor="text1" w:themeTint="F2"/>
          <w:szCs w:val="20"/>
        </w:rPr>
      </w:pPr>
    </w:p>
    <w:p w14:paraId="61AB3A12"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b/>
          <w:bCs/>
          <w:color w:val="0D0D0D" w:themeColor="text1" w:themeTint="F2"/>
          <w:szCs w:val="20"/>
        </w:rPr>
        <w:t xml:space="preserve">P. ¿Cómo sabrá una empresa si ha sido seleccionada como finalista para el Programa Piloto </w:t>
      </w:r>
      <w:proofErr w:type="spellStart"/>
      <w:r w:rsidRPr="009A671C">
        <w:rPr>
          <w:rFonts w:eastAsia="Times New Roman" w:cs="Times New Roman"/>
          <w:b/>
          <w:bCs/>
          <w:color w:val="0D0D0D" w:themeColor="text1" w:themeTint="F2"/>
          <w:szCs w:val="20"/>
        </w:rPr>
        <w:t>PreCheck</w:t>
      </w:r>
      <w:proofErr w:type="spellEnd"/>
      <w:r w:rsidRPr="009A671C">
        <w:rPr>
          <w:rFonts w:eastAsia="Times New Roman" w:cs="Times New Roman"/>
          <w:b/>
          <w:bCs/>
          <w:color w:val="0D0D0D" w:themeColor="text1" w:themeTint="F2"/>
          <w:szCs w:val="20"/>
        </w:rPr>
        <w:t xml:space="preserve"> de la FDA?</w:t>
      </w:r>
    </w:p>
    <w:p w14:paraId="00DFA846"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b/>
          <w:bCs/>
          <w:color w:val="0D0D0D" w:themeColor="text1" w:themeTint="F2"/>
          <w:szCs w:val="20"/>
        </w:rPr>
        <w:t>R/</w:t>
      </w:r>
      <w:r>
        <w:rPr>
          <w:rFonts w:eastAsia="Times New Roman" w:cs="Times New Roman"/>
          <w:color w:val="0D0D0D" w:themeColor="text1" w:themeTint="F2"/>
          <w:szCs w:val="20"/>
        </w:rPr>
        <w:t xml:space="preserve"> Se notificará a las</w:t>
      </w:r>
      <w:r w:rsidRPr="009A671C">
        <w:rPr>
          <w:rFonts w:eastAsia="Times New Roman" w:cs="Times New Roman"/>
          <w:color w:val="0D0D0D" w:themeColor="text1" w:themeTint="F2"/>
          <w:szCs w:val="20"/>
        </w:rPr>
        <w:t xml:space="preserve"> empresas s</w:t>
      </w:r>
      <w:r>
        <w:rPr>
          <w:rFonts w:eastAsia="Times New Roman" w:cs="Times New Roman"/>
          <w:color w:val="0D0D0D" w:themeColor="text1" w:themeTint="F2"/>
          <w:szCs w:val="20"/>
        </w:rPr>
        <w:t xml:space="preserve">eleccionadas </w:t>
      </w:r>
      <w:r w:rsidRPr="009A671C">
        <w:rPr>
          <w:rFonts w:eastAsia="Times New Roman" w:cs="Times New Roman"/>
          <w:color w:val="0D0D0D" w:themeColor="text1" w:themeTint="F2"/>
          <w:szCs w:val="20"/>
        </w:rPr>
        <w:t xml:space="preserve">como finalistas para el Programa Piloto </w:t>
      </w:r>
      <w:r>
        <w:rPr>
          <w:rFonts w:eastAsia="Times New Roman" w:cs="Times New Roman"/>
          <w:color w:val="0D0D0D" w:themeColor="text1" w:themeTint="F2"/>
          <w:szCs w:val="20"/>
        </w:rPr>
        <w:t xml:space="preserve">FDA </w:t>
      </w:r>
      <w:proofErr w:type="spellStart"/>
      <w:r w:rsidRPr="009A671C">
        <w:rPr>
          <w:rFonts w:eastAsia="Times New Roman" w:cs="Times New Roman"/>
          <w:color w:val="0D0D0D" w:themeColor="text1" w:themeTint="F2"/>
          <w:szCs w:val="20"/>
        </w:rPr>
        <w:t>PreCheck</w:t>
      </w:r>
      <w:proofErr w:type="spellEnd"/>
      <w:r w:rsidRPr="009A671C">
        <w:rPr>
          <w:rFonts w:eastAsia="Times New Roman" w:cs="Times New Roman"/>
          <w:color w:val="0D0D0D" w:themeColor="text1" w:themeTint="F2"/>
          <w:szCs w:val="20"/>
        </w:rPr>
        <w:t xml:space="preserve"> de la FDA por correo electrónico</w:t>
      </w:r>
      <w:r>
        <w:rPr>
          <w:rFonts w:eastAsia="Times New Roman" w:cs="Times New Roman"/>
          <w:color w:val="0D0D0D" w:themeColor="text1" w:themeTint="F2"/>
          <w:szCs w:val="20"/>
        </w:rPr>
        <w:t>,</w:t>
      </w:r>
      <w:r w:rsidRPr="009A671C">
        <w:rPr>
          <w:rFonts w:eastAsia="Times New Roman" w:cs="Times New Roman"/>
          <w:color w:val="0D0D0D" w:themeColor="text1" w:themeTint="F2"/>
          <w:szCs w:val="20"/>
        </w:rPr>
        <w:t xml:space="preserve"> y es posible que se les solicite que envíen información adicional para que la FDA seleccione a los participantes finales del Programa Piloto </w:t>
      </w:r>
      <w:r>
        <w:rPr>
          <w:rFonts w:eastAsia="Times New Roman" w:cs="Times New Roman"/>
          <w:color w:val="0D0D0D" w:themeColor="text1" w:themeTint="F2"/>
          <w:szCs w:val="20"/>
        </w:rPr>
        <w:t xml:space="preserve">FDA </w:t>
      </w:r>
      <w:proofErr w:type="spellStart"/>
      <w:r w:rsidRPr="009A671C">
        <w:rPr>
          <w:rFonts w:eastAsia="Times New Roman" w:cs="Times New Roman"/>
          <w:color w:val="0D0D0D" w:themeColor="text1" w:themeTint="F2"/>
          <w:szCs w:val="20"/>
        </w:rPr>
        <w:t>PreCheck</w:t>
      </w:r>
      <w:proofErr w:type="spellEnd"/>
      <w:r w:rsidRPr="009A671C">
        <w:rPr>
          <w:rFonts w:eastAsia="Times New Roman" w:cs="Times New Roman"/>
          <w:color w:val="0D0D0D" w:themeColor="text1" w:themeTint="F2"/>
          <w:szCs w:val="20"/>
        </w:rPr>
        <w:t>.</w:t>
      </w:r>
    </w:p>
    <w:p w14:paraId="1F472FD7" w14:textId="77777777" w:rsidR="006920D8" w:rsidRPr="009A671C" w:rsidRDefault="006920D8" w:rsidP="006920D8">
      <w:pPr>
        <w:contextualSpacing/>
        <w:outlineLvl w:val="0"/>
        <w:rPr>
          <w:rFonts w:eastAsia="Times New Roman" w:cs="Times New Roman"/>
          <w:b/>
          <w:bCs/>
          <w:color w:val="0D0D0D" w:themeColor="text1" w:themeTint="F2"/>
          <w:szCs w:val="20"/>
        </w:rPr>
      </w:pPr>
    </w:p>
    <w:p w14:paraId="09031D9B"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b/>
          <w:bCs/>
          <w:color w:val="0D0D0D" w:themeColor="text1" w:themeTint="F2"/>
          <w:szCs w:val="20"/>
        </w:rPr>
        <w:t xml:space="preserve">P. ¿Es obligatoria la participación en el Programa Piloto </w:t>
      </w:r>
      <w:r>
        <w:rPr>
          <w:rFonts w:eastAsia="Times New Roman" w:cs="Times New Roman"/>
          <w:b/>
          <w:bCs/>
          <w:color w:val="0D0D0D" w:themeColor="text1" w:themeTint="F2"/>
          <w:szCs w:val="20"/>
        </w:rPr>
        <w:t xml:space="preserve">FDA </w:t>
      </w:r>
      <w:proofErr w:type="spellStart"/>
      <w:r w:rsidRPr="009A671C">
        <w:rPr>
          <w:rFonts w:eastAsia="Times New Roman" w:cs="Times New Roman"/>
          <w:b/>
          <w:bCs/>
          <w:color w:val="0D0D0D" w:themeColor="text1" w:themeTint="F2"/>
          <w:szCs w:val="20"/>
        </w:rPr>
        <w:t>PreCheck</w:t>
      </w:r>
      <w:proofErr w:type="spellEnd"/>
      <w:r w:rsidRPr="009A671C">
        <w:rPr>
          <w:rFonts w:eastAsia="Times New Roman" w:cs="Times New Roman"/>
          <w:b/>
          <w:bCs/>
          <w:color w:val="0D0D0D" w:themeColor="text1" w:themeTint="F2"/>
          <w:szCs w:val="20"/>
        </w:rPr>
        <w:t xml:space="preserve"> para la aprobación de una solicitud de producto?</w:t>
      </w:r>
    </w:p>
    <w:p w14:paraId="579381C3"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b/>
          <w:bCs/>
          <w:color w:val="0D0D0D" w:themeColor="text1" w:themeTint="F2"/>
          <w:szCs w:val="20"/>
        </w:rPr>
        <w:t>R/</w:t>
      </w:r>
      <w:r>
        <w:rPr>
          <w:rFonts w:eastAsia="Times New Roman" w:cs="Times New Roman"/>
          <w:color w:val="0D0D0D" w:themeColor="text1" w:themeTint="F2"/>
          <w:szCs w:val="20"/>
        </w:rPr>
        <w:t xml:space="preserve"> </w:t>
      </w:r>
      <w:r w:rsidRPr="009A671C">
        <w:rPr>
          <w:rFonts w:eastAsia="Times New Roman" w:cs="Times New Roman"/>
          <w:color w:val="0D0D0D" w:themeColor="text1" w:themeTint="F2"/>
          <w:szCs w:val="20"/>
        </w:rPr>
        <w:t xml:space="preserve">No. La participación en FDA </w:t>
      </w:r>
      <w:proofErr w:type="spellStart"/>
      <w:r w:rsidRPr="009A671C">
        <w:rPr>
          <w:rFonts w:eastAsia="Times New Roman" w:cs="Times New Roman"/>
          <w:color w:val="0D0D0D" w:themeColor="text1" w:themeTint="F2"/>
          <w:szCs w:val="20"/>
        </w:rPr>
        <w:t>PreCheck</w:t>
      </w:r>
      <w:proofErr w:type="spellEnd"/>
      <w:r w:rsidRPr="009A671C">
        <w:rPr>
          <w:rFonts w:eastAsia="Times New Roman" w:cs="Times New Roman"/>
          <w:color w:val="0D0D0D" w:themeColor="text1" w:themeTint="F2"/>
          <w:szCs w:val="20"/>
        </w:rPr>
        <w:t xml:space="preserve"> es voluntaria y no es obligatoria para la aprobación de ninguna solicitud futura de NDA, BLA o ANDA.</w:t>
      </w:r>
    </w:p>
    <w:p w14:paraId="50E5EBBF" w14:textId="77777777" w:rsidR="006920D8" w:rsidRPr="009A671C" w:rsidRDefault="006920D8" w:rsidP="006920D8">
      <w:pPr>
        <w:contextualSpacing/>
        <w:outlineLvl w:val="0"/>
        <w:rPr>
          <w:rFonts w:eastAsia="Times New Roman" w:cs="Times New Roman"/>
          <w:b/>
          <w:bCs/>
          <w:color w:val="0D0D0D" w:themeColor="text1" w:themeTint="F2"/>
          <w:szCs w:val="20"/>
        </w:rPr>
      </w:pPr>
    </w:p>
    <w:p w14:paraId="1F91CEB6"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b/>
          <w:bCs/>
          <w:color w:val="0D0D0D" w:themeColor="text1" w:themeTint="F2"/>
          <w:szCs w:val="20"/>
        </w:rPr>
        <w:t xml:space="preserve">P. ¿La selección para el programa FDA </w:t>
      </w:r>
      <w:proofErr w:type="spellStart"/>
      <w:r w:rsidRPr="009A671C">
        <w:rPr>
          <w:rFonts w:eastAsia="Times New Roman" w:cs="Times New Roman"/>
          <w:b/>
          <w:bCs/>
          <w:color w:val="0D0D0D" w:themeColor="text1" w:themeTint="F2"/>
          <w:szCs w:val="20"/>
        </w:rPr>
        <w:t>PreCheck</w:t>
      </w:r>
      <w:proofErr w:type="spellEnd"/>
      <w:r w:rsidRPr="009A671C">
        <w:rPr>
          <w:rFonts w:eastAsia="Times New Roman" w:cs="Times New Roman"/>
          <w:b/>
          <w:bCs/>
          <w:color w:val="0D0D0D" w:themeColor="text1" w:themeTint="F2"/>
          <w:szCs w:val="20"/>
        </w:rPr>
        <w:t xml:space="preserve"> garantiza una aprobación o inspección del producto más rápida?</w:t>
      </w:r>
    </w:p>
    <w:p w14:paraId="37B3EB2B"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b/>
          <w:bCs/>
          <w:color w:val="0D0D0D" w:themeColor="text1" w:themeTint="F2"/>
          <w:szCs w:val="20"/>
        </w:rPr>
        <w:t>R/</w:t>
      </w:r>
      <w:r>
        <w:rPr>
          <w:rFonts w:eastAsia="Times New Roman" w:cs="Times New Roman"/>
          <w:color w:val="0D0D0D" w:themeColor="text1" w:themeTint="F2"/>
          <w:szCs w:val="20"/>
        </w:rPr>
        <w:t xml:space="preserve"> </w:t>
      </w:r>
      <w:r w:rsidRPr="009A671C">
        <w:rPr>
          <w:rFonts w:eastAsia="Times New Roman" w:cs="Times New Roman"/>
          <w:color w:val="0D0D0D" w:themeColor="text1" w:themeTint="F2"/>
          <w:szCs w:val="20"/>
        </w:rPr>
        <w:t xml:space="preserve">No. El programa FDA </w:t>
      </w:r>
      <w:proofErr w:type="spellStart"/>
      <w:r w:rsidRPr="009A671C">
        <w:rPr>
          <w:rFonts w:eastAsia="Times New Roman" w:cs="Times New Roman"/>
          <w:color w:val="0D0D0D" w:themeColor="text1" w:themeTint="F2"/>
          <w:szCs w:val="20"/>
        </w:rPr>
        <w:t>PreCheck</w:t>
      </w:r>
      <w:proofErr w:type="spellEnd"/>
      <w:r w:rsidRPr="009A671C">
        <w:rPr>
          <w:rFonts w:eastAsia="Times New Roman" w:cs="Times New Roman"/>
          <w:color w:val="0D0D0D" w:themeColor="text1" w:themeTint="F2"/>
          <w:szCs w:val="20"/>
        </w:rPr>
        <w:t xml:space="preserve"> tiene como objetivo facilitar la alineación temprana y la previsibilidad regulatoria para el desarrollo de instalaciones, pero no garantiza revisiones, aprobaciones o resultados acelerados de inspección de productos.</w:t>
      </w:r>
    </w:p>
    <w:p w14:paraId="0C519C4D" w14:textId="77777777" w:rsidR="006920D8" w:rsidRPr="009A671C" w:rsidRDefault="006920D8" w:rsidP="006920D8">
      <w:pPr>
        <w:contextualSpacing/>
        <w:outlineLvl w:val="0"/>
        <w:rPr>
          <w:rFonts w:eastAsia="Times New Roman" w:cs="Times New Roman"/>
          <w:b/>
          <w:bCs/>
          <w:color w:val="0D0D0D" w:themeColor="text1" w:themeTint="F2"/>
          <w:szCs w:val="20"/>
        </w:rPr>
      </w:pPr>
    </w:p>
    <w:p w14:paraId="31E5FAFC"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b/>
          <w:bCs/>
          <w:color w:val="0D0D0D" w:themeColor="text1" w:themeTint="F2"/>
          <w:szCs w:val="20"/>
        </w:rPr>
        <w:t>P. ¿Qué nivel de compromiso de recursos se espera de los participantes seleccionados?</w:t>
      </w:r>
    </w:p>
    <w:p w14:paraId="5EDA542F"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b/>
          <w:bCs/>
          <w:color w:val="0D0D0D" w:themeColor="text1" w:themeTint="F2"/>
          <w:szCs w:val="20"/>
        </w:rPr>
        <w:t>R/</w:t>
      </w:r>
      <w:r>
        <w:rPr>
          <w:rFonts w:eastAsia="Times New Roman" w:cs="Times New Roman"/>
          <w:color w:val="0D0D0D" w:themeColor="text1" w:themeTint="F2"/>
          <w:szCs w:val="20"/>
        </w:rPr>
        <w:t xml:space="preserve"> </w:t>
      </w:r>
      <w:r w:rsidRPr="009A671C">
        <w:rPr>
          <w:rFonts w:eastAsia="Times New Roman" w:cs="Times New Roman"/>
          <w:color w:val="0D0D0D" w:themeColor="text1" w:themeTint="F2"/>
          <w:szCs w:val="20"/>
        </w:rPr>
        <w:t>Los participantes seleccionados deber</w:t>
      </w:r>
      <w:r>
        <w:rPr>
          <w:rFonts w:eastAsia="Times New Roman" w:cs="Times New Roman"/>
          <w:color w:val="0D0D0D" w:themeColor="text1" w:themeTint="F2"/>
          <w:szCs w:val="20"/>
        </w:rPr>
        <w:t>ían esperar que se entable una</w:t>
      </w:r>
      <w:r w:rsidRPr="009A671C">
        <w:rPr>
          <w:rFonts w:eastAsia="Times New Roman" w:cs="Times New Roman"/>
          <w:color w:val="0D0D0D" w:themeColor="text1" w:themeTint="F2"/>
          <w:szCs w:val="20"/>
        </w:rPr>
        <w:t xml:space="preserve"> colaboración regular con la FDA durante todo el período </w:t>
      </w:r>
      <w:r>
        <w:rPr>
          <w:rFonts w:eastAsia="Times New Roman" w:cs="Times New Roman"/>
          <w:color w:val="0D0D0D" w:themeColor="text1" w:themeTint="F2"/>
          <w:szCs w:val="20"/>
        </w:rPr>
        <w:t xml:space="preserve">que dure el </w:t>
      </w:r>
      <w:r w:rsidRPr="009A671C">
        <w:rPr>
          <w:rFonts w:eastAsia="Times New Roman" w:cs="Times New Roman"/>
          <w:color w:val="0D0D0D" w:themeColor="text1" w:themeTint="F2"/>
          <w:szCs w:val="20"/>
        </w:rPr>
        <w:t>piloto. Por lo tanto, deberán estar preparados para colaborar con la FDA durante las actividades de evaluación de las instalaciones d</w:t>
      </w:r>
      <w:r>
        <w:rPr>
          <w:rFonts w:eastAsia="Times New Roman" w:cs="Times New Roman"/>
          <w:color w:val="0D0D0D" w:themeColor="text1" w:themeTint="F2"/>
          <w:szCs w:val="20"/>
        </w:rPr>
        <w:t>urante</w:t>
      </w:r>
      <w:r w:rsidRPr="009A671C">
        <w:rPr>
          <w:rFonts w:eastAsia="Times New Roman" w:cs="Times New Roman"/>
          <w:color w:val="0D0D0D" w:themeColor="text1" w:themeTint="F2"/>
          <w:szCs w:val="20"/>
        </w:rPr>
        <w:t xml:space="preserve"> la Fase 1 y la Fase 2 del programa FDA </w:t>
      </w:r>
      <w:proofErr w:type="spellStart"/>
      <w:r w:rsidRPr="009A671C">
        <w:rPr>
          <w:rFonts w:eastAsia="Times New Roman" w:cs="Times New Roman"/>
          <w:color w:val="0D0D0D" w:themeColor="text1" w:themeTint="F2"/>
          <w:szCs w:val="20"/>
        </w:rPr>
        <w:t>PreCheck</w:t>
      </w:r>
      <w:proofErr w:type="spellEnd"/>
      <w:r w:rsidRPr="009A671C">
        <w:rPr>
          <w:rFonts w:eastAsia="Times New Roman" w:cs="Times New Roman"/>
          <w:color w:val="0D0D0D" w:themeColor="text1" w:themeTint="F2"/>
          <w:szCs w:val="20"/>
        </w:rPr>
        <w:t>, asignando los recursos adecuados, proporcionando información oportuna sobre las instalaciones y otorgando acceso a las áreas de las instalaciones durante posibles visitas.</w:t>
      </w:r>
    </w:p>
    <w:p w14:paraId="78DC8994" w14:textId="77777777" w:rsidR="006920D8" w:rsidRPr="009A671C" w:rsidRDefault="006920D8" w:rsidP="006920D8">
      <w:pPr>
        <w:contextualSpacing/>
        <w:outlineLvl w:val="0"/>
        <w:rPr>
          <w:rFonts w:eastAsia="Times New Roman" w:cs="Times New Roman"/>
          <w:b/>
          <w:bCs/>
          <w:color w:val="0D0D0D" w:themeColor="text1" w:themeTint="F2"/>
          <w:szCs w:val="20"/>
        </w:rPr>
      </w:pPr>
    </w:p>
    <w:p w14:paraId="3F96F24B"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b/>
          <w:bCs/>
          <w:color w:val="0D0D0D" w:themeColor="text1" w:themeTint="F2"/>
          <w:szCs w:val="20"/>
        </w:rPr>
        <w:t xml:space="preserve">P. ¿Cuántos participantes serán seleccionados para la cohorte inicial del Programa Piloto </w:t>
      </w:r>
      <w:r>
        <w:rPr>
          <w:rFonts w:eastAsia="Times New Roman" w:cs="Times New Roman"/>
          <w:b/>
          <w:bCs/>
          <w:color w:val="0D0D0D" w:themeColor="text1" w:themeTint="F2"/>
          <w:szCs w:val="20"/>
        </w:rPr>
        <w:t xml:space="preserve">FDA </w:t>
      </w:r>
      <w:proofErr w:type="spellStart"/>
      <w:r w:rsidRPr="009A671C">
        <w:rPr>
          <w:rFonts w:eastAsia="Times New Roman" w:cs="Times New Roman"/>
          <w:b/>
          <w:bCs/>
          <w:color w:val="0D0D0D" w:themeColor="text1" w:themeTint="F2"/>
          <w:szCs w:val="20"/>
        </w:rPr>
        <w:t>PreCheck</w:t>
      </w:r>
      <w:proofErr w:type="spellEnd"/>
      <w:r w:rsidRPr="009A671C">
        <w:rPr>
          <w:rFonts w:eastAsia="Times New Roman" w:cs="Times New Roman"/>
          <w:b/>
          <w:bCs/>
          <w:color w:val="0D0D0D" w:themeColor="text1" w:themeTint="F2"/>
          <w:szCs w:val="20"/>
        </w:rPr>
        <w:t>?</w:t>
      </w:r>
    </w:p>
    <w:p w14:paraId="1CDA0715"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b/>
          <w:bCs/>
          <w:color w:val="0D0D0D" w:themeColor="text1" w:themeTint="F2"/>
          <w:szCs w:val="20"/>
        </w:rPr>
        <w:t>R/</w:t>
      </w:r>
      <w:r>
        <w:rPr>
          <w:rFonts w:eastAsia="Times New Roman" w:cs="Times New Roman"/>
          <w:color w:val="0D0D0D" w:themeColor="text1" w:themeTint="F2"/>
          <w:szCs w:val="20"/>
        </w:rPr>
        <w:t xml:space="preserve"> </w:t>
      </w:r>
      <w:r w:rsidRPr="009A671C">
        <w:rPr>
          <w:rFonts w:eastAsia="Times New Roman" w:cs="Times New Roman"/>
          <w:color w:val="0D0D0D" w:themeColor="text1" w:themeTint="F2"/>
          <w:szCs w:val="20"/>
        </w:rPr>
        <w:t xml:space="preserve">Debido al importante compromiso de recursos que se prevé que requerirá la FDA como parte del programa piloto, la FDA seleccionará a siete participantes para la cohorte inicial, provenientes de diversas instalaciones y productos que representen el mercado. Posteriormente, la FDA perfeccionará el proceso FDA </w:t>
      </w:r>
      <w:proofErr w:type="spellStart"/>
      <w:r w:rsidRPr="009A671C">
        <w:rPr>
          <w:rFonts w:eastAsia="Times New Roman" w:cs="Times New Roman"/>
          <w:color w:val="0D0D0D" w:themeColor="text1" w:themeTint="F2"/>
          <w:szCs w:val="20"/>
        </w:rPr>
        <w:t>PreCheck</w:t>
      </w:r>
      <w:proofErr w:type="spellEnd"/>
      <w:r w:rsidRPr="009A671C">
        <w:rPr>
          <w:rFonts w:eastAsia="Times New Roman" w:cs="Times New Roman"/>
          <w:color w:val="0D0D0D" w:themeColor="text1" w:themeTint="F2"/>
          <w:szCs w:val="20"/>
        </w:rPr>
        <w:t xml:space="preserve"> utilizando los datos recopilados durante el programa piloto para optimizarlo aún más.</w:t>
      </w:r>
    </w:p>
    <w:p w14:paraId="734E7051" w14:textId="77777777" w:rsidR="006920D8" w:rsidRPr="009A671C" w:rsidRDefault="006920D8" w:rsidP="006920D8">
      <w:pPr>
        <w:contextualSpacing/>
        <w:outlineLvl w:val="0"/>
        <w:rPr>
          <w:rFonts w:eastAsia="Times New Roman" w:cs="Times New Roman"/>
          <w:color w:val="0D0D0D" w:themeColor="text1" w:themeTint="F2"/>
          <w:szCs w:val="20"/>
        </w:rPr>
      </w:pPr>
    </w:p>
    <w:p w14:paraId="2337BC67" w14:textId="77777777" w:rsidR="006920D8" w:rsidRDefault="006920D8" w:rsidP="006920D8">
      <w:pPr>
        <w:contextualSpacing/>
        <w:outlineLvl w:val="0"/>
        <w:rPr>
          <w:rFonts w:cs="Times New Roman"/>
          <w:szCs w:val="20"/>
        </w:rPr>
      </w:pPr>
      <w:r w:rsidRPr="009A671C">
        <w:rPr>
          <w:rFonts w:eastAsia="Times New Roman" w:cs="Times New Roman"/>
          <w:b/>
          <w:bCs/>
          <w:color w:val="0D0D0D" w:themeColor="text1" w:themeTint="F2"/>
          <w:szCs w:val="20"/>
        </w:rPr>
        <w:t xml:space="preserve">Comentario de Salud y Fármacos: </w:t>
      </w:r>
      <w:r w:rsidRPr="009A671C">
        <w:rPr>
          <w:rFonts w:eastAsia="Times New Roman" w:cs="Times New Roman"/>
          <w:i/>
          <w:iCs/>
          <w:color w:val="0D0D0D" w:themeColor="text1" w:themeTint="F2"/>
          <w:szCs w:val="20"/>
        </w:rPr>
        <w:t xml:space="preserve">Global </w:t>
      </w:r>
      <w:proofErr w:type="spellStart"/>
      <w:r w:rsidRPr="009A671C">
        <w:rPr>
          <w:rFonts w:eastAsia="Times New Roman" w:cs="Times New Roman"/>
          <w:i/>
          <w:iCs/>
          <w:color w:val="0D0D0D" w:themeColor="text1" w:themeTint="F2"/>
          <w:szCs w:val="20"/>
        </w:rPr>
        <w:t>Farma</w:t>
      </w:r>
      <w:proofErr w:type="spellEnd"/>
      <w:r w:rsidRPr="009A671C">
        <w:rPr>
          <w:rFonts w:cs="Times New Roman"/>
          <w:szCs w:val="20"/>
        </w:rPr>
        <w:t xml:space="preserve"> informó que entre el 1 de febrero y el 1 de marzo de 2026 la FDA recibió más de 80 solicitudes para participar en el programa </w:t>
      </w:r>
      <w:r w:rsidRPr="009A671C">
        <w:rPr>
          <w:rFonts w:eastAsia="Times New Roman" w:cs="Times New Roman"/>
          <w:color w:val="0D0D0D" w:themeColor="text1" w:themeTint="F2"/>
          <w:szCs w:val="20"/>
        </w:rPr>
        <w:t>piloto</w:t>
      </w:r>
      <w:r w:rsidRPr="009A671C">
        <w:rPr>
          <w:rFonts w:cs="Times New Roman"/>
          <w:szCs w:val="20"/>
        </w:rPr>
        <w:t xml:space="preserve"> </w:t>
      </w:r>
      <w:proofErr w:type="spellStart"/>
      <w:r w:rsidRPr="009A671C">
        <w:rPr>
          <w:rFonts w:eastAsia="Times New Roman" w:cs="Times New Roman"/>
          <w:color w:val="0D0D0D" w:themeColor="text1" w:themeTint="F2"/>
          <w:szCs w:val="20"/>
        </w:rPr>
        <w:t>PreCheck</w:t>
      </w:r>
      <w:proofErr w:type="spellEnd"/>
      <w:r w:rsidRPr="009A671C">
        <w:rPr>
          <w:rFonts w:cs="Times New Roman"/>
          <w:szCs w:val="20"/>
        </w:rPr>
        <w:t>, en el cual,</w:t>
      </w:r>
      <w:r>
        <w:rPr>
          <w:rFonts w:cs="Times New Roman"/>
          <w:szCs w:val="20"/>
        </w:rPr>
        <w:t xml:space="preserve"> </w:t>
      </w:r>
      <w:r w:rsidRPr="009A671C">
        <w:rPr>
          <w:rFonts w:cs="Times New Roman"/>
          <w:szCs w:val="20"/>
        </w:rPr>
        <w:t>para ser elegibles, entre otros requisitos, las compañías debían proponer una nueva instalación de fabricación de medicamentos que cubriera necesidades de suministro del mercado o que mejorara el acceso a terapias para necesidades médicas no cubiertas [1].</w:t>
      </w:r>
    </w:p>
    <w:p w14:paraId="2C438154" w14:textId="77777777" w:rsidR="006920D8" w:rsidRPr="009A671C" w:rsidRDefault="006920D8" w:rsidP="006920D8">
      <w:pPr>
        <w:contextualSpacing/>
        <w:outlineLvl w:val="0"/>
        <w:rPr>
          <w:rFonts w:eastAsia="Times New Roman" w:cs="Times New Roman"/>
          <w:color w:val="0D0D0D" w:themeColor="text1" w:themeTint="F2"/>
          <w:szCs w:val="20"/>
        </w:rPr>
      </w:pPr>
    </w:p>
    <w:p w14:paraId="34C5390D" w14:textId="77777777" w:rsidR="006920D8" w:rsidRDefault="006920D8" w:rsidP="006920D8">
      <w:pPr>
        <w:rPr>
          <w:rFonts w:cs="Times New Roman"/>
          <w:szCs w:val="20"/>
        </w:rPr>
      </w:pPr>
      <w:r w:rsidRPr="009A671C">
        <w:rPr>
          <w:rFonts w:cs="Times New Roman"/>
          <w:szCs w:val="20"/>
        </w:rPr>
        <w:t>Las propuestas fueron evaluadas por la FDA mediante un</w:t>
      </w:r>
      <w:r>
        <w:rPr>
          <w:rFonts w:cs="Times New Roman"/>
          <w:szCs w:val="20"/>
        </w:rPr>
        <w:t xml:space="preserve">os criterios </w:t>
      </w:r>
      <w:r w:rsidRPr="009A671C">
        <w:rPr>
          <w:rFonts w:cs="Times New Roman"/>
          <w:szCs w:val="20"/>
        </w:rPr>
        <w:t>de valoración que tuv</w:t>
      </w:r>
      <w:r>
        <w:rPr>
          <w:rFonts w:cs="Times New Roman"/>
          <w:szCs w:val="20"/>
        </w:rPr>
        <w:t>ieron</w:t>
      </w:r>
      <w:r w:rsidRPr="009A671C">
        <w:rPr>
          <w:rFonts w:cs="Times New Roman"/>
          <w:szCs w:val="20"/>
        </w:rPr>
        <w:t xml:space="preserve"> en cuenta factores como los productos previstos a desarrollar, la fase de desarrollo de las instalaciones de las fábricas, el calendario estimado para la llegada de los medicamentos al mercado estadounidense y la innovación en los procesos de fabricación.</w:t>
      </w:r>
    </w:p>
    <w:p w14:paraId="0D2A70C8" w14:textId="77777777" w:rsidR="006920D8" w:rsidRPr="00A83847" w:rsidRDefault="006920D8" w:rsidP="006920D8">
      <w:pPr>
        <w:rPr>
          <w:rFonts w:cs="Times New Roman"/>
          <w:szCs w:val="20"/>
        </w:rPr>
      </w:pPr>
    </w:p>
    <w:p w14:paraId="30355FF4" w14:textId="77777777" w:rsidR="006920D8" w:rsidRPr="009A671C" w:rsidRDefault="006920D8" w:rsidP="006920D8">
      <w:pPr>
        <w:rPr>
          <w:rFonts w:cs="Times New Roman"/>
          <w:szCs w:val="20"/>
        </w:rPr>
      </w:pPr>
      <w:r w:rsidRPr="009A671C">
        <w:rPr>
          <w:rFonts w:cs="Times New Roman"/>
          <w:szCs w:val="20"/>
        </w:rPr>
        <w:t xml:space="preserve">Las siete empresas elegidas por la FDA para participar en el programa piloto </w:t>
      </w:r>
      <w:proofErr w:type="spellStart"/>
      <w:r w:rsidRPr="009A671C">
        <w:rPr>
          <w:rFonts w:eastAsia="Times New Roman" w:cs="Times New Roman"/>
          <w:color w:val="0D0D0D" w:themeColor="text1" w:themeTint="F2"/>
          <w:szCs w:val="20"/>
        </w:rPr>
        <w:t>PreCheck</w:t>
      </w:r>
      <w:proofErr w:type="spellEnd"/>
      <w:r w:rsidRPr="009A671C">
        <w:rPr>
          <w:rFonts w:cs="Times New Roman"/>
          <w:szCs w:val="20"/>
        </w:rPr>
        <w:t xml:space="preserve"> cuentan con instalaciones ubicadas en: </w:t>
      </w:r>
    </w:p>
    <w:p w14:paraId="0AAEEF6E" w14:textId="77777777" w:rsidR="006920D8" w:rsidRPr="00B07037" w:rsidRDefault="006920D8" w:rsidP="002478D5">
      <w:pPr>
        <w:pStyle w:val="Prrafodelista"/>
        <w:numPr>
          <w:ilvl w:val="0"/>
          <w:numId w:val="19"/>
        </w:numPr>
        <w:ind w:left="180" w:hanging="180"/>
        <w:rPr>
          <w:rFonts w:cs="Times New Roman"/>
          <w:szCs w:val="20"/>
        </w:rPr>
      </w:pPr>
      <w:r w:rsidRPr="009A671C">
        <w:rPr>
          <w:rFonts w:eastAsia="Times New Roman" w:cs="Times New Roman"/>
          <w:color w:val="0D0D0D" w:themeColor="text1" w:themeTint="F2"/>
          <w:szCs w:val="20"/>
        </w:rPr>
        <w:t>Carolina del Norte</w:t>
      </w:r>
      <w:r w:rsidRPr="009A671C">
        <w:rPr>
          <w:rFonts w:cs="Times New Roman"/>
          <w:szCs w:val="20"/>
        </w:rPr>
        <w:t xml:space="preserve">: </w:t>
      </w:r>
      <w:r w:rsidRPr="009A671C">
        <w:rPr>
          <w:rFonts w:eastAsia="Times New Roman" w:cs="Times New Roman"/>
          <w:color w:val="0D0D0D" w:themeColor="text1" w:themeTint="F2"/>
          <w:szCs w:val="20"/>
        </w:rPr>
        <w:t xml:space="preserve">FUJIFILM </w:t>
      </w:r>
      <w:proofErr w:type="spellStart"/>
      <w:r w:rsidRPr="009A671C">
        <w:rPr>
          <w:rFonts w:eastAsia="Times New Roman" w:cs="Times New Roman"/>
          <w:color w:val="0D0D0D" w:themeColor="text1" w:themeTint="F2"/>
          <w:szCs w:val="20"/>
        </w:rPr>
        <w:t>Biotechnologies</w:t>
      </w:r>
      <w:proofErr w:type="spellEnd"/>
      <w:r w:rsidRPr="009A671C">
        <w:rPr>
          <w:rFonts w:eastAsia="Times New Roman" w:cs="Times New Roman"/>
          <w:color w:val="0D0D0D" w:themeColor="text1" w:themeTint="F2"/>
          <w:szCs w:val="20"/>
        </w:rPr>
        <w:t xml:space="preserve">, </w:t>
      </w:r>
      <w:proofErr w:type="spellStart"/>
      <w:r w:rsidRPr="009A671C">
        <w:rPr>
          <w:rFonts w:eastAsia="Times New Roman" w:cs="Times New Roman"/>
          <w:color w:val="0D0D0D" w:themeColor="text1" w:themeTint="F2"/>
          <w:szCs w:val="20"/>
        </w:rPr>
        <w:t>Kriya</w:t>
      </w:r>
      <w:proofErr w:type="spellEnd"/>
      <w:r w:rsidRPr="009A671C">
        <w:rPr>
          <w:rFonts w:eastAsia="Times New Roman" w:cs="Times New Roman"/>
          <w:color w:val="0D0D0D" w:themeColor="text1" w:themeTint="F2"/>
          <w:szCs w:val="20"/>
        </w:rPr>
        <w:t xml:space="preserve"> </w:t>
      </w:r>
      <w:proofErr w:type="spellStart"/>
      <w:r w:rsidRPr="009A671C">
        <w:rPr>
          <w:rFonts w:eastAsia="Times New Roman" w:cs="Times New Roman"/>
          <w:color w:val="0D0D0D" w:themeColor="text1" w:themeTint="F2"/>
          <w:szCs w:val="20"/>
        </w:rPr>
        <w:t>Therapeutics</w:t>
      </w:r>
      <w:proofErr w:type="spellEnd"/>
      <w:r w:rsidRPr="009A671C">
        <w:rPr>
          <w:rFonts w:eastAsia="Times New Roman" w:cs="Times New Roman"/>
          <w:color w:val="0D0D0D" w:themeColor="text1" w:themeTint="F2"/>
          <w:szCs w:val="20"/>
        </w:rPr>
        <w:t xml:space="preserve"> Inc. y </w:t>
      </w:r>
      <w:proofErr w:type="spellStart"/>
      <w:r w:rsidRPr="009A671C">
        <w:rPr>
          <w:rFonts w:eastAsia="Times New Roman" w:cs="Times New Roman"/>
          <w:color w:val="0D0D0D" w:themeColor="text1" w:themeTint="F2"/>
          <w:szCs w:val="20"/>
        </w:rPr>
        <w:t>Kyowa</w:t>
      </w:r>
      <w:proofErr w:type="spellEnd"/>
      <w:r w:rsidRPr="009A671C">
        <w:rPr>
          <w:rFonts w:eastAsia="Times New Roman" w:cs="Times New Roman"/>
          <w:color w:val="0D0D0D" w:themeColor="text1" w:themeTint="F2"/>
          <w:szCs w:val="20"/>
        </w:rPr>
        <w:t xml:space="preserve"> Kirin Inc. </w:t>
      </w:r>
    </w:p>
    <w:p w14:paraId="742415FD" w14:textId="77777777" w:rsidR="006920D8" w:rsidRPr="009A671C" w:rsidRDefault="006920D8" w:rsidP="006920D8">
      <w:pPr>
        <w:pStyle w:val="Prrafodelista"/>
        <w:ind w:left="180" w:hanging="180"/>
        <w:rPr>
          <w:rFonts w:cs="Times New Roman"/>
          <w:szCs w:val="20"/>
        </w:rPr>
      </w:pPr>
    </w:p>
    <w:p w14:paraId="276C929B" w14:textId="77777777" w:rsidR="006920D8" w:rsidRDefault="006920D8" w:rsidP="002478D5">
      <w:pPr>
        <w:pStyle w:val="Prrafodelista"/>
        <w:numPr>
          <w:ilvl w:val="0"/>
          <w:numId w:val="18"/>
        </w:numPr>
        <w:ind w:left="180" w:hanging="180"/>
        <w:rPr>
          <w:rFonts w:eastAsia="Times New Roman" w:cs="Times New Roman"/>
          <w:color w:val="0D0D0D" w:themeColor="text1" w:themeTint="F2"/>
          <w:szCs w:val="20"/>
        </w:rPr>
      </w:pPr>
      <w:r w:rsidRPr="009A671C">
        <w:rPr>
          <w:rFonts w:cs="Times New Roman"/>
          <w:szCs w:val="20"/>
        </w:rPr>
        <w:lastRenderedPageBreak/>
        <w:t xml:space="preserve">Nueva York: </w:t>
      </w:r>
      <w:proofErr w:type="spellStart"/>
      <w:r w:rsidRPr="009A671C">
        <w:rPr>
          <w:rFonts w:eastAsia="Times New Roman" w:cs="Times New Roman"/>
          <w:color w:val="0D0D0D" w:themeColor="text1" w:themeTint="F2"/>
          <w:szCs w:val="20"/>
        </w:rPr>
        <w:t>Amneal</w:t>
      </w:r>
      <w:proofErr w:type="spellEnd"/>
      <w:r w:rsidRPr="009A671C">
        <w:rPr>
          <w:rFonts w:eastAsia="Times New Roman" w:cs="Times New Roman"/>
          <w:color w:val="0D0D0D" w:themeColor="text1" w:themeTint="F2"/>
          <w:szCs w:val="20"/>
        </w:rPr>
        <w:t xml:space="preserve"> </w:t>
      </w:r>
      <w:proofErr w:type="spellStart"/>
      <w:r w:rsidRPr="009A671C">
        <w:rPr>
          <w:rFonts w:eastAsia="Times New Roman" w:cs="Times New Roman"/>
          <w:color w:val="0D0D0D" w:themeColor="text1" w:themeTint="F2"/>
          <w:szCs w:val="20"/>
        </w:rPr>
        <w:t>Pharmaceuticals</w:t>
      </w:r>
      <w:proofErr w:type="spellEnd"/>
      <w:r w:rsidRPr="009A671C">
        <w:rPr>
          <w:rFonts w:eastAsia="Times New Roman" w:cs="Times New Roman"/>
          <w:color w:val="0D0D0D" w:themeColor="text1" w:themeTint="F2"/>
          <w:szCs w:val="20"/>
        </w:rPr>
        <w:t xml:space="preserve"> y </w:t>
      </w:r>
      <w:proofErr w:type="spellStart"/>
      <w:r w:rsidRPr="009A671C">
        <w:rPr>
          <w:rFonts w:eastAsia="Times New Roman" w:cs="Times New Roman"/>
          <w:color w:val="0D0D0D" w:themeColor="text1" w:themeTint="F2"/>
          <w:szCs w:val="20"/>
        </w:rPr>
        <w:t>Regeneron</w:t>
      </w:r>
      <w:proofErr w:type="spellEnd"/>
      <w:r w:rsidRPr="009A671C">
        <w:rPr>
          <w:rFonts w:eastAsia="Times New Roman" w:cs="Times New Roman"/>
          <w:color w:val="0D0D0D" w:themeColor="text1" w:themeTint="F2"/>
          <w:szCs w:val="20"/>
        </w:rPr>
        <w:t xml:space="preserve"> </w:t>
      </w:r>
      <w:proofErr w:type="spellStart"/>
      <w:r w:rsidRPr="009A671C">
        <w:rPr>
          <w:rFonts w:eastAsia="Times New Roman" w:cs="Times New Roman"/>
          <w:color w:val="0D0D0D" w:themeColor="text1" w:themeTint="F2"/>
          <w:szCs w:val="20"/>
        </w:rPr>
        <w:t>Pharmaceuticals</w:t>
      </w:r>
      <w:proofErr w:type="spellEnd"/>
      <w:r w:rsidRPr="009A671C">
        <w:rPr>
          <w:rFonts w:eastAsia="Times New Roman" w:cs="Times New Roman"/>
          <w:color w:val="0D0D0D" w:themeColor="text1" w:themeTint="F2"/>
          <w:szCs w:val="20"/>
        </w:rPr>
        <w:t xml:space="preserve"> Inc.</w:t>
      </w:r>
    </w:p>
    <w:p w14:paraId="0B411C5A" w14:textId="77777777" w:rsidR="006920D8" w:rsidRPr="009A671C" w:rsidRDefault="006920D8" w:rsidP="006920D8">
      <w:pPr>
        <w:pStyle w:val="Prrafodelista"/>
        <w:ind w:left="180" w:hanging="180"/>
        <w:rPr>
          <w:rFonts w:eastAsia="Times New Roman" w:cs="Times New Roman"/>
          <w:color w:val="0D0D0D" w:themeColor="text1" w:themeTint="F2"/>
          <w:szCs w:val="20"/>
        </w:rPr>
      </w:pPr>
    </w:p>
    <w:p w14:paraId="5BE96C94" w14:textId="77777777" w:rsidR="006920D8" w:rsidRDefault="006920D8" w:rsidP="002478D5">
      <w:pPr>
        <w:pStyle w:val="Prrafodelista"/>
        <w:numPr>
          <w:ilvl w:val="0"/>
          <w:numId w:val="18"/>
        </w:numPr>
        <w:ind w:left="180" w:hanging="180"/>
        <w:rPr>
          <w:rFonts w:eastAsia="Times New Roman" w:cs="Times New Roman"/>
          <w:color w:val="0D0D0D" w:themeColor="text1" w:themeTint="F2"/>
          <w:szCs w:val="20"/>
        </w:rPr>
      </w:pPr>
      <w:r w:rsidRPr="009A671C">
        <w:rPr>
          <w:rFonts w:eastAsia="Times New Roman" w:cs="Times New Roman"/>
          <w:color w:val="0D0D0D" w:themeColor="text1" w:themeTint="F2"/>
          <w:szCs w:val="20"/>
        </w:rPr>
        <w:t>Indiana: Ely Lilly</w:t>
      </w:r>
    </w:p>
    <w:p w14:paraId="24F75956" w14:textId="77777777" w:rsidR="006920D8" w:rsidRPr="00B07037" w:rsidRDefault="006920D8" w:rsidP="006920D8">
      <w:pPr>
        <w:ind w:left="180" w:hanging="180"/>
        <w:rPr>
          <w:rFonts w:eastAsia="Times New Roman" w:cs="Times New Roman"/>
          <w:color w:val="0D0D0D" w:themeColor="text1" w:themeTint="F2"/>
          <w:szCs w:val="20"/>
        </w:rPr>
      </w:pPr>
    </w:p>
    <w:p w14:paraId="402AFD7A" w14:textId="77777777" w:rsidR="006920D8" w:rsidRPr="009A671C" w:rsidRDefault="006920D8" w:rsidP="002478D5">
      <w:pPr>
        <w:pStyle w:val="Prrafodelista"/>
        <w:numPr>
          <w:ilvl w:val="0"/>
          <w:numId w:val="18"/>
        </w:numPr>
        <w:ind w:left="180" w:hanging="180"/>
        <w:rPr>
          <w:rFonts w:eastAsia="Times New Roman" w:cs="Times New Roman"/>
          <w:color w:val="0D0D0D" w:themeColor="text1" w:themeTint="F2"/>
          <w:szCs w:val="20"/>
        </w:rPr>
      </w:pPr>
      <w:r w:rsidRPr="009A671C">
        <w:rPr>
          <w:rFonts w:eastAsia="Times New Roman" w:cs="Times New Roman"/>
          <w:color w:val="0D0D0D" w:themeColor="text1" w:themeTint="F2"/>
          <w:szCs w:val="20"/>
        </w:rPr>
        <w:t xml:space="preserve">Nueva Jersey: Cellares </w:t>
      </w:r>
      <w:proofErr w:type="spellStart"/>
      <w:r w:rsidRPr="009A671C">
        <w:rPr>
          <w:rFonts w:eastAsia="Times New Roman" w:cs="Times New Roman"/>
          <w:color w:val="0D0D0D" w:themeColor="text1" w:themeTint="F2"/>
          <w:szCs w:val="20"/>
        </w:rPr>
        <w:t>Corporation</w:t>
      </w:r>
      <w:proofErr w:type="spellEnd"/>
      <w:r w:rsidRPr="009A671C">
        <w:rPr>
          <w:rFonts w:eastAsia="Times New Roman" w:cs="Times New Roman"/>
          <w:color w:val="0D0D0D" w:themeColor="text1" w:themeTint="F2"/>
          <w:szCs w:val="20"/>
        </w:rPr>
        <w:t xml:space="preserve"> </w:t>
      </w:r>
    </w:p>
    <w:p w14:paraId="4C4B04DD" w14:textId="77777777" w:rsidR="006920D8" w:rsidRPr="009A671C" w:rsidRDefault="006920D8" w:rsidP="006920D8">
      <w:pPr>
        <w:ind w:left="180" w:hanging="180"/>
        <w:rPr>
          <w:rFonts w:cs="Times New Roman"/>
          <w:szCs w:val="20"/>
        </w:rPr>
      </w:pPr>
    </w:p>
    <w:p w14:paraId="7506806D" w14:textId="77777777" w:rsidR="006920D8" w:rsidRPr="009A671C" w:rsidRDefault="006920D8" w:rsidP="006920D8">
      <w:pPr>
        <w:contextualSpacing/>
        <w:outlineLvl w:val="0"/>
        <w:rPr>
          <w:rFonts w:eastAsia="Times New Roman" w:cs="Times New Roman"/>
          <w:color w:val="0D0D0D" w:themeColor="text1" w:themeTint="F2"/>
          <w:szCs w:val="20"/>
        </w:rPr>
      </w:pPr>
      <w:r w:rsidRPr="009A671C">
        <w:rPr>
          <w:rFonts w:eastAsia="Times New Roman" w:cs="Times New Roman"/>
          <w:color w:val="0D0D0D" w:themeColor="text1" w:themeTint="F2"/>
          <w:szCs w:val="20"/>
        </w:rPr>
        <w:t xml:space="preserve">Las empresas seleccionadas fabricarán principalmente terapias génicas, productos para áreas como el manejo del dolor, </w:t>
      </w:r>
      <w:r w:rsidRPr="009A671C">
        <w:rPr>
          <w:rFonts w:eastAsia="Times New Roman" w:cs="Times New Roman"/>
          <w:color w:val="0D0D0D" w:themeColor="text1" w:themeTint="F2"/>
          <w:szCs w:val="20"/>
        </w:rPr>
        <w:t>enfermedades oncológicas, hematológicas</w:t>
      </w:r>
      <w:r>
        <w:rPr>
          <w:rFonts w:eastAsia="Times New Roman" w:cs="Times New Roman"/>
          <w:color w:val="0D0D0D" w:themeColor="text1" w:themeTint="F2"/>
          <w:szCs w:val="20"/>
        </w:rPr>
        <w:t>,</w:t>
      </w:r>
      <w:r w:rsidRPr="009A671C">
        <w:rPr>
          <w:rFonts w:eastAsia="Times New Roman" w:cs="Times New Roman"/>
          <w:color w:val="0D0D0D" w:themeColor="text1" w:themeTint="F2"/>
          <w:szCs w:val="20"/>
        </w:rPr>
        <w:t xml:space="preserve"> respiratorias, oftalmológicas y enfermedades raras [1].</w:t>
      </w:r>
    </w:p>
    <w:p w14:paraId="1579D641" w14:textId="77777777" w:rsidR="006920D8" w:rsidRPr="009A671C" w:rsidRDefault="006920D8" w:rsidP="006920D8">
      <w:pPr>
        <w:contextualSpacing/>
        <w:outlineLvl w:val="0"/>
        <w:rPr>
          <w:rFonts w:eastAsia="Times New Roman" w:cs="Times New Roman"/>
          <w:color w:val="0D0D0D" w:themeColor="text1" w:themeTint="F2"/>
          <w:szCs w:val="20"/>
        </w:rPr>
      </w:pPr>
    </w:p>
    <w:p w14:paraId="7E1D2A71" w14:textId="77777777" w:rsidR="006920D8" w:rsidRPr="00A83847" w:rsidRDefault="006920D8" w:rsidP="006920D8">
      <w:pPr>
        <w:contextualSpacing/>
        <w:outlineLvl w:val="0"/>
        <w:rPr>
          <w:rFonts w:eastAsia="Times New Roman" w:cs="Times New Roman"/>
          <w:b/>
          <w:bCs/>
          <w:color w:val="0D0D0D" w:themeColor="text1" w:themeTint="F2"/>
          <w:sz w:val="18"/>
          <w:szCs w:val="18"/>
        </w:rPr>
      </w:pPr>
      <w:r w:rsidRPr="00A83847">
        <w:rPr>
          <w:rFonts w:eastAsia="Times New Roman" w:cs="Times New Roman"/>
          <w:b/>
          <w:bCs/>
          <w:color w:val="0D0D0D" w:themeColor="text1" w:themeTint="F2"/>
          <w:sz w:val="18"/>
          <w:szCs w:val="18"/>
        </w:rPr>
        <w:t>Referencia:</w:t>
      </w:r>
    </w:p>
    <w:p w14:paraId="3FF21F0C" w14:textId="77777777" w:rsidR="006920D8" w:rsidRDefault="006920D8" w:rsidP="006920D8">
      <w:pPr>
        <w:rPr>
          <w:rFonts w:cs="Times New Roman"/>
          <w:sz w:val="18"/>
          <w:szCs w:val="18"/>
        </w:rPr>
      </w:pPr>
      <w:r w:rsidRPr="00A83847">
        <w:rPr>
          <w:rFonts w:eastAsia="Times New Roman" w:cs="Times New Roman"/>
          <w:color w:val="0D0D0D" w:themeColor="text1" w:themeTint="F2"/>
          <w:sz w:val="18"/>
          <w:szCs w:val="18"/>
        </w:rPr>
        <w:t xml:space="preserve">1.Sánchez-Caja, A. La FDA selecciona a siete compañías para impulsar la fabricación farmacéutica en EE UU a través del programa piloto </w:t>
      </w:r>
      <w:proofErr w:type="spellStart"/>
      <w:r w:rsidRPr="00A83847">
        <w:rPr>
          <w:rFonts w:eastAsia="Times New Roman" w:cs="Times New Roman"/>
          <w:color w:val="0D0D0D" w:themeColor="text1" w:themeTint="F2"/>
          <w:sz w:val="18"/>
          <w:szCs w:val="18"/>
        </w:rPr>
        <w:t>PreCheck</w:t>
      </w:r>
      <w:proofErr w:type="spellEnd"/>
      <w:r w:rsidRPr="00A83847">
        <w:rPr>
          <w:rFonts w:eastAsia="Times New Roman" w:cs="Times New Roman"/>
          <w:color w:val="0D0D0D" w:themeColor="text1" w:themeTint="F2"/>
          <w:sz w:val="18"/>
          <w:szCs w:val="18"/>
        </w:rPr>
        <w:t xml:space="preserve">. </w:t>
      </w:r>
      <w:r w:rsidRPr="00A83847">
        <w:rPr>
          <w:rFonts w:eastAsia="Times New Roman" w:cs="Times New Roman"/>
          <w:i/>
          <w:iCs/>
          <w:color w:val="0D0D0D" w:themeColor="text1" w:themeTint="F2"/>
          <w:sz w:val="18"/>
          <w:szCs w:val="18"/>
        </w:rPr>
        <w:t xml:space="preserve">El Global </w:t>
      </w:r>
      <w:proofErr w:type="spellStart"/>
      <w:r w:rsidRPr="00A83847">
        <w:rPr>
          <w:rFonts w:eastAsia="Times New Roman" w:cs="Times New Roman"/>
          <w:i/>
          <w:iCs/>
          <w:color w:val="0D0D0D" w:themeColor="text1" w:themeTint="F2"/>
          <w:sz w:val="18"/>
          <w:szCs w:val="18"/>
        </w:rPr>
        <w:t>Farma</w:t>
      </w:r>
      <w:proofErr w:type="spellEnd"/>
      <w:r w:rsidRPr="00A83847">
        <w:rPr>
          <w:rFonts w:eastAsia="Times New Roman" w:cs="Times New Roman"/>
          <w:color w:val="0D0D0D" w:themeColor="text1" w:themeTint="F2"/>
          <w:sz w:val="18"/>
          <w:szCs w:val="18"/>
        </w:rPr>
        <w:t xml:space="preserve">, 30 de junio de 2026 </w:t>
      </w:r>
      <w:hyperlink r:id="rId101" w:history="1">
        <w:r w:rsidRPr="00A83847">
          <w:rPr>
            <w:rStyle w:val="Hipervnculo"/>
            <w:rFonts w:eastAsia="Times New Roman" w:cs="Times New Roman"/>
            <w:sz w:val="18"/>
            <w:szCs w:val="18"/>
          </w:rPr>
          <w:t>https://elglobalfarma.com/politica/fda-siete-companias-programa-piloto-precheck-fabricacion-farmaceutica-eeuu/</w:t>
        </w:r>
      </w:hyperlink>
    </w:p>
    <w:p w14:paraId="03C43B5F" w14:textId="77777777" w:rsidR="00421B71" w:rsidRDefault="00421B71" w:rsidP="004D63D3">
      <w:pPr>
        <w:jc w:val="center"/>
        <w:rPr>
          <w:rFonts w:eastAsia="Times New Roman" w:cs="Times New Roman"/>
          <w:color w:val="0D0D0D" w:themeColor="text1" w:themeTint="F2"/>
          <w:szCs w:val="20"/>
        </w:rPr>
        <w:sectPr w:rsidR="00421B71" w:rsidSect="00421B71">
          <w:type w:val="continuous"/>
          <w:pgSz w:w="12240" w:h="15840" w:code="1"/>
          <w:pgMar w:top="720" w:right="720" w:bottom="720" w:left="720" w:header="288" w:footer="288" w:gutter="0"/>
          <w:cols w:num="2" w:space="288"/>
          <w:docGrid w:linePitch="360"/>
        </w:sectPr>
      </w:pPr>
    </w:p>
    <w:p w14:paraId="167625B3" w14:textId="77C60BEB" w:rsidR="006920D8" w:rsidRDefault="006920D8" w:rsidP="004D63D3">
      <w:pPr>
        <w:jc w:val="center"/>
        <w:rPr>
          <w:rFonts w:eastAsia="Times New Roman" w:cs="Times New Roman"/>
          <w:color w:val="0D0D0D" w:themeColor="text1" w:themeTint="F2"/>
          <w:szCs w:val="20"/>
        </w:rPr>
      </w:pPr>
    </w:p>
    <w:p w14:paraId="4FDDE5BB" w14:textId="77777777" w:rsidR="006920D8" w:rsidRDefault="006920D8" w:rsidP="004D63D3">
      <w:pPr>
        <w:jc w:val="center"/>
        <w:rPr>
          <w:rFonts w:eastAsia="Times New Roman" w:cs="Times New Roman"/>
          <w:color w:val="0D0D0D" w:themeColor="text1" w:themeTint="F2"/>
          <w:szCs w:val="20"/>
        </w:rPr>
      </w:pPr>
    </w:p>
    <w:p w14:paraId="5EFF18A4" w14:textId="77777777" w:rsidR="008117C7" w:rsidRDefault="008117C7" w:rsidP="008117C7">
      <w:pPr>
        <w:spacing w:after="225"/>
        <w:contextualSpacing/>
        <w:jc w:val="center"/>
        <w:outlineLvl w:val="0"/>
        <w:rPr>
          <w:rFonts w:eastAsia="Times New Roman" w:cs="Times New Roman"/>
          <w:color w:val="0D0D0D" w:themeColor="text1" w:themeTint="F2"/>
          <w:szCs w:val="20"/>
        </w:rPr>
      </w:pPr>
      <w:r>
        <w:rPr>
          <w:rFonts w:eastAsia="Times New Roman" w:cs="Times New Roman"/>
          <w:color w:val="0D0D0D" w:themeColor="text1" w:themeTint="F2"/>
          <w:szCs w:val="20"/>
        </w:rPr>
        <w:t xml:space="preserve">EE UU. </w:t>
      </w:r>
      <w:r w:rsidRPr="00EA71DA">
        <w:rPr>
          <w:rFonts w:eastAsia="Times New Roman" w:cs="Times New Roman"/>
          <w:b/>
          <w:bCs/>
          <w:color w:val="0D0D0D" w:themeColor="text1" w:themeTint="F2"/>
          <w:szCs w:val="20"/>
        </w:rPr>
        <w:t>Serios cuestionamientos a la transparencia del programa de Vales de Prioridad Nacional del Comisionado</w:t>
      </w:r>
      <w:r>
        <w:rPr>
          <w:rFonts w:eastAsia="Times New Roman" w:cs="Times New Roman"/>
          <w:b/>
          <w:bCs/>
          <w:color w:val="0D0D0D" w:themeColor="text1" w:themeTint="F2"/>
          <w:szCs w:val="20"/>
        </w:rPr>
        <w:t xml:space="preserve"> </w:t>
      </w:r>
    </w:p>
    <w:p w14:paraId="7B613453" w14:textId="77777777" w:rsidR="008117C7" w:rsidRDefault="008117C7" w:rsidP="008117C7">
      <w:pPr>
        <w:spacing w:after="225"/>
        <w:contextualSpacing/>
        <w:jc w:val="center"/>
        <w:outlineLvl w:val="0"/>
        <w:rPr>
          <w:rFonts w:eastAsia="Times New Roman" w:cs="Times New Roman"/>
          <w:color w:val="0D0D0D" w:themeColor="text1" w:themeTint="F2"/>
          <w:szCs w:val="20"/>
        </w:rPr>
      </w:pPr>
      <w:r>
        <w:rPr>
          <w:rFonts w:eastAsia="Times New Roman" w:cs="Times New Roman"/>
          <w:color w:val="0D0D0D" w:themeColor="text1" w:themeTint="F2"/>
          <w:szCs w:val="20"/>
        </w:rPr>
        <w:t>Salud y Fármacos</w:t>
      </w:r>
    </w:p>
    <w:p w14:paraId="5B2151CE" w14:textId="77777777" w:rsidR="008117C7" w:rsidRDefault="008117C7" w:rsidP="008117C7">
      <w:pPr>
        <w:spacing w:after="225"/>
        <w:contextualSpacing/>
        <w:jc w:val="center"/>
        <w:outlineLvl w:val="0"/>
        <w:rPr>
          <w:lang w:val="es-ES"/>
        </w:rPr>
      </w:pPr>
      <w:r w:rsidRPr="002461D1">
        <w:rPr>
          <w:i/>
          <w:lang w:val="es-ES"/>
        </w:rPr>
        <w:t xml:space="preserve">Boletín Fármacos: </w:t>
      </w:r>
      <w:r>
        <w:rPr>
          <w:i/>
          <w:lang w:val="es-ES"/>
        </w:rPr>
        <w:t>Agen</w:t>
      </w:r>
      <w:r w:rsidRPr="002461D1">
        <w:rPr>
          <w:i/>
          <w:lang w:val="es-ES"/>
        </w:rPr>
        <w:t>c</w:t>
      </w:r>
      <w:r>
        <w:rPr>
          <w:i/>
          <w:lang w:val="es-ES"/>
        </w:rPr>
        <w:t>i</w:t>
      </w:r>
      <w:r w:rsidRPr="002461D1">
        <w:rPr>
          <w:i/>
          <w:lang w:val="es-ES"/>
        </w:rPr>
        <w:t>as</w:t>
      </w:r>
      <w:r>
        <w:rPr>
          <w:i/>
          <w:lang w:val="es-ES"/>
        </w:rPr>
        <w:t xml:space="preserve"> </w:t>
      </w:r>
      <w:proofErr w:type="spellStart"/>
      <w:r>
        <w:rPr>
          <w:i/>
          <w:lang w:val="es-ES"/>
        </w:rPr>
        <w:t>Reguldoras</w:t>
      </w:r>
      <w:proofErr w:type="spellEnd"/>
      <w:r w:rsidRPr="002461D1">
        <w:rPr>
          <w:i/>
          <w:lang w:val="es-ES"/>
        </w:rPr>
        <w:t xml:space="preserve"> </w:t>
      </w:r>
      <w:r>
        <w:rPr>
          <w:lang w:val="es-ES"/>
        </w:rPr>
        <w:t>2026; 29 (3)</w:t>
      </w:r>
    </w:p>
    <w:p w14:paraId="284C3D34" w14:textId="77777777" w:rsidR="008117C7" w:rsidRDefault="008117C7" w:rsidP="008117C7">
      <w:pPr>
        <w:spacing w:after="225"/>
        <w:contextualSpacing/>
        <w:jc w:val="center"/>
        <w:outlineLvl w:val="0"/>
        <w:rPr>
          <w:rFonts w:eastAsia="Times New Roman" w:cs="Times New Roman"/>
          <w:color w:val="0D0D0D" w:themeColor="text1" w:themeTint="F2"/>
          <w:szCs w:val="20"/>
        </w:rPr>
      </w:pPr>
    </w:p>
    <w:p w14:paraId="4F78462A" w14:textId="77777777" w:rsidR="00421B71" w:rsidRDefault="00421B71" w:rsidP="008117C7">
      <w:pPr>
        <w:spacing w:after="225"/>
        <w:contextualSpacing/>
        <w:outlineLvl w:val="0"/>
        <w:rPr>
          <w:rFonts w:eastAsia="Times New Roman" w:cs="Times New Roman"/>
          <w:b/>
          <w:bCs/>
          <w:color w:val="0D0D0D" w:themeColor="text1" w:themeTint="F2"/>
          <w:sz w:val="18"/>
          <w:szCs w:val="18"/>
        </w:rPr>
        <w:sectPr w:rsidR="00421B71" w:rsidSect="00F25512">
          <w:type w:val="continuous"/>
          <w:pgSz w:w="12240" w:h="15840" w:code="1"/>
          <w:pgMar w:top="720" w:right="720" w:bottom="720" w:left="720" w:header="288" w:footer="288" w:gutter="0"/>
          <w:cols w:space="288"/>
          <w:docGrid w:linePitch="360"/>
        </w:sectPr>
      </w:pPr>
    </w:p>
    <w:p w14:paraId="0FD4C6EA" w14:textId="1A266EE0" w:rsidR="008117C7" w:rsidRPr="008D712A" w:rsidRDefault="008117C7" w:rsidP="008117C7">
      <w:pPr>
        <w:spacing w:after="225"/>
        <w:contextualSpacing/>
        <w:outlineLvl w:val="0"/>
        <w:rPr>
          <w:rFonts w:eastAsia="Times New Roman" w:cs="Times New Roman"/>
          <w:b/>
          <w:bCs/>
          <w:color w:val="0D0D0D" w:themeColor="text1" w:themeTint="F2"/>
          <w:sz w:val="18"/>
          <w:szCs w:val="18"/>
        </w:rPr>
      </w:pPr>
      <w:r w:rsidRPr="008D712A">
        <w:rPr>
          <w:rFonts w:eastAsia="Times New Roman" w:cs="Times New Roman"/>
          <w:b/>
          <w:bCs/>
          <w:color w:val="0D0D0D" w:themeColor="text1" w:themeTint="F2"/>
          <w:sz w:val="18"/>
          <w:szCs w:val="18"/>
        </w:rPr>
        <w:t>Tags: programa CNPV, Vales de Prioridad Nacional del Comisionado, regulación y transparencia, conflictos de interés FDA</w:t>
      </w:r>
    </w:p>
    <w:p w14:paraId="70DFBC5F" w14:textId="77777777" w:rsidR="008117C7" w:rsidRDefault="008117C7" w:rsidP="008117C7">
      <w:pPr>
        <w:spacing w:after="225"/>
        <w:contextualSpacing/>
        <w:outlineLvl w:val="0"/>
        <w:rPr>
          <w:rFonts w:eastAsia="Times New Roman" w:cs="Times New Roman"/>
          <w:color w:val="0D0D0D" w:themeColor="text1" w:themeTint="F2"/>
          <w:szCs w:val="20"/>
        </w:rPr>
      </w:pPr>
    </w:p>
    <w:p w14:paraId="524A7FA6" w14:textId="77777777" w:rsidR="008117C7" w:rsidRPr="002E44C4" w:rsidRDefault="008117C7" w:rsidP="008117C7">
      <w:pPr>
        <w:spacing w:after="225"/>
        <w:contextualSpacing/>
        <w:outlineLvl w:val="0"/>
        <w:rPr>
          <w:rFonts w:eastAsia="Times New Roman" w:cs="Times New Roman"/>
          <w:color w:val="0D0D0D" w:themeColor="text1" w:themeTint="F2"/>
          <w:szCs w:val="20"/>
        </w:rPr>
      </w:pPr>
      <w:r>
        <w:rPr>
          <w:rFonts w:eastAsia="Times New Roman" w:cs="Times New Roman"/>
          <w:color w:val="0D0D0D" w:themeColor="text1" w:themeTint="F2"/>
          <w:szCs w:val="20"/>
        </w:rPr>
        <w:t xml:space="preserve">Según </w:t>
      </w:r>
      <w:proofErr w:type="spellStart"/>
      <w:r w:rsidRPr="007311B7">
        <w:rPr>
          <w:rFonts w:eastAsia="Times New Roman" w:cs="Times New Roman"/>
          <w:i/>
          <w:iCs/>
          <w:color w:val="0D0D0D" w:themeColor="text1" w:themeTint="F2"/>
          <w:szCs w:val="20"/>
        </w:rPr>
        <w:t>BioSpace</w:t>
      </w:r>
      <w:proofErr w:type="spellEnd"/>
      <w:r>
        <w:rPr>
          <w:rFonts w:eastAsia="Times New Roman" w:cs="Times New Roman"/>
          <w:i/>
          <w:iCs/>
          <w:color w:val="0D0D0D" w:themeColor="text1" w:themeTint="F2"/>
          <w:szCs w:val="20"/>
        </w:rPr>
        <w:t xml:space="preserve">, </w:t>
      </w:r>
      <w:r>
        <w:rPr>
          <w:rFonts w:eastAsia="Times New Roman" w:cs="Times New Roman"/>
          <w:color w:val="0D0D0D" w:themeColor="text1" w:themeTint="F2"/>
          <w:szCs w:val="20"/>
        </w:rPr>
        <w:t xml:space="preserve">entre </w:t>
      </w:r>
      <w:r w:rsidRPr="002E44C4">
        <w:rPr>
          <w:rFonts w:eastAsia="Times New Roman" w:cs="Times New Roman"/>
          <w:color w:val="0D0D0D" w:themeColor="text1" w:themeTint="F2"/>
          <w:szCs w:val="20"/>
        </w:rPr>
        <w:t>los principales problemas</w:t>
      </w:r>
      <w:r>
        <w:rPr>
          <w:rFonts w:eastAsia="Times New Roman" w:cs="Times New Roman"/>
          <w:color w:val="0D0D0D" w:themeColor="text1" w:themeTint="F2"/>
          <w:szCs w:val="20"/>
        </w:rPr>
        <w:t xml:space="preserve"> de</w:t>
      </w:r>
      <w:r w:rsidRPr="002E44C4">
        <w:rPr>
          <w:rFonts w:eastAsia="Times New Roman" w:cs="Times New Roman"/>
          <w:color w:val="0D0D0D" w:themeColor="text1" w:themeTint="F2"/>
          <w:szCs w:val="20"/>
        </w:rPr>
        <w:t xml:space="preserve">l programa </w:t>
      </w:r>
      <w:r>
        <w:rPr>
          <w:rFonts w:eastAsia="Times New Roman" w:cs="Times New Roman"/>
          <w:color w:val="0D0D0D" w:themeColor="text1" w:themeTint="F2"/>
          <w:szCs w:val="20"/>
        </w:rPr>
        <w:t>de</w:t>
      </w:r>
      <w:r w:rsidRPr="002E44C4">
        <w:rPr>
          <w:rFonts w:eastAsia="Times New Roman" w:cs="Times New Roman"/>
          <w:color w:val="0D0D0D" w:themeColor="text1" w:themeTint="F2"/>
          <w:szCs w:val="20"/>
        </w:rPr>
        <w:t xml:space="preserve"> Vales de Prioridad Nacional del Comisionado</w:t>
      </w:r>
      <w:r>
        <w:rPr>
          <w:rFonts w:eastAsia="Times New Roman" w:cs="Times New Roman"/>
          <w:color w:val="0D0D0D" w:themeColor="text1" w:themeTint="F2"/>
          <w:szCs w:val="20"/>
        </w:rPr>
        <w:t xml:space="preserve"> </w:t>
      </w:r>
      <w:r w:rsidRPr="002E44C4">
        <w:rPr>
          <w:rFonts w:eastAsia="Times New Roman" w:cs="Times New Roman"/>
          <w:color w:val="0D0D0D" w:themeColor="text1" w:themeTint="F2"/>
          <w:szCs w:val="20"/>
        </w:rPr>
        <w:t>de</w:t>
      </w:r>
      <w:r>
        <w:rPr>
          <w:rFonts w:eastAsia="Times New Roman" w:cs="Times New Roman"/>
          <w:color w:val="0D0D0D" w:themeColor="text1" w:themeTint="F2"/>
          <w:szCs w:val="20"/>
        </w:rPr>
        <w:t xml:space="preserve"> la FDA (CNPV o </w:t>
      </w:r>
      <w:proofErr w:type="spellStart"/>
      <w:r w:rsidRPr="0026331F">
        <w:rPr>
          <w:rFonts w:eastAsia="Times New Roman" w:cs="Times New Roman"/>
          <w:i/>
          <w:iCs/>
          <w:color w:val="0D0D0D" w:themeColor="text1" w:themeTint="F2"/>
          <w:szCs w:val="20"/>
        </w:rPr>
        <w:t>Commissioner’s</w:t>
      </w:r>
      <w:proofErr w:type="spellEnd"/>
      <w:r w:rsidRPr="0026331F">
        <w:rPr>
          <w:rFonts w:eastAsia="Times New Roman" w:cs="Times New Roman"/>
          <w:i/>
          <w:iCs/>
          <w:color w:val="0D0D0D" w:themeColor="text1" w:themeTint="F2"/>
          <w:szCs w:val="20"/>
        </w:rPr>
        <w:t xml:space="preserve"> National </w:t>
      </w:r>
      <w:proofErr w:type="spellStart"/>
      <w:r w:rsidRPr="0026331F">
        <w:rPr>
          <w:rFonts w:eastAsia="Times New Roman" w:cs="Times New Roman"/>
          <w:i/>
          <w:iCs/>
          <w:color w:val="0D0D0D" w:themeColor="text1" w:themeTint="F2"/>
          <w:szCs w:val="20"/>
        </w:rPr>
        <w:t>Priority</w:t>
      </w:r>
      <w:proofErr w:type="spellEnd"/>
      <w:r w:rsidRPr="0026331F">
        <w:rPr>
          <w:rFonts w:eastAsia="Times New Roman" w:cs="Times New Roman"/>
          <w:i/>
          <w:iCs/>
          <w:color w:val="0D0D0D" w:themeColor="text1" w:themeTint="F2"/>
          <w:szCs w:val="20"/>
        </w:rPr>
        <w:t xml:space="preserve"> </w:t>
      </w:r>
      <w:proofErr w:type="spellStart"/>
      <w:r w:rsidRPr="0026331F">
        <w:rPr>
          <w:rFonts w:eastAsia="Times New Roman" w:cs="Times New Roman"/>
          <w:i/>
          <w:iCs/>
          <w:color w:val="0D0D0D" w:themeColor="text1" w:themeTint="F2"/>
          <w:szCs w:val="20"/>
        </w:rPr>
        <w:t>Voucher</w:t>
      </w:r>
      <w:proofErr w:type="spellEnd"/>
      <w:r w:rsidRPr="0026331F">
        <w:rPr>
          <w:rFonts w:eastAsia="Times New Roman" w:cs="Times New Roman"/>
          <w:i/>
          <w:iCs/>
          <w:color w:val="0D0D0D" w:themeColor="text1" w:themeTint="F2"/>
          <w:szCs w:val="20"/>
        </w:rPr>
        <w:t xml:space="preserve"> </w:t>
      </w:r>
      <w:proofErr w:type="spellStart"/>
      <w:r w:rsidRPr="0026331F">
        <w:rPr>
          <w:rFonts w:eastAsia="Times New Roman" w:cs="Times New Roman"/>
          <w:i/>
          <w:iCs/>
          <w:color w:val="0D0D0D" w:themeColor="text1" w:themeTint="F2"/>
          <w:szCs w:val="20"/>
        </w:rPr>
        <w:t>program</w:t>
      </w:r>
      <w:proofErr w:type="spellEnd"/>
      <w:r>
        <w:rPr>
          <w:rFonts w:eastAsia="Times New Roman" w:cs="Times New Roman"/>
          <w:color w:val="0D0D0D" w:themeColor="text1" w:themeTint="F2"/>
          <w:szCs w:val="20"/>
        </w:rPr>
        <w:t>) figuran la falta de detalles sobre el proceso de</w:t>
      </w:r>
      <w:r w:rsidRPr="002E44C4">
        <w:rPr>
          <w:rFonts w:eastAsia="Times New Roman" w:cs="Times New Roman"/>
          <w:color w:val="0D0D0D" w:themeColor="text1" w:themeTint="F2"/>
          <w:szCs w:val="20"/>
        </w:rPr>
        <w:t xml:space="preserve"> selección de </w:t>
      </w:r>
      <w:r>
        <w:rPr>
          <w:rFonts w:eastAsia="Times New Roman" w:cs="Times New Roman"/>
          <w:color w:val="0D0D0D" w:themeColor="text1" w:themeTint="F2"/>
          <w:szCs w:val="20"/>
        </w:rPr>
        <w:t xml:space="preserve">los </w:t>
      </w:r>
      <w:r w:rsidRPr="002E44C4">
        <w:rPr>
          <w:rFonts w:eastAsia="Times New Roman" w:cs="Times New Roman"/>
          <w:color w:val="0D0D0D" w:themeColor="text1" w:themeTint="F2"/>
          <w:szCs w:val="20"/>
        </w:rPr>
        <w:t xml:space="preserve">candidatos </w:t>
      </w:r>
      <w:r>
        <w:rPr>
          <w:rFonts w:eastAsia="Times New Roman" w:cs="Times New Roman"/>
          <w:color w:val="0D0D0D" w:themeColor="text1" w:themeTint="F2"/>
          <w:szCs w:val="20"/>
        </w:rPr>
        <w:t>a recibir el vale y</w:t>
      </w:r>
      <w:r w:rsidRPr="002E44C4">
        <w:rPr>
          <w:rFonts w:eastAsia="Times New Roman" w:cs="Times New Roman"/>
          <w:color w:val="0D0D0D" w:themeColor="text1" w:themeTint="F2"/>
          <w:szCs w:val="20"/>
        </w:rPr>
        <w:t xml:space="preserve"> la interferencia de los altos cargos de la agencia</w:t>
      </w:r>
      <w:r>
        <w:rPr>
          <w:rFonts w:eastAsia="Times New Roman" w:cs="Times New Roman"/>
          <w:color w:val="0D0D0D" w:themeColor="text1" w:themeTint="F2"/>
          <w:szCs w:val="20"/>
        </w:rPr>
        <w:t xml:space="preserve"> en dicho proceso, por lo que </w:t>
      </w:r>
      <w:r w:rsidRPr="002E44C4">
        <w:rPr>
          <w:rFonts w:eastAsia="Times New Roman" w:cs="Times New Roman"/>
          <w:color w:val="0D0D0D" w:themeColor="text1" w:themeTint="F2"/>
          <w:szCs w:val="20"/>
        </w:rPr>
        <w:t xml:space="preserve">algunos expertos recomiendan </w:t>
      </w:r>
      <w:r>
        <w:rPr>
          <w:rFonts w:eastAsia="Times New Roman" w:cs="Times New Roman"/>
          <w:color w:val="0D0D0D" w:themeColor="text1" w:themeTint="F2"/>
          <w:szCs w:val="20"/>
        </w:rPr>
        <w:t xml:space="preserve">hacer </w:t>
      </w:r>
      <w:r w:rsidRPr="002E44C4">
        <w:rPr>
          <w:rFonts w:eastAsia="Times New Roman" w:cs="Times New Roman"/>
          <w:color w:val="0D0D0D" w:themeColor="text1" w:themeTint="F2"/>
          <w:szCs w:val="20"/>
        </w:rPr>
        <w:t xml:space="preserve">una pausa para </w:t>
      </w:r>
      <w:r>
        <w:rPr>
          <w:rFonts w:eastAsia="Times New Roman" w:cs="Times New Roman"/>
          <w:color w:val="0D0D0D" w:themeColor="text1" w:themeTint="F2"/>
          <w:szCs w:val="20"/>
        </w:rPr>
        <w:t>reevaluar</w:t>
      </w:r>
      <w:r w:rsidRPr="002E44C4">
        <w:rPr>
          <w:rFonts w:eastAsia="Times New Roman" w:cs="Times New Roman"/>
          <w:color w:val="0D0D0D" w:themeColor="text1" w:themeTint="F2"/>
          <w:szCs w:val="20"/>
        </w:rPr>
        <w:t xml:space="preserve"> o incluso cancela</w:t>
      </w:r>
      <w:r>
        <w:rPr>
          <w:rFonts w:eastAsia="Times New Roman" w:cs="Times New Roman"/>
          <w:color w:val="0D0D0D" w:themeColor="text1" w:themeTint="F2"/>
          <w:szCs w:val="20"/>
        </w:rPr>
        <w:t>r</w:t>
      </w:r>
      <w:r w:rsidRPr="002E44C4">
        <w:rPr>
          <w:rFonts w:eastAsia="Times New Roman" w:cs="Times New Roman"/>
          <w:color w:val="0D0D0D" w:themeColor="text1" w:themeTint="F2"/>
          <w:szCs w:val="20"/>
        </w:rPr>
        <w:t xml:space="preserve"> </w:t>
      </w:r>
      <w:r>
        <w:rPr>
          <w:rFonts w:eastAsia="Times New Roman" w:cs="Times New Roman"/>
          <w:color w:val="0D0D0D" w:themeColor="text1" w:themeTint="F2"/>
          <w:szCs w:val="20"/>
        </w:rPr>
        <w:t>el programa [1]</w:t>
      </w:r>
      <w:r w:rsidRPr="002E44C4">
        <w:rPr>
          <w:rFonts w:eastAsia="Times New Roman" w:cs="Times New Roman"/>
          <w:color w:val="0D0D0D" w:themeColor="text1" w:themeTint="F2"/>
          <w:szCs w:val="20"/>
        </w:rPr>
        <w:t>.</w:t>
      </w:r>
      <w:r>
        <w:rPr>
          <w:rFonts w:eastAsia="Times New Roman" w:cs="Times New Roman"/>
          <w:color w:val="0D0D0D" w:themeColor="text1" w:themeTint="F2"/>
          <w:szCs w:val="20"/>
        </w:rPr>
        <w:t xml:space="preserve"> A continuación, resumimos el artículo de </w:t>
      </w:r>
      <w:proofErr w:type="spellStart"/>
      <w:r>
        <w:rPr>
          <w:rFonts w:eastAsia="Times New Roman" w:cs="Times New Roman"/>
          <w:color w:val="0D0D0D" w:themeColor="text1" w:themeTint="F2"/>
          <w:szCs w:val="20"/>
        </w:rPr>
        <w:t>Gibney</w:t>
      </w:r>
      <w:proofErr w:type="spellEnd"/>
      <w:r>
        <w:rPr>
          <w:rFonts w:eastAsia="Times New Roman" w:cs="Times New Roman"/>
          <w:color w:val="0D0D0D" w:themeColor="text1" w:themeTint="F2"/>
          <w:szCs w:val="20"/>
        </w:rPr>
        <w:t xml:space="preserve"> sobre las críticas al programa CNPV.</w:t>
      </w:r>
    </w:p>
    <w:p w14:paraId="0F0FD5F4" w14:textId="77777777" w:rsidR="008117C7" w:rsidRDefault="008117C7" w:rsidP="008117C7">
      <w:pPr>
        <w:spacing w:after="225"/>
        <w:contextualSpacing/>
        <w:outlineLvl w:val="0"/>
        <w:rPr>
          <w:rFonts w:eastAsia="Times New Roman" w:cs="Times New Roman"/>
          <w:color w:val="0D0D0D" w:themeColor="text1" w:themeTint="F2"/>
          <w:szCs w:val="20"/>
        </w:rPr>
      </w:pPr>
    </w:p>
    <w:p w14:paraId="6D8FB287" w14:textId="77777777" w:rsidR="008117C7" w:rsidRDefault="008117C7" w:rsidP="008117C7">
      <w:pPr>
        <w:spacing w:after="225"/>
        <w:contextualSpacing/>
        <w:outlineLvl w:val="0"/>
        <w:rPr>
          <w:rFonts w:eastAsia="Times New Roman" w:cs="Times New Roman"/>
          <w:color w:val="0D0D0D" w:themeColor="text1" w:themeTint="F2"/>
          <w:szCs w:val="20"/>
        </w:rPr>
      </w:pPr>
      <w:r w:rsidRPr="002E44C4">
        <w:rPr>
          <w:rFonts w:eastAsia="Times New Roman" w:cs="Times New Roman"/>
          <w:color w:val="0D0D0D" w:themeColor="text1" w:themeTint="F2"/>
          <w:szCs w:val="20"/>
        </w:rPr>
        <w:t xml:space="preserve">Michael Abrams, gerente de la consultora de salud </w:t>
      </w:r>
      <w:proofErr w:type="spellStart"/>
      <w:r w:rsidRPr="00D45788">
        <w:rPr>
          <w:rFonts w:eastAsia="Times New Roman" w:cs="Times New Roman"/>
          <w:i/>
          <w:iCs/>
          <w:color w:val="0D0D0D" w:themeColor="text1" w:themeTint="F2"/>
          <w:szCs w:val="20"/>
        </w:rPr>
        <w:t>Numerof</w:t>
      </w:r>
      <w:proofErr w:type="spellEnd"/>
      <w:r w:rsidRPr="00D45788">
        <w:rPr>
          <w:rFonts w:eastAsia="Times New Roman" w:cs="Times New Roman"/>
          <w:i/>
          <w:iCs/>
          <w:color w:val="0D0D0D" w:themeColor="text1" w:themeTint="F2"/>
          <w:szCs w:val="20"/>
        </w:rPr>
        <w:t xml:space="preserve"> &amp; </w:t>
      </w:r>
      <w:proofErr w:type="spellStart"/>
      <w:r w:rsidRPr="00D45788">
        <w:rPr>
          <w:rFonts w:eastAsia="Times New Roman" w:cs="Times New Roman"/>
          <w:i/>
          <w:iCs/>
          <w:color w:val="0D0D0D" w:themeColor="text1" w:themeTint="F2"/>
          <w:szCs w:val="20"/>
        </w:rPr>
        <w:t>Associates</w:t>
      </w:r>
      <w:proofErr w:type="spellEnd"/>
      <w:r>
        <w:rPr>
          <w:rFonts w:eastAsia="Times New Roman" w:cs="Times New Roman"/>
          <w:i/>
          <w:iCs/>
          <w:color w:val="0D0D0D" w:themeColor="text1" w:themeTint="F2"/>
          <w:szCs w:val="20"/>
        </w:rPr>
        <w:t xml:space="preserve">, </w:t>
      </w:r>
      <w:r>
        <w:rPr>
          <w:rFonts w:eastAsia="Times New Roman" w:cs="Times New Roman"/>
          <w:iCs/>
          <w:color w:val="0D0D0D" w:themeColor="text1" w:themeTint="F2"/>
          <w:szCs w:val="20"/>
        </w:rPr>
        <w:t xml:space="preserve">mencionó a </w:t>
      </w:r>
      <w:proofErr w:type="spellStart"/>
      <w:r w:rsidRPr="005853F2">
        <w:rPr>
          <w:rFonts w:eastAsia="Times New Roman" w:cs="Times New Roman"/>
          <w:i/>
          <w:iCs/>
          <w:color w:val="0D0D0D" w:themeColor="text1" w:themeTint="F2"/>
          <w:szCs w:val="20"/>
        </w:rPr>
        <w:t>BioSpace</w:t>
      </w:r>
      <w:proofErr w:type="spellEnd"/>
      <w:r>
        <w:rPr>
          <w:rFonts w:eastAsia="Times New Roman" w:cs="Times New Roman"/>
          <w:i/>
          <w:iCs/>
          <w:color w:val="0D0D0D" w:themeColor="text1" w:themeTint="F2"/>
          <w:szCs w:val="20"/>
        </w:rPr>
        <w:t xml:space="preserve"> </w:t>
      </w:r>
      <w:r>
        <w:rPr>
          <w:rFonts w:eastAsia="Times New Roman" w:cs="Times New Roman"/>
          <w:color w:val="0D0D0D" w:themeColor="text1" w:themeTint="F2"/>
          <w:szCs w:val="20"/>
        </w:rPr>
        <w:t xml:space="preserve">que parte </w:t>
      </w:r>
      <w:r w:rsidRPr="002E44C4">
        <w:rPr>
          <w:rFonts w:eastAsia="Times New Roman" w:cs="Times New Roman"/>
          <w:color w:val="0D0D0D" w:themeColor="text1" w:themeTint="F2"/>
          <w:szCs w:val="20"/>
        </w:rPr>
        <w:t xml:space="preserve">de la preocupación </w:t>
      </w:r>
      <w:r>
        <w:rPr>
          <w:rFonts w:eastAsia="Times New Roman" w:cs="Times New Roman"/>
          <w:color w:val="0D0D0D" w:themeColor="text1" w:themeTint="F2"/>
          <w:szCs w:val="20"/>
        </w:rPr>
        <w:t xml:space="preserve">que ha generado el programa CNPV </w:t>
      </w:r>
      <w:r w:rsidRPr="002E44C4">
        <w:rPr>
          <w:rFonts w:eastAsia="Times New Roman" w:cs="Times New Roman"/>
          <w:color w:val="0D0D0D" w:themeColor="text1" w:themeTint="F2"/>
          <w:szCs w:val="20"/>
        </w:rPr>
        <w:t>surge de</w:t>
      </w:r>
      <w:r>
        <w:rPr>
          <w:rFonts w:eastAsia="Times New Roman" w:cs="Times New Roman"/>
          <w:color w:val="0D0D0D" w:themeColor="text1" w:themeTint="F2"/>
          <w:szCs w:val="20"/>
        </w:rPr>
        <w:t xml:space="preserve"> la situación general de la </w:t>
      </w:r>
      <w:r w:rsidRPr="002E44C4">
        <w:rPr>
          <w:rFonts w:eastAsia="Times New Roman" w:cs="Times New Roman"/>
          <w:color w:val="0D0D0D" w:themeColor="text1" w:themeTint="F2"/>
          <w:szCs w:val="20"/>
        </w:rPr>
        <w:t xml:space="preserve">FDA, </w:t>
      </w:r>
      <w:r>
        <w:rPr>
          <w:rFonts w:eastAsia="Times New Roman" w:cs="Times New Roman"/>
          <w:color w:val="0D0D0D" w:themeColor="text1" w:themeTint="F2"/>
          <w:szCs w:val="20"/>
        </w:rPr>
        <w:t xml:space="preserve">especialmente </w:t>
      </w:r>
      <w:r w:rsidRPr="002E44C4">
        <w:rPr>
          <w:rFonts w:eastAsia="Times New Roman" w:cs="Times New Roman"/>
          <w:color w:val="0D0D0D" w:themeColor="text1" w:themeTint="F2"/>
          <w:szCs w:val="20"/>
        </w:rPr>
        <w:t>de la rápida rotación de líderes</w:t>
      </w:r>
      <w:r>
        <w:rPr>
          <w:rFonts w:eastAsia="Times New Roman" w:cs="Times New Roman"/>
          <w:color w:val="0D0D0D" w:themeColor="text1" w:themeTint="F2"/>
          <w:szCs w:val="20"/>
        </w:rPr>
        <w:t xml:space="preserve">, por lo que cree que pausar el programa podría ayudar a </w:t>
      </w:r>
      <w:r w:rsidRPr="002E44C4">
        <w:rPr>
          <w:rFonts w:eastAsia="Times New Roman" w:cs="Times New Roman"/>
          <w:color w:val="0D0D0D" w:themeColor="text1" w:themeTint="F2"/>
          <w:szCs w:val="20"/>
        </w:rPr>
        <w:t>generar mayor confianza</w:t>
      </w:r>
      <w:r>
        <w:rPr>
          <w:rFonts w:eastAsia="Times New Roman" w:cs="Times New Roman"/>
          <w:color w:val="0D0D0D" w:themeColor="text1" w:themeTint="F2"/>
          <w:szCs w:val="20"/>
        </w:rPr>
        <w:t xml:space="preserve">. </w:t>
      </w:r>
      <w:r w:rsidRPr="002E44C4">
        <w:rPr>
          <w:rFonts w:eastAsia="Times New Roman" w:cs="Times New Roman"/>
          <w:color w:val="0D0D0D" w:themeColor="text1" w:themeTint="F2"/>
          <w:szCs w:val="20"/>
        </w:rPr>
        <w:t>Abrams</w:t>
      </w:r>
      <w:r>
        <w:rPr>
          <w:rFonts w:eastAsia="Times New Roman" w:cs="Times New Roman"/>
          <w:color w:val="0D0D0D" w:themeColor="text1" w:themeTint="F2"/>
          <w:szCs w:val="20"/>
        </w:rPr>
        <w:t xml:space="preserve"> también dijo que el </w:t>
      </w:r>
      <w:r w:rsidRPr="002E44C4">
        <w:rPr>
          <w:rFonts w:eastAsia="Times New Roman" w:cs="Times New Roman"/>
          <w:color w:val="0D0D0D" w:themeColor="text1" w:themeTint="F2"/>
          <w:szCs w:val="20"/>
        </w:rPr>
        <w:t xml:space="preserve">programa </w:t>
      </w:r>
      <w:r>
        <w:rPr>
          <w:rFonts w:eastAsia="Times New Roman" w:cs="Times New Roman"/>
          <w:color w:val="0D0D0D" w:themeColor="text1" w:themeTint="F2"/>
          <w:szCs w:val="20"/>
        </w:rPr>
        <w:t>CNPV genera incomodidad porque no solamente aspira a</w:t>
      </w:r>
      <w:r w:rsidRPr="002E44C4">
        <w:rPr>
          <w:rFonts w:eastAsia="Times New Roman" w:cs="Times New Roman"/>
          <w:color w:val="0D0D0D" w:themeColor="text1" w:themeTint="F2"/>
          <w:szCs w:val="20"/>
        </w:rPr>
        <w:t xml:space="preserve"> garantizar la seguridad y la aprobación oportuna</w:t>
      </w:r>
      <w:r>
        <w:rPr>
          <w:rFonts w:eastAsia="Times New Roman" w:cs="Times New Roman"/>
          <w:color w:val="0D0D0D" w:themeColor="text1" w:themeTint="F2"/>
          <w:szCs w:val="20"/>
        </w:rPr>
        <w:t xml:space="preserve"> de medicamentos,</w:t>
      </w:r>
      <w:r w:rsidRPr="002E44C4">
        <w:rPr>
          <w:rFonts w:eastAsia="Times New Roman" w:cs="Times New Roman"/>
          <w:color w:val="0D0D0D" w:themeColor="text1" w:themeTint="F2"/>
          <w:szCs w:val="20"/>
        </w:rPr>
        <w:t xml:space="preserve"> </w:t>
      </w:r>
      <w:r>
        <w:rPr>
          <w:rFonts w:eastAsia="Times New Roman" w:cs="Times New Roman"/>
          <w:color w:val="0D0D0D" w:themeColor="text1" w:themeTint="F2"/>
          <w:szCs w:val="20"/>
        </w:rPr>
        <w:t xml:space="preserve">sino que forma parte de un plan </w:t>
      </w:r>
      <w:r w:rsidRPr="002E44C4">
        <w:rPr>
          <w:rFonts w:eastAsia="Times New Roman" w:cs="Times New Roman"/>
          <w:color w:val="0D0D0D" w:themeColor="text1" w:themeTint="F2"/>
          <w:szCs w:val="20"/>
        </w:rPr>
        <w:t>más am</w:t>
      </w:r>
      <w:r>
        <w:rPr>
          <w:rFonts w:eastAsia="Times New Roman" w:cs="Times New Roman"/>
          <w:color w:val="0D0D0D" w:themeColor="text1" w:themeTint="F2"/>
          <w:szCs w:val="20"/>
        </w:rPr>
        <w:t xml:space="preserve">bicioso que pretende </w:t>
      </w:r>
      <w:r w:rsidRPr="002E44C4">
        <w:rPr>
          <w:rFonts w:eastAsia="Times New Roman" w:cs="Times New Roman"/>
          <w:color w:val="0D0D0D" w:themeColor="text1" w:themeTint="F2"/>
          <w:szCs w:val="20"/>
        </w:rPr>
        <w:t xml:space="preserve">reformar </w:t>
      </w:r>
      <w:r>
        <w:rPr>
          <w:rFonts w:eastAsia="Times New Roman" w:cs="Times New Roman"/>
          <w:color w:val="0D0D0D" w:themeColor="text1" w:themeTint="F2"/>
          <w:szCs w:val="20"/>
        </w:rPr>
        <w:t>el funcionamiento de la industria.</w:t>
      </w:r>
    </w:p>
    <w:p w14:paraId="3CC0CA6C" w14:textId="77777777" w:rsidR="008117C7" w:rsidRDefault="008117C7" w:rsidP="008117C7">
      <w:pPr>
        <w:spacing w:after="225"/>
        <w:contextualSpacing/>
        <w:outlineLvl w:val="0"/>
        <w:rPr>
          <w:rFonts w:eastAsia="Times New Roman" w:cs="Times New Roman"/>
          <w:color w:val="0D0D0D" w:themeColor="text1" w:themeTint="F2"/>
          <w:szCs w:val="20"/>
        </w:rPr>
      </w:pPr>
    </w:p>
    <w:p w14:paraId="4B2261EF" w14:textId="77777777" w:rsidR="008117C7" w:rsidRPr="002E44C4" w:rsidRDefault="008117C7" w:rsidP="008117C7">
      <w:pPr>
        <w:spacing w:after="225"/>
        <w:contextualSpacing/>
        <w:outlineLvl w:val="0"/>
        <w:rPr>
          <w:rFonts w:eastAsia="Times New Roman" w:cs="Times New Roman"/>
          <w:color w:val="0D0D0D" w:themeColor="text1" w:themeTint="F2"/>
          <w:szCs w:val="20"/>
        </w:rPr>
      </w:pPr>
      <w:r>
        <w:rPr>
          <w:rFonts w:eastAsia="Times New Roman" w:cs="Times New Roman"/>
          <w:color w:val="0D0D0D" w:themeColor="text1" w:themeTint="F2"/>
          <w:szCs w:val="20"/>
        </w:rPr>
        <w:t xml:space="preserve">Según </w:t>
      </w:r>
      <w:proofErr w:type="spellStart"/>
      <w:r w:rsidRPr="00E12CE7">
        <w:rPr>
          <w:rFonts w:eastAsia="Times New Roman" w:cs="Times New Roman"/>
          <w:i/>
          <w:iCs/>
          <w:color w:val="0D0D0D" w:themeColor="text1" w:themeTint="F2"/>
          <w:szCs w:val="20"/>
        </w:rPr>
        <w:t>BioSpace</w:t>
      </w:r>
      <w:proofErr w:type="spellEnd"/>
      <w:r>
        <w:rPr>
          <w:rFonts w:eastAsia="Times New Roman" w:cs="Times New Roman"/>
          <w:i/>
          <w:iCs/>
          <w:color w:val="0D0D0D" w:themeColor="text1" w:themeTint="F2"/>
          <w:szCs w:val="20"/>
        </w:rPr>
        <w:t>,</w:t>
      </w:r>
      <w:r>
        <w:rPr>
          <w:rFonts w:eastAsia="Times New Roman" w:cs="Times New Roman"/>
          <w:color w:val="0D0D0D" w:themeColor="text1" w:themeTint="F2"/>
          <w:szCs w:val="20"/>
        </w:rPr>
        <w:t xml:space="preserve"> el </w:t>
      </w:r>
      <w:r w:rsidRPr="002E44C4">
        <w:rPr>
          <w:rFonts w:eastAsia="Times New Roman" w:cs="Times New Roman"/>
          <w:color w:val="0D0D0D" w:themeColor="text1" w:themeTint="F2"/>
          <w:szCs w:val="20"/>
        </w:rPr>
        <w:t xml:space="preserve">director y analista sénior de biotecnología y biofarmacia en </w:t>
      </w:r>
      <w:proofErr w:type="spellStart"/>
      <w:r w:rsidRPr="002E44C4">
        <w:rPr>
          <w:rFonts w:eastAsia="Times New Roman" w:cs="Times New Roman"/>
          <w:color w:val="0D0D0D" w:themeColor="text1" w:themeTint="F2"/>
          <w:szCs w:val="20"/>
        </w:rPr>
        <w:t>Mizuho</w:t>
      </w:r>
      <w:proofErr w:type="spellEnd"/>
      <w:r w:rsidRPr="002E44C4">
        <w:rPr>
          <w:rFonts w:eastAsia="Times New Roman" w:cs="Times New Roman"/>
          <w:color w:val="0D0D0D" w:themeColor="text1" w:themeTint="F2"/>
          <w:szCs w:val="20"/>
        </w:rPr>
        <w:t xml:space="preserve"> </w:t>
      </w:r>
      <w:proofErr w:type="spellStart"/>
      <w:r w:rsidRPr="002E44C4">
        <w:rPr>
          <w:rFonts w:eastAsia="Times New Roman" w:cs="Times New Roman"/>
          <w:color w:val="0D0D0D" w:themeColor="text1" w:themeTint="F2"/>
          <w:szCs w:val="20"/>
        </w:rPr>
        <w:t>Securities</w:t>
      </w:r>
      <w:proofErr w:type="spellEnd"/>
      <w:r>
        <w:rPr>
          <w:rFonts w:eastAsia="Times New Roman" w:cs="Times New Roman"/>
          <w:color w:val="0D0D0D" w:themeColor="text1" w:themeTint="F2"/>
          <w:szCs w:val="20"/>
        </w:rPr>
        <w:t>,</w:t>
      </w:r>
      <w:r w:rsidRPr="002E44C4">
        <w:rPr>
          <w:rFonts w:eastAsia="Times New Roman" w:cs="Times New Roman"/>
          <w:color w:val="0D0D0D" w:themeColor="text1" w:themeTint="F2"/>
          <w:szCs w:val="20"/>
        </w:rPr>
        <w:t xml:space="preserve"> </w:t>
      </w:r>
      <w:proofErr w:type="spellStart"/>
      <w:r w:rsidRPr="002E44C4">
        <w:rPr>
          <w:rFonts w:eastAsia="Times New Roman" w:cs="Times New Roman"/>
          <w:color w:val="0D0D0D" w:themeColor="text1" w:themeTint="F2"/>
          <w:szCs w:val="20"/>
        </w:rPr>
        <w:t>Graig</w:t>
      </w:r>
      <w:proofErr w:type="spellEnd"/>
      <w:r w:rsidRPr="002E44C4">
        <w:rPr>
          <w:rFonts w:eastAsia="Times New Roman" w:cs="Times New Roman"/>
          <w:color w:val="0D0D0D" w:themeColor="text1" w:themeTint="F2"/>
          <w:szCs w:val="20"/>
        </w:rPr>
        <w:t xml:space="preserve"> </w:t>
      </w:r>
      <w:proofErr w:type="spellStart"/>
      <w:r w:rsidRPr="002E44C4">
        <w:rPr>
          <w:rFonts w:eastAsia="Times New Roman" w:cs="Times New Roman"/>
          <w:color w:val="0D0D0D" w:themeColor="text1" w:themeTint="F2"/>
          <w:szCs w:val="20"/>
        </w:rPr>
        <w:t>Suvannavejh</w:t>
      </w:r>
      <w:proofErr w:type="spellEnd"/>
      <w:r w:rsidRPr="002E44C4">
        <w:rPr>
          <w:rFonts w:eastAsia="Times New Roman" w:cs="Times New Roman"/>
          <w:color w:val="0D0D0D" w:themeColor="text1" w:themeTint="F2"/>
          <w:szCs w:val="20"/>
        </w:rPr>
        <w:t>, declaró</w:t>
      </w:r>
      <w:r>
        <w:rPr>
          <w:rFonts w:eastAsia="Times New Roman" w:cs="Times New Roman"/>
          <w:color w:val="0D0D0D" w:themeColor="text1" w:themeTint="F2"/>
          <w:szCs w:val="20"/>
        </w:rPr>
        <w:t xml:space="preserve"> que </w:t>
      </w:r>
      <w:r w:rsidRPr="002E44C4">
        <w:rPr>
          <w:rFonts w:eastAsia="Times New Roman" w:cs="Times New Roman"/>
          <w:color w:val="0D0D0D" w:themeColor="text1" w:themeTint="F2"/>
          <w:szCs w:val="20"/>
        </w:rPr>
        <w:t>t</w:t>
      </w:r>
      <w:r>
        <w:rPr>
          <w:rFonts w:eastAsia="Times New Roman" w:cs="Times New Roman"/>
          <w:color w:val="0D0D0D" w:themeColor="text1" w:themeTint="F2"/>
          <w:szCs w:val="20"/>
        </w:rPr>
        <w:t>i</w:t>
      </w:r>
      <w:r w:rsidRPr="002E44C4">
        <w:rPr>
          <w:rFonts w:eastAsia="Times New Roman" w:cs="Times New Roman"/>
          <w:color w:val="0D0D0D" w:themeColor="text1" w:themeTint="F2"/>
          <w:szCs w:val="20"/>
        </w:rPr>
        <w:t>ene reservas sobre la forma en que se seleccionan los medicamentos</w:t>
      </w:r>
      <w:r>
        <w:rPr>
          <w:rFonts w:eastAsia="Times New Roman" w:cs="Times New Roman"/>
          <w:color w:val="0D0D0D" w:themeColor="text1" w:themeTint="F2"/>
          <w:szCs w:val="20"/>
        </w:rPr>
        <w:t xml:space="preserve"> para este programa, y coincide con Abrams</w:t>
      </w:r>
      <w:r w:rsidRPr="002E44C4">
        <w:rPr>
          <w:rFonts w:eastAsia="Times New Roman" w:cs="Times New Roman"/>
          <w:color w:val="0D0D0D" w:themeColor="text1" w:themeTint="F2"/>
          <w:szCs w:val="20"/>
        </w:rPr>
        <w:t xml:space="preserve"> </w:t>
      </w:r>
      <w:r>
        <w:rPr>
          <w:rFonts w:eastAsia="Times New Roman" w:cs="Times New Roman"/>
          <w:color w:val="0D0D0D" w:themeColor="text1" w:themeTint="F2"/>
          <w:szCs w:val="20"/>
        </w:rPr>
        <w:t xml:space="preserve">en </w:t>
      </w:r>
      <w:r w:rsidRPr="002E44C4">
        <w:rPr>
          <w:rFonts w:eastAsia="Times New Roman" w:cs="Times New Roman"/>
          <w:color w:val="0D0D0D" w:themeColor="text1" w:themeTint="F2"/>
          <w:szCs w:val="20"/>
        </w:rPr>
        <w:t>que</w:t>
      </w:r>
      <w:r>
        <w:rPr>
          <w:rFonts w:eastAsia="Times New Roman" w:cs="Times New Roman"/>
          <w:color w:val="0D0D0D" w:themeColor="text1" w:themeTint="F2"/>
          <w:szCs w:val="20"/>
        </w:rPr>
        <w:t xml:space="preserve"> </w:t>
      </w:r>
      <w:r w:rsidRPr="002E44C4">
        <w:rPr>
          <w:rFonts w:eastAsia="Times New Roman" w:cs="Times New Roman"/>
          <w:color w:val="0D0D0D" w:themeColor="text1" w:themeTint="F2"/>
          <w:szCs w:val="20"/>
        </w:rPr>
        <w:t xml:space="preserve">las empresas estarían a favor de una pausa para comprender </w:t>
      </w:r>
      <w:r>
        <w:rPr>
          <w:rFonts w:eastAsia="Times New Roman" w:cs="Times New Roman"/>
          <w:color w:val="0D0D0D" w:themeColor="text1" w:themeTint="F2"/>
          <w:szCs w:val="20"/>
        </w:rPr>
        <w:t xml:space="preserve">mejor </w:t>
      </w:r>
      <w:r w:rsidRPr="002E44C4">
        <w:rPr>
          <w:rFonts w:eastAsia="Times New Roman" w:cs="Times New Roman"/>
          <w:color w:val="0D0D0D" w:themeColor="text1" w:themeTint="F2"/>
          <w:szCs w:val="20"/>
        </w:rPr>
        <w:t>lo que está sucediendo en la FDA</w:t>
      </w:r>
      <w:r>
        <w:rPr>
          <w:rFonts w:eastAsia="Times New Roman" w:cs="Times New Roman"/>
          <w:color w:val="0D0D0D" w:themeColor="text1" w:themeTint="F2"/>
          <w:szCs w:val="20"/>
        </w:rPr>
        <w:t>, sobre todo</w:t>
      </w:r>
      <w:r w:rsidRPr="002E44C4">
        <w:rPr>
          <w:rFonts w:eastAsia="Times New Roman" w:cs="Times New Roman"/>
          <w:color w:val="0D0D0D" w:themeColor="text1" w:themeTint="F2"/>
          <w:szCs w:val="20"/>
        </w:rPr>
        <w:t xml:space="preserve"> en términos de transparenc</w:t>
      </w:r>
      <w:r>
        <w:rPr>
          <w:rFonts w:eastAsia="Times New Roman" w:cs="Times New Roman"/>
          <w:color w:val="0D0D0D" w:themeColor="text1" w:themeTint="F2"/>
          <w:szCs w:val="20"/>
        </w:rPr>
        <w:t xml:space="preserve">ia, </w:t>
      </w:r>
      <w:r w:rsidRPr="002E44C4">
        <w:rPr>
          <w:rFonts w:eastAsia="Times New Roman" w:cs="Times New Roman"/>
          <w:color w:val="0D0D0D" w:themeColor="text1" w:themeTint="F2"/>
          <w:szCs w:val="20"/>
        </w:rPr>
        <w:t xml:space="preserve">y </w:t>
      </w:r>
      <w:r>
        <w:rPr>
          <w:rFonts w:eastAsia="Times New Roman" w:cs="Times New Roman"/>
          <w:color w:val="0D0D0D" w:themeColor="text1" w:themeTint="F2"/>
          <w:szCs w:val="20"/>
        </w:rPr>
        <w:t xml:space="preserve">para verificar que el programa está bien diseñado desde la perspectiva </w:t>
      </w:r>
      <w:r w:rsidRPr="002E44C4">
        <w:rPr>
          <w:rFonts w:eastAsia="Times New Roman" w:cs="Times New Roman"/>
          <w:color w:val="0D0D0D" w:themeColor="text1" w:themeTint="F2"/>
          <w:szCs w:val="20"/>
        </w:rPr>
        <w:t>regulatori</w:t>
      </w:r>
      <w:r>
        <w:rPr>
          <w:rFonts w:eastAsia="Times New Roman" w:cs="Times New Roman"/>
          <w:color w:val="0D0D0D" w:themeColor="text1" w:themeTint="F2"/>
          <w:szCs w:val="20"/>
        </w:rPr>
        <w:t>a</w:t>
      </w:r>
      <w:r w:rsidRPr="002E44C4">
        <w:rPr>
          <w:rFonts w:eastAsia="Times New Roman" w:cs="Times New Roman"/>
          <w:color w:val="0D0D0D" w:themeColor="text1" w:themeTint="F2"/>
          <w:szCs w:val="20"/>
        </w:rPr>
        <w:t>, industrial y legal</w:t>
      </w:r>
      <w:r>
        <w:rPr>
          <w:rFonts w:eastAsia="Times New Roman" w:cs="Times New Roman"/>
          <w:color w:val="0D0D0D" w:themeColor="text1" w:themeTint="F2"/>
          <w:szCs w:val="20"/>
        </w:rPr>
        <w:t>.</w:t>
      </w:r>
    </w:p>
    <w:p w14:paraId="0113D95B" w14:textId="77777777" w:rsidR="008117C7" w:rsidRPr="00840D3D" w:rsidRDefault="008117C7" w:rsidP="008117C7">
      <w:pPr>
        <w:spacing w:after="225"/>
        <w:contextualSpacing/>
        <w:outlineLvl w:val="0"/>
        <w:rPr>
          <w:rFonts w:eastAsia="Times New Roman" w:cs="Times New Roman"/>
          <w:color w:val="0D0D0D" w:themeColor="text1" w:themeTint="F2"/>
          <w:szCs w:val="20"/>
          <w:lang w:val="es-ES"/>
        </w:rPr>
      </w:pPr>
    </w:p>
    <w:p w14:paraId="71862F21" w14:textId="77777777" w:rsidR="008117C7" w:rsidRPr="002E44C4" w:rsidRDefault="008117C7" w:rsidP="008117C7">
      <w:pPr>
        <w:spacing w:after="225"/>
        <w:contextualSpacing/>
        <w:outlineLvl w:val="0"/>
        <w:rPr>
          <w:rFonts w:eastAsia="Times New Roman" w:cs="Times New Roman"/>
          <w:color w:val="0D0D0D" w:themeColor="text1" w:themeTint="F2"/>
          <w:szCs w:val="20"/>
        </w:rPr>
      </w:pPr>
      <w:r>
        <w:rPr>
          <w:rFonts w:eastAsia="Times New Roman" w:cs="Times New Roman"/>
          <w:color w:val="0D0D0D" w:themeColor="text1" w:themeTint="F2"/>
          <w:szCs w:val="20"/>
        </w:rPr>
        <w:t xml:space="preserve">Por otra parte, </w:t>
      </w:r>
      <w:r w:rsidRPr="002E44C4">
        <w:rPr>
          <w:rFonts w:eastAsia="Times New Roman" w:cs="Times New Roman"/>
          <w:color w:val="0D0D0D" w:themeColor="text1" w:themeTint="F2"/>
          <w:szCs w:val="20"/>
        </w:rPr>
        <w:t xml:space="preserve">Peter Pitts, </w:t>
      </w:r>
      <w:proofErr w:type="spellStart"/>
      <w:r w:rsidRPr="002E44C4">
        <w:rPr>
          <w:rFonts w:eastAsia="Times New Roman" w:cs="Times New Roman"/>
          <w:color w:val="0D0D0D" w:themeColor="text1" w:themeTint="F2"/>
          <w:szCs w:val="20"/>
        </w:rPr>
        <w:t>excomisionado</w:t>
      </w:r>
      <w:proofErr w:type="spellEnd"/>
      <w:r w:rsidRPr="002E44C4">
        <w:rPr>
          <w:rFonts w:eastAsia="Times New Roman" w:cs="Times New Roman"/>
          <w:color w:val="0D0D0D" w:themeColor="text1" w:themeTint="F2"/>
          <w:szCs w:val="20"/>
        </w:rPr>
        <w:t xml:space="preserve"> adjunto de la FDA</w:t>
      </w:r>
      <w:r>
        <w:rPr>
          <w:rFonts w:eastAsia="Times New Roman" w:cs="Times New Roman"/>
          <w:color w:val="0D0D0D" w:themeColor="text1" w:themeTint="F2"/>
          <w:szCs w:val="20"/>
        </w:rPr>
        <w:t xml:space="preserve">, </w:t>
      </w:r>
      <w:r w:rsidRPr="002E44C4">
        <w:rPr>
          <w:rFonts w:eastAsia="Times New Roman" w:cs="Times New Roman"/>
          <w:color w:val="0D0D0D" w:themeColor="text1" w:themeTint="F2"/>
          <w:szCs w:val="20"/>
        </w:rPr>
        <w:t xml:space="preserve">apoya </w:t>
      </w:r>
      <w:r>
        <w:rPr>
          <w:rFonts w:eastAsia="Times New Roman" w:cs="Times New Roman"/>
          <w:color w:val="0D0D0D" w:themeColor="text1" w:themeTint="F2"/>
          <w:szCs w:val="20"/>
        </w:rPr>
        <w:t>la eliminación d</w:t>
      </w:r>
      <w:r w:rsidRPr="002E44C4">
        <w:rPr>
          <w:rFonts w:eastAsia="Times New Roman" w:cs="Times New Roman"/>
          <w:color w:val="0D0D0D" w:themeColor="text1" w:themeTint="F2"/>
          <w:szCs w:val="20"/>
        </w:rPr>
        <w:t>el program</w:t>
      </w:r>
      <w:r>
        <w:rPr>
          <w:rFonts w:eastAsia="Times New Roman" w:cs="Times New Roman"/>
          <w:color w:val="0D0D0D" w:themeColor="text1" w:themeTint="F2"/>
          <w:szCs w:val="20"/>
        </w:rPr>
        <w:t>a CNPV por considerarlo</w:t>
      </w:r>
      <w:r w:rsidRPr="002E44C4">
        <w:rPr>
          <w:rFonts w:eastAsia="Times New Roman" w:cs="Times New Roman"/>
          <w:color w:val="0D0D0D" w:themeColor="text1" w:themeTint="F2"/>
          <w:szCs w:val="20"/>
        </w:rPr>
        <w:t xml:space="preserve"> redundant</w:t>
      </w:r>
      <w:r>
        <w:rPr>
          <w:rFonts w:eastAsia="Times New Roman" w:cs="Times New Roman"/>
          <w:color w:val="0D0D0D" w:themeColor="text1" w:themeTint="F2"/>
          <w:szCs w:val="20"/>
        </w:rPr>
        <w:t xml:space="preserve">e, pues la agencia ya </w:t>
      </w:r>
      <w:r w:rsidRPr="002E44C4">
        <w:rPr>
          <w:rFonts w:eastAsia="Times New Roman" w:cs="Times New Roman"/>
          <w:color w:val="0D0D0D" w:themeColor="text1" w:themeTint="F2"/>
          <w:szCs w:val="20"/>
        </w:rPr>
        <w:t>cuenta con varios programas para agilizar la revisión de</w:t>
      </w:r>
      <w:r>
        <w:rPr>
          <w:rFonts w:eastAsia="Times New Roman" w:cs="Times New Roman"/>
          <w:color w:val="0D0D0D" w:themeColor="text1" w:themeTint="F2"/>
          <w:szCs w:val="20"/>
        </w:rPr>
        <w:t xml:space="preserve"> solicitudes,</w:t>
      </w:r>
      <w:r w:rsidRPr="002E44C4">
        <w:rPr>
          <w:rFonts w:eastAsia="Times New Roman" w:cs="Times New Roman"/>
          <w:color w:val="0D0D0D" w:themeColor="text1" w:themeTint="F2"/>
          <w:szCs w:val="20"/>
        </w:rPr>
        <w:t xml:space="preserve"> y </w:t>
      </w:r>
      <w:r>
        <w:rPr>
          <w:rFonts w:eastAsia="Times New Roman" w:cs="Times New Roman"/>
          <w:color w:val="0D0D0D" w:themeColor="text1" w:themeTint="F2"/>
          <w:szCs w:val="20"/>
        </w:rPr>
        <w:t>porque</w:t>
      </w:r>
      <w:r w:rsidRPr="002E44C4">
        <w:rPr>
          <w:rFonts w:eastAsia="Times New Roman" w:cs="Times New Roman"/>
          <w:color w:val="0D0D0D" w:themeColor="text1" w:themeTint="F2"/>
          <w:szCs w:val="20"/>
        </w:rPr>
        <w:t xml:space="preserve"> cre</w:t>
      </w:r>
      <w:r>
        <w:rPr>
          <w:rFonts w:eastAsia="Times New Roman" w:cs="Times New Roman"/>
          <w:color w:val="0D0D0D" w:themeColor="text1" w:themeTint="F2"/>
          <w:szCs w:val="20"/>
        </w:rPr>
        <w:t>e</w:t>
      </w:r>
      <w:r w:rsidRPr="002E44C4">
        <w:rPr>
          <w:rFonts w:eastAsia="Times New Roman" w:cs="Times New Roman"/>
          <w:color w:val="0D0D0D" w:themeColor="text1" w:themeTint="F2"/>
          <w:szCs w:val="20"/>
        </w:rPr>
        <w:t xml:space="preserve"> </w:t>
      </w:r>
      <w:r>
        <w:rPr>
          <w:rFonts w:eastAsia="Times New Roman" w:cs="Times New Roman"/>
          <w:color w:val="0D0D0D" w:themeColor="text1" w:themeTint="F2"/>
          <w:szCs w:val="20"/>
        </w:rPr>
        <w:t xml:space="preserve">que corresponde a los diferentes centros especializados de la agencia, y no unos pocos </w:t>
      </w:r>
      <w:r w:rsidRPr="002E44C4">
        <w:rPr>
          <w:rFonts w:eastAsia="Times New Roman" w:cs="Times New Roman"/>
          <w:color w:val="0D0D0D" w:themeColor="text1" w:themeTint="F2"/>
          <w:szCs w:val="20"/>
        </w:rPr>
        <w:t>ejecutivos de la FDA</w:t>
      </w:r>
      <w:r>
        <w:rPr>
          <w:rFonts w:eastAsia="Times New Roman" w:cs="Times New Roman"/>
          <w:color w:val="0D0D0D" w:themeColor="text1" w:themeTint="F2"/>
          <w:szCs w:val="20"/>
        </w:rPr>
        <w:t>, hacer la selección de los medicamentos que se someterán a revisión acelerada. Además, e</w:t>
      </w:r>
      <w:r w:rsidRPr="002E44C4">
        <w:rPr>
          <w:rFonts w:eastAsia="Times New Roman" w:cs="Times New Roman"/>
          <w:color w:val="0D0D0D" w:themeColor="text1" w:themeTint="F2"/>
          <w:szCs w:val="20"/>
        </w:rPr>
        <w:t>l CNPV promet</w:t>
      </w:r>
      <w:r>
        <w:rPr>
          <w:rFonts w:eastAsia="Times New Roman" w:cs="Times New Roman"/>
          <w:color w:val="0D0D0D" w:themeColor="text1" w:themeTint="F2"/>
          <w:szCs w:val="20"/>
        </w:rPr>
        <w:t>e</w:t>
      </w:r>
      <w:r w:rsidRPr="002E44C4">
        <w:rPr>
          <w:rFonts w:eastAsia="Times New Roman" w:cs="Times New Roman"/>
          <w:color w:val="0D0D0D" w:themeColor="text1" w:themeTint="F2"/>
          <w:szCs w:val="20"/>
        </w:rPr>
        <w:t xml:space="preserve"> un plazo de respuesta de </w:t>
      </w:r>
      <w:r>
        <w:rPr>
          <w:rFonts w:eastAsia="Times New Roman" w:cs="Times New Roman"/>
          <w:color w:val="0D0D0D" w:themeColor="text1" w:themeTint="F2"/>
          <w:szCs w:val="20"/>
        </w:rPr>
        <w:t>solo uno a dos</w:t>
      </w:r>
      <w:r w:rsidRPr="002E44C4">
        <w:rPr>
          <w:rFonts w:eastAsia="Times New Roman" w:cs="Times New Roman"/>
          <w:color w:val="0D0D0D" w:themeColor="text1" w:themeTint="F2"/>
          <w:szCs w:val="20"/>
        </w:rPr>
        <w:t xml:space="preserve"> meses, </w:t>
      </w:r>
      <w:r>
        <w:rPr>
          <w:rFonts w:eastAsia="Times New Roman" w:cs="Times New Roman"/>
          <w:color w:val="0D0D0D" w:themeColor="text1" w:themeTint="F2"/>
          <w:szCs w:val="20"/>
        </w:rPr>
        <w:t>l</w:t>
      </w:r>
      <w:r w:rsidRPr="002E44C4">
        <w:rPr>
          <w:rFonts w:eastAsia="Times New Roman" w:cs="Times New Roman"/>
          <w:color w:val="0D0D0D" w:themeColor="text1" w:themeTint="F2"/>
          <w:szCs w:val="20"/>
        </w:rPr>
        <w:t>o</w:t>
      </w:r>
      <w:r>
        <w:rPr>
          <w:rFonts w:eastAsia="Times New Roman" w:cs="Times New Roman"/>
          <w:color w:val="0D0D0D" w:themeColor="text1" w:themeTint="F2"/>
          <w:szCs w:val="20"/>
        </w:rPr>
        <w:t xml:space="preserve"> cual</w:t>
      </w:r>
      <w:r w:rsidRPr="002E44C4">
        <w:rPr>
          <w:rFonts w:eastAsia="Times New Roman" w:cs="Times New Roman"/>
          <w:color w:val="0D0D0D" w:themeColor="text1" w:themeTint="F2"/>
          <w:szCs w:val="20"/>
        </w:rPr>
        <w:t xml:space="preserve"> </w:t>
      </w:r>
      <w:r>
        <w:rPr>
          <w:rFonts w:eastAsia="Times New Roman" w:cs="Times New Roman"/>
          <w:color w:val="0D0D0D" w:themeColor="text1" w:themeTint="F2"/>
          <w:szCs w:val="20"/>
        </w:rPr>
        <w:t xml:space="preserve">genera </w:t>
      </w:r>
      <w:r w:rsidRPr="002E44C4">
        <w:rPr>
          <w:rFonts w:eastAsia="Times New Roman" w:cs="Times New Roman"/>
          <w:color w:val="0D0D0D" w:themeColor="text1" w:themeTint="F2"/>
          <w:szCs w:val="20"/>
        </w:rPr>
        <w:t>nuevos desafíos para la agencia</w:t>
      </w:r>
      <w:r>
        <w:rPr>
          <w:rFonts w:eastAsia="Times New Roman" w:cs="Times New Roman"/>
          <w:color w:val="0D0D0D" w:themeColor="text1" w:themeTint="F2"/>
          <w:szCs w:val="20"/>
        </w:rPr>
        <w:t xml:space="preserve">, </w:t>
      </w:r>
      <w:r w:rsidRPr="00840D3D">
        <w:rPr>
          <w:rFonts w:eastAsia="Times New Roman" w:cs="Times New Roman"/>
          <w:color w:val="0D0D0D" w:themeColor="text1" w:themeTint="F2"/>
          <w:szCs w:val="20"/>
        </w:rPr>
        <w:t xml:space="preserve">que ya opera bajo mínimos </w:t>
      </w:r>
      <w:r>
        <w:rPr>
          <w:rFonts w:eastAsia="Times New Roman" w:cs="Times New Roman"/>
          <w:color w:val="0D0D0D" w:themeColor="text1" w:themeTint="F2"/>
          <w:szCs w:val="20"/>
        </w:rPr>
        <w:t xml:space="preserve">por </w:t>
      </w:r>
      <w:r w:rsidRPr="00840D3D">
        <w:rPr>
          <w:rFonts w:eastAsia="Times New Roman" w:cs="Times New Roman"/>
          <w:color w:val="0D0D0D" w:themeColor="text1" w:themeTint="F2"/>
          <w:szCs w:val="20"/>
        </w:rPr>
        <w:t xml:space="preserve">los importantes recortes de plantilla realizados el año pasado, </w:t>
      </w:r>
      <w:r>
        <w:rPr>
          <w:rFonts w:eastAsia="Times New Roman" w:cs="Times New Roman"/>
          <w:color w:val="0D0D0D" w:themeColor="text1" w:themeTint="F2"/>
          <w:szCs w:val="20"/>
        </w:rPr>
        <w:t xml:space="preserve">por lo que </w:t>
      </w:r>
      <w:r w:rsidRPr="00840D3D">
        <w:rPr>
          <w:rFonts w:eastAsia="Times New Roman" w:cs="Times New Roman"/>
          <w:color w:val="0D0D0D" w:themeColor="text1" w:themeTint="F2"/>
          <w:szCs w:val="20"/>
        </w:rPr>
        <w:t>las prioridades del propio comisionado podrían prevalecer sobre las de la agencia en su conjunto.</w:t>
      </w:r>
    </w:p>
    <w:p w14:paraId="43CAF23C" w14:textId="77777777" w:rsidR="008117C7" w:rsidRDefault="008117C7" w:rsidP="008117C7">
      <w:pPr>
        <w:spacing w:after="225"/>
        <w:contextualSpacing/>
        <w:outlineLvl w:val="0"/>
        <w:rPr>
          <w:rFonts w:eastAsia="Times New Roman" w:cs="Times New Roman"/>
          <w:color w:val="0D0D0D" w:themeColor="text1" w:themeTint="F2"/>
          <w:szCs w:val="20"/>
        </w:rPr>
      </w:pPr>
    </w:p>
    <w:p w14:paraId="5BBBC6BB" w14:textId="77777777" w:rsidR="008117C7" w:rsidRPr="00840D3D" w:rsidRDefault="008117C7" w:rsidP="008117C7">
      <w:pPr>
        <w:spacing w:after="225"/>
        <w:contextualSpacing/>
        <w:outlineLvl w:val="0"/>
        <w:rPr>
          <w:rFonts w:eastAsia="Times New Roman" w:cs="Times New Roman"/>
          <w:color w:val="0D0D0D" w:themeColor="text1" w:themeTint="F2"/>
          <w:szCs w:val="20"/>
        </w:rPr>
      </w:pPr>
      <w:r w:rsidRPr="00840D3D">
        <w:rPr>
          <w:rFonts w:eastAsia="Times New Roman" w:cs="Times New Roman"/>
          <w:color w:val="0D0D0D" w:themeColor="text1" w:themeTint="F2"/>
          <w:szCs w:val="20"/>
        </w:rPr>
        <w:t>«El comisionado es un cargo de designación política... y cualquier interferencia directa de un cargo político en el proceso de revisión conduce a situaciones negativas, independientemente de las intenciones del comisionado»</w:t>
      </w:r>
      <w:r>
        <w:rPr>
          <w:rFonts w:eastAsia="Times New Roman" w:cs="Times New Roman"/>
          <w:color w:val="0D0D0D" w:themeColor="text1" w:themeTint="F2"/>
          <w:szCs w:val="20"/>
        </w:rPr>
        <w:t xml:space="preserve"> dijo Pitts. Y añadió: </w:t>
      </w:r>
      <w:r w:rsidRPr="00840D3D">
        <w:rPr>
          <w:rFonts w:eastAsia="Times New Roman" w:cs="Times New Roman"/>
          <w:color w:val="0D0D0D" w:themeColor="text1" w:themeTint="F2"/>
          <w:szCs w:val="20"/>
        </w:rPr>
        <w:t>«Me preocupa menos que un comisionado diga: "Esto me interesa; pónganlo al principio de la lista de espera"», señaló Pitts. «Me preocuparía más la influencia proveniente de fuera de la agencia».</w:t>
      </w:r>
    </w:p>
    <w:p w14:paraId="4DC3D318" w14:textId="77777777" w:rsidR="008117C7" w:rsidRPr="00840D3D" w:rsidRDefault="008117C7" w:rsidP="008117C7">
      <w:pPr>
        <w:spacing w:after="225"/>
        <w:contextualSpacing/>
        <w:outlineLvl w:val="0"/>
        <w:rPr>
          <w:rFonts w:eastAsia="Times New Roman" w:cs="Times New Roman"/>
          <w:color w:val="0D0D0D" w:themeColor="text1" w:themeTint="F2"/>
          <w:szCs w:val="20"/>
        </w:rPr>
      </w:pPr>
    </w:p>
    <w:p w14:paraId="6C860D6B" w14:textId="77777777" w:rsidR="008117C7" w:rsidRDefault="008117C7" w:rsidP="008117C7">
      <w:pPr>
        <w:spacing w:after="225"/>
        <w:contextualSpacing/>
        <w:outlineLvl w:val="0"/>
        <w:rPr>
          <w:rFonts w:eastAsia="Times New Roman" w:cs="Times New Roman"/>
          <w:color w:val="0D0D0D" w:themeColor="text1" w:themeTint="F2"/>
          <w:szCs w:val="20"/>
        </w:rPr>
      </w:pPr>
      <w:r w:rsidRPr="00840D3D">
        <w:rPr>
          <w:rFonts w:eastAsia="Times New Roman" w:cs="Times New Roman"/>
          <w:color w:val="0D0D0D" w:themeColor="text1" w:themeTint="F2"/>
          <w:szCs w:val="20"/>
        </w:rPr>
        <w:t>Davis, director interino del CDER</w:t>
      </w:r>
      <w:r>
        <w:rPr>
          <w:rFonts w:eastAsia="Times New Roman" w:cs="Times New Roman"/>
          <w:color w:val="0D0D0D" w:themeColor="text1" w:themeTint="F2"/>
          <w:szCs w:val="20"/>
        </w:rPr>
        <w:t xml:space="preserve"> </w:t>
      </w:r>
      <w:r w:rsidRPr="00840D3D">
        <w:rPr>
          <w:rFonts w:eastAsia="Times New Roman" w:cs="Times New Roman"/>
          <w:color w:val="0D0D0D" w:themeColor="text1" w:themeTint="F2"/>
          <w:szCs w:val="20"/>
        </w:rPr>
        <w:t>(</w:t>
      </w:r>
      <w:r>
        <w:rPr>
          <w:rFonts w:eastAsia="Times New Roman" w:cs="Times New Roman"/>
          <w:color w:val="0D0D0D" w:themeColor="text1" w:themeTint="F2"/>
          <w:szCs w:val="20"/>
        </w:rPr>
        <w:t xml:space="preserve">por si sigla en inglés </w:t>
      </w:r>
      <w:r w:rsidRPr="00840D3D">
        <w:rPr>
          <w:rFonts w:eastAsia="Times New Roman" w:cs="Times New Roman"/>
          <w:i/>
          <w:iCs/>
          <w:color w:val="0D0D0D" w:themeColor="text1" w:themeTint="F2"/>
          <w:szCs w:val="20"/>
        </w:rPr>
        <w:t xml:space="preserve">Center for </w:t>
      </w:r>
      <w:proofErr w:type="spellStart"/>
      <w:r w:rsidRPr="00840D3D">
        <w:rPr>
          <w:rFonts w:eastAsia="Times New Roman" w:cs="Times New Roman"/>
          <w:i/>
          <w:iCs/>
          <w:color w:val="0D0D0D" w:themeColor="text1" w:themeTint="F2"/>
          <w:szCs w:val="20"/>
        </w:rPr>
        <w:t>Drug</w:t>
      </w:r>
      <w:proofErr w:type="spellEnd"/>
      <w:r w:rsidRPr="00840D3D">
        <w:rPr>
          <w:rFonts w:eastAsia="Times New Roman" w:cs="Times New Roman"/>
          <w:i/>
          <w:iCs/>
          <w:color w:val="0D0D0D" w:themeColor="text1" w:themeTint="F2"/>
          <w:szCs w:val="20"/>
        </w:rPr>
        <w:t xml:space="preserve"> </w:t>
      </w:r>
      <w:proofErr w:type="spellStart"/>
      <w:r w:rsidRPr="00840D3D">
        <w:rPr>
          <w:rFonts w:eastAsia="Times New Roman" w:cs="Times New Roman"/>
          <w:i/>
          <w:iCs/>
          <w:color w:val="0D0D0D" w:themeColor="text1" w:themeTint="F2"/>
          <w:szCs w:val="20"/>
        </w:rPr>
        <w:t>Evaluation</w:t>
      </w:r>
      <w:proofErr w:type="spellEnd"/>
      <w:r w:rsidRPr="00840D3D">
        <w:rPr>
          <w:rFonts w:eastAsia="Times New Roman" w:cs="Times New Roman"/>
          <w:i/>
          <w:iCs/>
          <w:color w:val="0D0D0D" w:themeColor="text1" w:themeTint="F2"/>
          <w:szCs w:val="20"/>
        </w:rPr>
        <w:t xml:space="preserve"> and Research</w:t>
      </w:r>
      <w:r w:rsidRPr="00840D3D">
        <w:rPr>
          <w:rFonts w:eastAsia="Times New Roman" w:cs="Times New Roman"/>
          <w:color w:val="0D0D0D" w:themeColor="text1" w:themeTint="F2"/>
          <w:szCs w:val="20"/>
        </w:rPr>
        <w:t>), ha publicado un memorando de política que da crédito a las preocupaciones de Pitts, al menos en lo que respecta a los directores de división.</w:t>
      </w:r>
    </w:p>
    <w:p w14:paraId="6DBDA992" w14:textId="77777777" w:rsidR="008117C7" w:rsidRDefault="008117C7" w:rsidP="008117C7">
      <w:pPr>
        <w:spacing w:after="225"/>
        <w:contextualSpacing/>
        <w:outlineLvl w:val="0"/>
        <w:rPr>
          <w:rFonts w:eastAsia="Times New Roman" w:cs="Times New Roman"/>
          <w:color w:val="0D0D0D" w:themeColor="text1" w:themeTint="F2"/>
          <w:szCs w:val="20"/>
        </w:rPr>
      </w:pPr>
    </w:p>
    <w:p w14:paraId="201F2EDE" w14:textId="77777777" w:rsidR="008117C7" w:rsidRPr="00840D3D" w:rsidRDefault="008117C7" w:rsidP="008117C7">
      <w:pPr>
        <w:spacing w:after="225"/>
        <w:contextualSpacing/>
        <w:outlineLvl w:val="0"/>
        <w:rPr>
          <w:rFonts w:eastAsia="Times New Roman" w:cs="Times New Roman"/>
          <w:color w:val="0D0D0D" w:themeColor="text1" w:themeTint="F2"/>
          <w:szCs w:val="20"/>
        </w:rPr>
      </w:pPr>
      <w:r w:rsidRPr="00840D3D">
        <w:rPr>
          <w:rFonts w:eastAsia="Times New Roman" w:cs="Times New Roman"/>
          <w:color w:val="0D0D0D" w:themeColor="text1" w:themeTint="F2"/>
          <w:szCs w:val="20"/>
        </w:rPr>
        <w:t xml:space="preserve">En octubre de 2025 Sanofi obtuvo un vale para su fármaco </w:t>
      </w:r>
      <w:proofErr w:type="spellStart"/>
      <w:r w:rsidRPr="00840D3D">
        <w:rPr>
          <w:rFonts w:eastAsia="Times New Roman" w:cs="Times New Roman"/>
          <w:color w:val="0D0D0D" w:themeColor="text1" w:themeTint="F2"/>
          <w:szCs w:val="20"/>
        </w:rPr>
        <w:t>Tzield</w:t>
      </w:r>
      <w:proofErr w:type="spellEnd"/>
      <w:r w:rsidRPr="00840D3D">
        <w:rPr>
          <w:rFonts w:eastAsia="Times New Roman" w:cs="Times New Roman"/>
          <w:color w:val="0D0D0D" w:themeColor="text1" w:themeTint="F2"/>
          <w:szCs w:val="20"/>
        </w:rPr>
        <w:t xml:space="preserve">, y posteriormente la empresa presentó una solicitud para ampliar la indicación del medicamento para incluir a los pacientes pediátricos de 8 a 17 años con diabetes tipo 1 en estadio 3 recientemente diagnosticada. En el memorando, Davis explica que el consejo de revisión del CNPV estaba a favor de dar luz verde al fármaco </w:t>
      </w:r>
      <w:proofErr w:type="spellStart"/>
      <w:r w:rsidRPr="00840D3D">
        <w:rPr>
          <w:rFonts w:eastAsia="Times New Roman" w:cs="Times New Roman"/>
          <w:color w:val="0D0D0D" w:themeColor="text1" w:themeTint="F2"/>
          <w:szCs w:val="20"/>
        </w:rPr>
        <w:t>Tzield</w:t>
      </w:r>
      <w:proofErr w:type="spellEnd"/>
      <w:r w:rsidRPr="00840D3D">
        <w:rPr>
          <w:rFonts w:eastAsia="Times New Roman" w:cs="Times New Roman"/>
          <w:color w:val="0D0D0D" w:themeColor="text1" w:themeTint="F2"/>
          <w:szCs w:val="20"/>
        </w:rPr>
        <w:t xml:space="preserve">. Sin embargo, el equipo revisor del CDER a cargo de la revisión en ese momento consideraba que la relación beneficio-riesgo de </w:t>
      </w:r>
      <w:proofErr w:type="spellStart"/>
      <w:r w:rsidRPr="00840D3D">
        <w:rPr>
          <w:rFonts w:eastAsia="Times New Roman" w:cs="Times New Roman"/>
          <w:color w:val="0D0D0D" w:themeColor="text1" w:themeTint="F2"/>
          <w:szCs w:val="20"/>
        </w:rPr>
        <w:t>Tzield</w:t>
      </w:r>
      <w:proofErr w:type="spellEnd"/>
      <w:r w:rsidRPr="00840D3D">
        <w:rPr>
          <w:rFonts w:eastAsia="Times New Roman" w:cs="Times New Roman"/>
          <w:color w:val="0D0D0D" w:themeColor="text1" w:themeTint="F2"/>
          <w:szCs w:val="20"/>
        </w:rPr>
        <w:t xml:space="preserve"> no favorecía </w:t>
      </w:r>
      <w:r>
        <w:rPr>
          <w:rFonts w:eastAsia="Times New Roman" w:cs="Times New Roman"/>
          <w:color w:val="0D0D0D" w:themeColor="text1" w:themeTint="F2"/>
          <w:szCs w:val="20"/>
        </w:rPr>
        <w:t>el</w:t>
      </w:r>
      <w:r w:rsidRPr="00840D3D">
        <w:rPr>
          <w:rFonts w:eastAsia="Times New Roman" w:cs="Times New Roman"/>
          <w:color w:val="0D0D0D" w:themeColor="text1" w:themeTint="F2"/>
          <w:szCs w:val="20"/>
        </w:rPr>
        <w:t xml:space="preserve"> ampliar </w:t>
      </w:r>
      <w:r>
        <w:rPr>
          <w:rFonts w:eastAsia="Times New Roman" w:cs="Times New Roman"/>
          <w:color w:val="0D0D0D" w:themeColor="text1" w:themeTint="F2"/>
          <w:szCs w:val="20"/>
        </w:rPr>
        <w:t>sus</w:t>
      </w:r>
      <w:r w:rsidRPr="00840D3D">
        <w:rPr>
          <w:rFonts w:eastAsia="Times New Roman" w:cs="Times New Roman"/>
          <w:color w:val="0D0D0D" w:themeColor="text1" w:themeTint="F2"/>
          <w:szCs w:val="20"/>
        </w:rPr>
        <w:t xml:space="preserve"> indicaci</w:t>
      </w:r>
      <w:r>
        <w:rPr>
          <w:rFonts w:eastAsia="Times New Roman" w:cs="Times New Roman"/>
          <w:color w:val="0D0D0D" w:themeColor="text1" w:themeTint="F2"/>
          <w:szCs w:val="20"/>
        </w:rPr>
        <w:t>ones</w:t>
      </w:r>
      <w:r w:rsidRPr="00840D3D">
        <w:rPr>
          <w:rFonts w:eastAsia="Times New Roman" w:cs="Times New Roman"/>
          <w:color w:val="0D0D0D" w:themeColor="text1" w:themeTint="F2"/>
          <w:szCs w:val="20"/>
        </w:rPr>
        <w:t xml:space="preserve">. </w:t>
      </w:r>
    </w:p>
    <w:p w14:paraId="6755B29E" w14:textId="77777777" w:rsidR="008117C7" w:rsidRPr="00840D3D" w:rsidRDefault="008117C7" w:rsidP="008117C7">
      <w:pPr>
        <w:spacing w:after="225"/>
        <w:contextualSpacing/>
        <w:outlineLvl w:val="0"/>
        <w:rPr>
          <w:rFonts w:eastAsia="Times New Roman" w:cs="Times New Roman"/>
          <w:color w:val="0D0D0D" w:themeColor="text1" w:themeTint="F2"/>
          <w:szCs w:val="20"/>
        </w:rPr>
      </w:pPr>
    </w:p>
    <w:p w14:paraId="5DB24B89" w14:textId="77777777" w:rsidR="008117C7" w:rsidRPr="00840D3D" w:rsidRDefault="008117C7" w:rsidP="008117C7">
      <w:pPr>
        <w:spacing w:after="225"/>
        <w:contextualSpacing/>
        <w:outlineLvl w:val="0"/>
        <w:rPr>
          <w:rFonts w:eastAsia="Times New Roman" w:cs="Times New Roman"/>
          <w:color w:val="0D0D0D" w:themeColor="text1" w:themeTint="F2"/>
          <w:szCs w:val="20"/>
        </w:rPr>
      </w:pPr>
      <w:r w:rsidRPr="00840D3D">
        <w:rPr>
          <w:rFonts w:eastAsia="Times New Roman" w:cs="Times New Roman"/>
          <w:color w:val="0D0D0D" w:themeColor="text1" w:themeTint="F2"/>
          <w:szCs w:val="20"/>
        </w:rPr>
        <w:t xml:space="preserve">Tracy Beth </w:t>
      </w:r>
      <w:proofErr w:type="spellStart"/>
      <w:r w:rsidRPr="00840D3D">
        <w:rPr>
          <w:rFonts w:eastAsia="Times New Roman" w:cs="Times New Roman"/>
          <w:color w:val="0D0D0D" w:themeColor="text1" w:themeTint="F2"/>
          <w:szCs w:val="20"/>
        </w:rPr>
        <w:t>Høeg</w:t>
      </w:r>
      <w:proofErr w:type="spellEnd"/>
      <w:r w:rsidRPr="00840D3D">
        <w:rPr>
          <w:rFonts w:eastAsia="Times New Roman" w:cs="Times New Roman"/>
          <w:color w:val="0D0D0D" w:themeColor="text1" w:themeTint="F2"/>
          <w:szCs w:val="20"/>
        </w:rPr>
        <w:t xml:space="preserve">, la entonces directora interina del CDER, objetó la aprobación en las cuatro reuniones de revisión y solicitó la convocatoria de un comité asesor independiente. Tras este desacuerdo, Sanofi solicitó que </w:t>
      </w:r>
      <w:proofErr w:type="spellStart"/>
      <w:r w:rsidRPr="00840D3D">
        <w:rPr>
          <w:rFonts w:eastAsia="Times New Roman" w:cs="Times New Roman"/>
          <w:color w:val="0D0D0D" w:themeColor="text1" w:themeTint="F2"/>
          <w:szCs w:val="20"/>
        </w:rPr>
        <w:t>Tzield</w:t>
      </w:r>
      <w:proofErr w:type="spellEnd"/>
      <w:r w:rsidRPr="00840D3D">
        <w:rPr>
          <w:rFonts w:eastAsia="Times New Roman" w:cs="Times New Roman"/>
          <w:color w:val="0D0D0D" w:themeColor="text1" w:themeTint="F2"/>
          <w:szCs w:val="20"/>
        </w:rPr>
        <w:t xml:space="preserve"> fuera retirado del programa CNPV; Finalmente, </w:t>
      </w:r>
      <w:r>
        <w:rPr>
          <w:rFonts w:eastAsia="Times New Roman" w:cs="Times New Roman"/>
          <w:color w:val="0D0D0D" w:themeColor="text1" w:themeTint="F2"/>
          <w:szCs w:val="20"/>
        </w:rPr>
        <w:t xml:space="preserve">en </w:t>
      </w:r>
      <w:r w:rsidRPr="00840D3D">
        <w:rPr>
          <w:rFonts w:eastAsia="Times New Roman" w:cs="Times New Roman"/>
          <w:color w:val="0D0D0D" w:themeColor="text1" w:themeTint="F2"/>
          <w:szCs w:val="20"/>
        </w:rPr>
        <w:t xml:space="preserve">junio de 2026 la FDA aprobó la ampliación de uso pediátrico solicitada por Sanofi para </w:t>
      </w:r>
      <w:proofErr w:type="spellStart"/>
      <w:r w:rsidRPr="00840D3D">
        <w:rPr>
          <w:rFonts w:eastAsia="Times New Roman" w:cs="Times New Roman"/>
          <w:color w:val="0D0D0D" w:themeColor="text1" w:themeTint="F2"/>
          <w:szCs w:val="20"/>
        </w:rPr>
        <w:t>Tzield</w:t>
      </w:r>
      <w:proofErr w:type="spellEnd"/>
      <w:r w:rsidRPr="00840D3D">
        <w:rPr>
          <w:rFonts w:eastAsia="Times New Roman" w:cs="Times New Roman"/>
          <w:color w:val="0D0D0D" w:themeColor="text1" w:themeTint="F2"/>
          <w:szCs w:val="20"/>
        </w:rPr>
        <w:t xml:space="preserve"> [2].</w:t>
      </w:r>
    </w:p>
    <w:p w14:paraId="1C08B571" w14:textId="77777777" w:rsidR="008117C7" w:rsidRDefault="008117C7" w:rsidP="008117C7">
      <w:pPr>
        <w:spacing w:after="225"/>
        <w:contextualSpacing/>
        <w:outlineLvl w:val="0"/>
        <w:rPr>
          <w:rFonts w:eastAsia="Times New Roman" w:cs="Times New Roman"/>
          <w:color w:val="0D0D0D" w:themeColor="text1" w:themeTint="F2"/>
          <w:szCs w:val="20"/>
        </w:rPr>
      </w:pPr>
    </w:p>
    <w:p w14:paraId="15256E65" w14:textId="77777777" w:rsidR="008117C7" w:rsidRDefault="008117C7" w:rsidP="008117C7">
      <w:pPr>
        <w:spacing w:after="225"/>
        <w:contextualSpacing/>
        <w:outlineLvl w:val="0"/>
        <w:rPr>
          <w:rFonts w:eastAsia="Times New Roman" w:cs="Times New Roman"/>
          <w:color w:val="0D0D0D" w:themeColor="text1" w:themeTint="F2"/>
          <w:szCs w:val="20"/>
        </w:rPr>
      </w:pPr>
      <w:r>
        <w:rPr>
          <w:rFonts w:eastAsia="Times New Roman" w:cs="Times New Roman"/>
          <w:color w:val="0D0D0D" w:themeColor="text1" w:themeTint="F2"/>
          <w:szCs w:val="20"/>
        </w:rPr>
        <w:t xml:space="preserve">A </w:t>
      </w:r>
      <w:r w:rsidRPr="00840D3D">
        <w:rPr>
          <w:rFonts w:eastAsia="Times New Roman" w:cs="Times New Roman"/>
          <w:color w:val="0D0D0D" w:themeColor="text1" w:themeTint="F2"/>
          <w:szCs w:val="20"/>
        </w:rPr>
        <w:t xml:space="preserve">la solicitud de Sanofi de revocar su propio vale para el medicamento contra la diabetes </w:t>
      </w:r>
      <w:proofErr w:type="spellStart"/>
      <w:r w:rsidRPr="00840D3D">
        <w:rPr>
          <w:rFonts w:eastAsia="Times New Roman" w:cs="Times New Roman"/>
          <w:color w:val="0D0D0D" w:themeColor="text1" w:themeTint="F2"/>
          <w:szCs w:val="20"/>
        </w:rPr>
        <w:t>Tzield</w:t>
      </w:r>
      <w:proofErr w:type="spellEnd"/>
      <w:r w:rsidRPr="00840D3D">
        <w:rPr>
          <w:rFonts w:eastAsia="Times New Roman" w:cs="Times New Roman"/>
          <w:color w:val="0D0D0D" w:themeColor="text1" w:themeTint="F2"/>
          <w:szCs w:val="20"/>
        </w:rPr>
        <w:t xml:space="preserve">, tras la interferencia de Tracy Beth </w:t>
      </w:r>
      <w:proofErr w:type="spellStart"/>
      <w:r w:rsidRPr="00840D3D">
        <w:rPr>
          <w:rFonts w:eastAsia="Times New Roman" w:cs="Times New Roman"/>
          <w:color w:val="0D0D0D" w:themeColor="text1" w:themeTint="F2"/>
          <w:szCs w:val="20"/>
        </w:rPr>
        <w:t>Høeg</w:t>
      </w:r>
      <w:proofErr w:type="spellEnd"/>
      <w:r w:rsidRPr="00840D3D">
        <w:rPr>
          <w:rFonts w:eastAsia="Times New Roman" w:cs="Times New Roman"/>
          <w:color w:val="0D0D0D" w:themeColor="text1" w:themeTint="F2"/>
          <w:szCs w:val="20"/>
        </w:rPr>
        <w:t xml:space="preserve">, </w:t>
      </w:r>
      <w:r>
        <w:rPr>
          <w:rFonts w:eastAsia="Times New Roman" w:cs="Times New Roman"/>
          <w:color w:val="0D0D0D" w:themeColor="text1" w:themeTint="F2"/>
          <w:szCs w:val="20"/>
        </w:rPr>
        <w:t xml:space="preserve">se han sumado otros eventos que han ido mermando la confianza en el programa; entre ellos, </w:t>
      </w:r>
      <w:r w:rsidRPr="00840D3D">
        <w:rPr>
          <w:rFonts w:eastAsia="Times New Roman" w:cs="Times New Roman"/>
          <w:color w:val="0D0D0D" w:themeColor="text1" w:themeTint="F2"/>
          <w:szCs w:val="20"/>
        </w:rPr>
        <w:t>el rechazo inesperado de</w:t>
      </w:r>
      <w:r>
        <w:rPr>
          <w:rFonts w:eastAsia="Times New Roman" w:cs="Times New Roman"/>
          <w:color w:val="0D0D0D" w:themeColor="text1" w:themeTint="F2"/>
          <w:szCs w:val="20"/>
        </w:rPr>
        <w:t xml:space="preserve"> </w:t>
      </w:r>
      <w:proofErr w:type="spellStart"/>
      <w:r w:rsidRPr="00840D3D">
        <w:rPr>
          <w:rFonts w:eastAsia="Times New Roman" w:cs="Times New Roman"/>
          <w:color w:val="0D0D0D" w:themeColor="text1" w:themeTint="F2"/>
          <w:szCs w:val="20"/>
        </w:rPr>
        <w:t>bitopertin</w:t>
      </w:r>
      <w:proofErr w:type="spellEnd"/>
      <w:r w:rsidRPr="00840D3D">
        <w:rPr>
          <w:rFonts w:eastAsia="Times New Roman" w:cs="Times New Roman"/>
          <w:color w:val="0D0D0D" w:themeColor="text1" w:themeTint="F2"/>
          <w:szCs w:val="20"/>
        </w:rPr>
        <w:t xml:space="preserve"> </w:t>
      </w:r>
      <w:r>
        <w:rPr>
          <w:rFonts w:eastAsia="Times New Roman" w:cs="Times New Roman"/>
          <w:color w:val="0D0D0D" w:themeColor="text1" w:themeTint="F2"/>
          <w:szCs w:val="20"/>
        </w:rPr>
        <w:t>(</w:t>
      </w:r>
      <w:r w:rsidRPr="00840D3D">
        <w:rPr>
          <w:rFonts w:eastAsia="Times New Roman" w:cs="Times New Roman"/>
          <w:color w:val="0D0D0D" w:themeColor="text1" w:themeTint="F2"/>
          <w:szCs w:val="20"/>
        </w:rPr>
        <w:t xml:space="preserve">un fármaco de Disc Medicines para la </w:t>
      </w:r>
      <w:proofErr w:type="spellStart"/>
      <w:r w:rsidRPr="00840D3D">
        <w:rPr>
          <w:rFonts w:eastAsia="Times New Roman" w:cs="Times New Roman"/>
          <w:color w:val="0D0D0D" w:themeColor="text1" w:themeTint="F2"/>
          <w:szCs w:val="20"/>
        </w:rPr>
        <w:t>protoporfiri</w:t>
      </w:r>
      <w:r>
        <w:rPr>
          <w:rFonts w:eastAsia="Times New Roman" w:cs="Times New Roman"/>
          <w:color w:val="0D0D0D" w:themeColor="text1" w:themeTint="F2"/>
          <w:szCs w:val="20"/>
        </w:rPr>
        <w:t>a</w:t>
      </w:r>
      <w:proofErr w:type="spellEnd"/>
      <w:r>
        <w:rPr>
          <w:rFonts w:eastAsia="Times New Roman" w:cs="Times New Roman"/>
          <w:color w:val="0D0D0D" w:themeColor="text1" w:themeTint="F2"/>
          <w:szCs w:val="20"/>
        </w:rPr>
        <w:t>).</w:t>
      </w:r>
    </w:p>
    <w:p w14:paraId="5808D0F6" w14:textId="77777777" w:rsidR="008117C7" w:rsidRDefault="008117C7" w:rsidP="008117C7">
      <w:pPr>
        <w:spacing w:after="225"/>
        <w:contextualSpacing/>
        <w:outlineLvl w:val="0"/>
        <w:rPr>
          <w:rFonts w:eastAsia="Times New Roman" w:cs="Times New Roman"/>
          <w:color w:val="0D0D0D" w:themeColor="text1" w:themeTint="F2"/>
          <w:szCs w:val="20"/>
        </w:rPr>
      </w:pPr>
    </w:p>
    <w:p w14:paraId="65455704" w14:textId="77777777" w:rsidR="008117C7" w:rsidRDefault="008117C7" w:rsidP="008117C7">
      <w:pPr>
        <w:spacing w:after="225"/>
        <w:contextualSpacing/>
        <w:outlineLvl w:val="0"/>
        <w:rPr>
          <w:rFonts w:eastAsia="Times New Roman" w:cs="Times New Roman"/>
          <w:color w:val="0D0D0D" w:themeColor="text1" w:themeTint="F2"/>
          <w:szCs w:val="20"/>
        </w:rPr>
      </w:pPr>
      <w:r w:rsidRPr="00840D3D">
        <w:rPr>
          <w:rFonts w:eastAsia="Times New Roman" w:cs="Times New Roman"/>
          <w:color w:val="0D0D0D" w:themeColor="text1" w:themeTint="F2"/>
          <w:szCs w:val="20"/>
        </w:rPr>
        <w:t xml:space="preserve">«El criterio consiste en que un grupo muy reducido de funcionarios de la FDA decida que un determinado programa de desarrollo es más importante que cualquier otro programa de desarrollo que esté siendo evaluado en ese momento por el centro y la división correspondientes», afirmó Pitts. «Y creo que, teniendo en cuenta la experiencia reciente de quienes ocupan </w:t>
      </w:r>
      <w:r w:rsidRPr="00840D3D">
        <w:rPr>
          <w:rFonts w:eastAsia="Times New Roman" w:cs="Times New Roman"/>
          <w:color w:val="0D0D0D" w:themeColor="text1" w:themeTint="F2"/>
          <w:szCs w:val="20"/>
        </w:rPr>
        <w:lastRenderedPageBreak/>
        <w:t>esos cargos, es mala idea sacar esas decisiones del ámbito de los centros competentes».</w:t>
      </w:r>
    </w:p>
    <w:p w14:paraId="302812A4" w14:textId="77777777" w:rsidR="008117C7" w:rsidRDefault="008117C7" w:rsidP="008117C7">
      <w:pPr>
        <w:spacing w:after="225"/>
        <w:contextualSpacing/>
        <w:outlineLvl w:val="0"/>
        <w:rPr>
          <w:rFonts w:eastAsia="Times New Roman" w:cs="Times New Roman"/>
          <w:color w:val="0D0D0D" w:themeColor="text1" w:themeTint="F2"/>
          <w:szCs w:val="20"/>
        </w:rPr>
      </w:pPr>
    </w:p>
    <w:p w14:paraId="0C5FDD6C" w14:textId="77777777" w:rsidR="008117C7" w:rsidRPr="002E44C4" w:rsidRDefault="008117C7" w:rsidP="008117C7">
      <w:pPr>
        <w:spacing w:after="225"/>
        <w:contextualSpacing/>
        <w:outlineLvl w:val="0"/>
        <w:rPr>
          <w:rFonts w:eastAsia="Times New Roman" w:cs="Times New Roman"/>
          <w:color w:val="0D0D0D" w:themeColor="text1" w:themeTint="F2"/>
          <w:szCs w:val="20"/>
        </w:rPr>
      </w:pPr>
      <w:r>
        <w:rPr>
          <w:rFonts w:eastAsia="Times New Roman" w:cs="Times New Roman"/>
          <w:color w:val="0D0D0D" w:themeColor="text1" w:themeTint="F2"/>
          <w:szCs w:val="20"/>
        </w:rPr>
        <w:t>U</w:t>
      </w:r>
      <w:r w:rsidRPr="002E44C4">
        <w:rPr>
          <w:rFonts w:eastAsia="Times New Roman" w:cs="Times New Roman"/>
          <w:color w:val="0D0D0D" w:themeColor="text1" w:themeTint="F2"/>
          <w:szCs w:val="20"/>
        </w:rPr>
        <w:t xml:space="preserve">n manual </w:t>
      </w:r>
      <w:r>
        <w:rPr>
          <w:rFonts w:eastAsia="Times New Roman" w:cs="Times New Roman"/>
          <w:color w:val="0D0D0D" w:themeColor="text1" w:themeTint="F2"/>
          <w:szCs w:val="20"/>
        </w:rPr>
        <w:t>de la agencia publicado en enero</w:t>
      </w:r>
      <w:r w:rsidRPr="002E44C4">
        <w:rPr>
          <w:rFonts w:eastAsia="Times New Roman" w:cs="Times New Roman"/>
          <w:color w:val="0D0D0D" w:themeColor="text1" w:themeTint="F2"/>
          <w:szCs w:val="20"/>
        </w:rPr>
        <w:t xml:space="preserve"> explica quiénes son </w:t>
      </w:r>
      <w:r>
        <w:rPr>
          <w:rFonts w:eastAsia="Times New Roman" w:cs="Times New Roman"/>
          <w:color w:val="0D0D0D" w:themeColor="text1" w:themeTint="F2"/>
          <w:szCs w:val="20"/>
        </w:rPr>
        <w:t xml:space="preserve">y cuáles son las funciones de </w:t>
      </w:r>
      <w:r w:rsidRPr="002E44C4">
        <w:rPr>
          <w:rFonts w:eastAsia="Times New Roman" w:cs="Times New Roman"/>
          <w:color w:val="0D0D0D" w:themeColor="text1" w:themeTint="F2"/>
          <w:szCs w:val="20"/>
        </w:rPr>
        <w:t xml:space="preserve">los responsables de la toma de decisiones en el consejo de revisión del CNPV </w:t>
      </w:r>
      <w:r>
        <w:rPr>
          <w:rFonts w:eastAsia="Times New Roman" w:cs="Times New Roman"/>
          <w:color w:val="0D0D0D" w:themeColor="text1" w:themeTint="F2"/>
          <w:szCs w:val="20"/>
        </w:rPr>
        <w:t>(</w:t>
      </w:r>
      <w:r w:rsidRPr="002E44C4">
        <w:rPr>
          <w:rFonts w:eastAsia="Times New Roman" w:cs="Times New Roman"/>
          <w:color w:val="0D0D0D" w:themeColor="text1" w:themeTint="F2"/>
          <w:szCs w:val="20"/>
        </w:rPr>
        <w:t>el director médico y científico de la FDA y los directores del CBER y el CDER</w:t>
      </w:r>
      <w:r>
        <w:rPr>
          <w:rFonts w:eastAsia="Times New Roman" w:cs="Times New Roman"/>
          <w:color w:val="0D0D0D" w:themeColor="text1" w:themeTint="F2"/>
          <w:szCs w:val="20"/>
        </w:rPr>
        <w:t xml:space="preserve"> están incluidos) y también aclara que, aunque</w:t>
      </w:r>
      <w:r w:rsidRPr="002E44C4">
        <w:rPr>
          <w:rFonts w:eastAsia="Times New Roman" w:cs="Times New Roman"/>
          <w:color w:val="0D0D0D" w:themeColor="text1" w:themeTint="F2"/>
          <w:szCs w:val="20"/>
        </w:rPr>
        <w:t xml:space="preserve"> el </w:t>
      </w:r>
      <w:r w:rsidRPr="002E44C4">
        <w:rPr>
          <w:rFonts w:eastAsia="Times New Roman" w:cs="Times New Roman"/>
          <w:color w:val="0D0D0D" w:themeColor="text1" w:themeTint="F2"/>
          <w:szCs w:val="20"/>
        </w:rPr>
        <w:t xml:space="preserve">comisionado </w:t>
      </w:r>
      <w:r>
        <w:rPr>
          <w:rFonts w:eastAsia="Times New Roman" w:cs="Times New Roman"/>
          <w:color w:val="0D0D0D" w:themeColor="text1" w:themeTint="F2"/>
          <w:szCs w:val="20"/>
        </w:rPr>
        <w:t xml:space="preserve">no tiene voto </w:t>
      </w:r>
      <w:r w:rsidRPr="002E44C4">
        <w:rPr>
          <w:rFonts w:eastAsia="Times New Roman" w:cs="Times New Roman"/>
          <w:color w:val="0D0D0D" w:themeColor="text1" w:themeTint="F2"/>
          <w:szCs w:val="20"/>
        </w:rPr>
        <w:t>en los debates sobre la aprobación</w:t>
      </w:r>
      <w:r>
        <w:rPr>
          <w:rFonts w:eastAsia="Times New Roman" w:cs="Times New Roman"/>
          <w:color w:val="0D0D0D" w:themeColor="text1" w:themeTint="F2"/>
          <w:szCs w:val="20"/>
        </w:rPr>
        <w:t xml:space="preserve">, es quien </w:t>
      </w:r>
      <w:r w:rsidRPr="002E44C4">
        <w:rPr>
          <w:rFonts w:eastAsia="Times New Roman" w:cs="Times New Roman"/>
          <w:color w:val="0D0D0D" w:themeColor="text1" w:themeTint="F2"/>
          <w:szCs w:val="20"/>
        </w:rPr>
        <w:t>presid</w:t>
      </w:r>
      <w:r>
        <w:rPr>
          <w:rFonts w:eastAsia="Times New Roman" w:cs="Times New Roman"/>
          <w:color w:val="0D0D0D" w:themeColor="text1" w:themeTint="F2"/>
          <w:szCs w:val="20"/>
        </w:rPr>
        <w:t>e</w:t>
      </w:r>
      <w:r w:rsidRPr="002E44C4">
        <w:rPr>
          <w:rFonts w:eastAsia="Times New Roman" w:cs="Times New Roman"/>
          <w:color w:val="0D0D0D" w:themeColor="text1" w:themeTint="F2"/>
          <w:szCs w:val="20"/>
        </w:rPr>
        <w:t xml:space="preserve"> el consejo </w:t>
      </w:r>
      <w:r>
        <w:rPr>
          <w:rFonts w:eastAsia="Times New Roman" w:cs="Times New Roman"/>
          <w:color w:val="0D0D0D" w:themeColor="text1" w:themeTint="F2"/>
          <w:szCs w:val="20"/>
        </w:rPr>
        <w:t xml:space="preserve">de revisión y quien </w:t>
      </w:r>
      <w:r w:rsidRPr="002E44C4">
        <w:rPr>
          <w:rFonts w:eastAsia="Times New Roman" w:cs="Times New Roman"/>
          <w:color w:val="0D0D0D" w:themeColor="text1" w:themeTint="F2"/>
          <w:szCs w:val="20"/>
        </w:rPr>
        <w:t>modera los debates relacionados con la selección de vales</w:t>
      </w:r>
      <w:r>
        <w:rPr>
          <w:rFonts w:eastAsia="Times New Roman" w:cs="Times New Roman"/>
          <w:color w:val="0D0D0D" w:themeColor="text1" w:themeTint="F2"/>
          <w:szCs w:val="20"/>
        </w:rPr>
        <w:t xml:space="preserve"> [1]</w:t>
      </w:r>
      <w:r w:rsidRPr="002E44C4">
        <w:rPr>
          <w:rFonts w:eastAsia="Times New Roman" w:cs="Times New Roman"/>
          <w:color w:val="0D0D0D" w:themeColor="text1" w:themeTint="F2"/>
          <w:szCs w:val="20"/>
        </w:rPr>
        <w:t>.</w:t>
      </w:r>
    </w:p>
    <w:p w14:paraId="54BE226B" w14:textId="77777777" w:rsidR="008117C7" w:rsidRPr="002E44C4" w:rsidRDefault="008117C7" w:rsidP="008117C7">
      <w:pPr>
        <w:spacing w:after="225"/>
        <w:contextualSpacing/>
        <w:outlineLvl w:val="0"/>
        <w:rPr>
          <w:rFonts w:eastAsia="Times New Roman" w:cs="Times New Roman"/>
          <w:color w:val="0D0D0D" w:themeColor="text1" w:themeTint="F2"/>
          <w:szCs w:val="20"/>
        </w:rPr>
      </w:pPr>
    </w:p>
    <w:p w14:paraId="1D3B46D4" w14:textId="77777777" w:rsidR="008117C7" w:rsidRDefault="008117C7" w:rsidP="008117C7">
      <w:pPr>
        <w:spacing w:after="225"/>
        <w:contextualSpacing/>
        <w:outlineLvl w:val="0"/>
        <w:rPr>
          <w:rFonts w:eastAsia="Times New Roman" w:cs="Times New Roman"/>
          <w:color w:val="0D0D0D" w:themeColor="text1" w:themeTint="F2"/>
          <w:szCs w:val="20"/>
        </w:rPr>
      </w:pPr>
      <w:r>
        <w:rPr>
          <w:rFonts w:eastAsia="Times New Roman" w:cs="Times New Roman"/>
          <w:color w:val="0D0D0D" w:themeColor="text1" w:themeTint="F2"/>
          <w:szCs w:val="20"/>
        </w:rPr>
        <w:t>En el marco del programa</w:t>
      </w:r>
      <w:r w:rsidRPr="002E44C4">
        <w:rPr>
          <w:rFonts w:eastAsia="Times New Roman" w:cs="Times New Roman"/>
          <w:color w:val="0D0D0D" w:themeColor="text1" w:themeTint="F2"/>
          <w:szCs w:val="20"/>
        </w:rPr>
        <w:t xml:space="preserve"> </w:t>
      </w:r>
      <w:r>
        <w:rPr>
          <w:rFonts w:eastAsia="Times New Roman" w:cs="Times New Roman"/>
          <w:color w:val="0D0D0D" w:themeColor="text1" w:themeTint="F2"/>
          <w:szCs w:val="20"/>
        </w:rPr>
        <w:t xml:space="preserve">CNPV </w:t>
      </w:r>
      <w:r w:rsidRPr="002E44C4">
        <w:rPr>
          <w:rFonts w:eastAsia="Times New Roman" w:cs="Times New Roman"/>
          <w:color w:val="0D0D0D" w:themeColor="text1" w:themeTint="F2"/>
          <w:szCs w:val="20"/>
        </w:rPr>
        <w:t xml:space="preserve">la FDA </w:t>
      </w:r>
      <w:r>
        <w:rPr>
          <w:rFonts w:eastAsia="Times New Roman" w:cs="Times New Roman"/>
          <w:color w:val="0D0D0D" w:themeColor="text1" w:themeTint="F2"/>
          <w:szCs w:val="20"/>
        </w:rPr>
        <w:t>ha entregado e</w:t>
      </w:r>
      <w:r w:rsidRPr="002E44C4">
        <w:rPr>
          <w:rFonts w:eastAsia="Times New Roman" w:cs="Times New Roman"/>
          <w:color w:val="0D0D0D" w:themeColor="text1" w:themeTint="F2"/>
          <w:szCs w:val="20"/>
        </w:rPr>
        <w:t xml:space="preserve">n total 22 vales </w:t>
      </w:r>
      <w:r>
        <w:rPr>
          <w:rFonts w:eastAsia="Times New Roman" w:cs="Times New Roman"/>
          <w:color w:val="0D0D0D" w:themeColor="text1" w:themeTint="F2"/>
          <w:szCs w:val="20"/>
        </w:rPr>
        <w:t>para enfermedades</w:t>
      </w:r>
      <w:r w:rsidRPr="002E44C4">
        <w:rPr>
          <w:rFonts w:eastAsia="Times New Roman" w:cs="Times New Roman"/>
          <w:color w:val="0D0D0D" w:themeColor="text1" w:themeTint="F2"/>
          <w:szCs w:val="20"/>
        </w:rPr>
        <w:t xml:space="preserve"> </w:t>
      </w:r>
      <w:r>
        <w:rPr>
          <w:rFonts w:eastAsia="Times New Roman" w:cs="Times New Roman"/>
          <w:color w:val="0D0D0D" w:themeColor="text1" w:themeTint="F2"/>
          <w:szCs w:val="20"/>
        </w:rPr>
        <w:t xml:space="preserve">consideradas </w:t>
      </w:r>
      <w:r w:rsidRPr="002E44C4">
        <w:rPr>
          <w:rFonts w:eastAsia="Times New Roman" w:cs="Times New Roman"/>
          <w:color w:val="0D0D0D" w:themeColor="text1" w:themeTint="F2"/>
          <w:szCs w:val="20"/>
        </w:rPr>
        <w:t xml:space="preserve">prioritarias </w:t>
      </w:r>
      <w:r>
        <w:rPr>
          <w:rFonts w:eastAsia="Times New Roman" w:cs="Times New Roman"/>
          <w:color w:val="0D0D0D" w:themeColor="text1" w:themeTint="F2"/>
          <w:szCs w:val="20"/>
        </w:rPr>
        <w:t>para la</w:t>
      </w:r>
      <w:r w:rsidRPr="002E44C4">
        <w:rPr>
          <w:rFonts w:eastAsia="Times New Roman" w:cs="Times New Roman"/>
          <w:color w:val="0D0D0D" w:themeColor="text1" w:themeTint="F2"/>
          <w:szCs w:val="20"/>
        </w:rPr>
        <w:t xml:space="preserve"> seguridad sanitaria de EE UU,</w:t>
      </w:r>
      <w:r>
        <w:rPr>
          <w:rFonts w:eastAsia="Times New Roman" w:cs="Times New Roman"/>
          <w:color w:val="0D0D0D" w:themeColor="text1" w:themeTint="F2"/>
          <w:szCs w:val="20"/>
        </w:rPr>
        <w:t xml:space="preserve"> de los cuales han sido aprobados los que resumimos en el siguiente cuadro: </w:t>
      </w:r>
      <w:r w:rsidRPr="002E44C4">
        <w:rPr>
          <w:rFonts w:eastAsia="Times New Roman" w:cs="Times New Roman"/>
          <w:color w:val="0D0D0D" w:themeColor="text1" w:themeTint="F2"/>
          <w:szCs w:val="20"/>
        </w:rPr>
        <w:t xml:space="preserve"> </w:t>
      </w:r>
    </w:p>
    <w:p w14:paraId="34DC2987" w14:textId="77777777" w:rsidR="00421B71" w:rsidRDefault="00421B71" w:rsidP="008117C7">
      <w:pPr>
        <w:spacing w:after="225"/>
        <w:contextualSpacing/>
        <w:outlineLvl w:val="0"/>
        <w:rPr>
          <w:rFonts w:eastAsia="Times New Roman" w:cs="Times New Roman"/>
          <w:color w:val="0D0D0D" w:themeColor="text1" w:themeTint="F2"/>
          <w:szCs w:val="20"/>
        </w:rPr>
        <w:sectPr w:rsidR="00421B71" w:rsidSect="00421B71">
          <w:type w:val="continuous"/>
          <w:pgSz w:w="12240" w:h="15840" w:code="1"/>
          <w:pgMar w:top="720" w:right="720" w:bottom="720" w:left="720" w:header="288" w:footer="288" w:gutter="0"/>
          <w:cols w:num="2" w:space="288"/>
          <w:docGrid w:linePitch="360"/>
        </w:sectPr>
      </w:pPr>
    </w:p>
    <w:p w14:paraId="0618F255" w14:textId="54289B57" w:rsidR="008117C7" w:rsidRDefault="008117C7" w:rsidP="008117C7">
      <w:pPr>
        <w:spacing w:after="225"/>
        <w:contextualSpacing/>
        <w:outlineLvl w:val="0"/>
        <w:rPr>
          <w:rFonts w:eastAsia="Times New Roman" w:cs="Times New Roman"/>
          <w:color w:val="0D0D0D" w:themeColor="text1" w:themeTint="F2"/>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678"/>
        <w:gridCol w:w="2573"/>
      </w:tblGrid>
      <w:tr w:rsidR="008117C7" w14:paraId="156A1A05" w14:textId="77777777" w:rsidTr="00534E78">
        <w:tc>
          <w:tcPr>
            <w:tcW w:w="3539" w:type="dxa"/>
            <w:tcBorders>
              <w:top w:val="single" w:sz="4" w:space="0" w:color="auto"/>
              <w:bottom w:val="single" w:sz="4" w:space="0" w:color="auto"/>
            </w:tcBorders>
            <w:tcMar>
              <w:top w:w="86" w:type="dxa"/>
              <w:left w:w="115" w:type="dxa"/>
              <w:right w:w="115" w:type="dxa"/>
            </w:tcMar>
          </w:tcPr>
          <w:p w14:paraId="06156D04" w14:textId="77777777" w:rsidR="008117C7" w:rsidRPr="00571C42" w:rsidRDefault="008117C7" w:rsidP="00534E78">
            <w:pPr>
              <w:spacing w:after="225"/>
              <w:contextualSpacing/>
              <w:outlineLvl w:val="0"/>
              <w:rPr>
                <w:rFonts w:eastAsia="Times New Roman" w:cs="Times New Roman"/>
                <w:b/>
                <w:bCs/>
                <w:color w:val="0D0D0D" w:themeColor="text1" w:themeTint="F2"/>
                <w:szCs w:val="20"/>
              </w:rPr>
            </w:pPr>
            <w:r w:rsidRPr="00571C42">
              <w:rPr>
                <w:rFonts w:eastAsia="Times New Roman" w:cs="Times New Roman"/>
                <w:b/>
                <w:bCs/>
                <w:color w:val="0D0D0D" w:themeColor="text1" w:themeTint="F2"/>
                <w:szCs w:val="20"/>
              </w:rPr>
              <w:t>Medicamento</w:t>
            </w:r>
            <w:r>
              <w:rPr>
                <w:rFonts w:eastAsia="Times New Roman" w:cs="Times New Roman"/>
                <w:b/>
                <w:bCs/>
                <w:color w:val="0D0D0D" w:themeColor="text1" w:themeTint="F2"/>
                <w:szCs w:val="20"/>
              </w:rPr>
              <w:t xml:space="preserve"> (</w:t>
            </w:r>
            <w:r w:rsidRPr="00E9629A">
              <w:rPr>
                <w:rFonts w:eastAsia="Times New Roman" w:cs="Times New Roman"/>
                <w:b/>
                <w:bCs/>
                <w:i/>
                <w:iCs/>
                <w:color w:val="0D0D0D" w:themeColor="text1" w:themeTint="F2"/>
                <w:szCs w:val="20"/>
              </w:rPr>
              <w:t>genérico</w:t>
            </w:r>
            <w:r>
              <w:rPr>
                <w:rFonts w:eastAsia="Times New Roman" w:cs="Times New Roman"/>
                <w:b/>
                <w:bCs/>
                <w:color w:val="0D0D0D" w:themeColor="text1" w:themeTint="F2"/>
                <w:szCs w:val="20"/>
              </w:rPr>
              <w:t>/marca)</w:t>
            </w:r>
          </w:p>
        </w:tc>
        <w:tc>
          <w:tcPr>
            <w:tcW w:w="4678" w:type="dxa"/>
            <w:tcBorders>
              <w:top w:val="single" w:sz="4" w:space="0" w:color="auto"/>
              <w:bottom w:val="single" w:sz="4" w:space="0" w:color="auto"/>
            </w:tcBorders>
            <w:tcMar>
              <w:top w:w="86" w:type="dxa"/>
              <w:left w:w="115" w:type="dxa"/>
              <w:right w:w="115" w:type="dxa"/>
            </w:tcMar>
          </w:tcPr>
          <w:p w14:paraId="7F03E686" w14:textId="77777777" w:rsidR="008117C7" w:rsidRPr="00571C42" w:rsidRDefault="008117C7" w:rsidP="00534E78">
            <w:pPr>
              <w:spacing w:after="225"/>
              <w:contextualSpacing/>
              <w:outlineLvl w:val="0"/>
              <w:rPr>
                <w:rFonts w:eastAsia="Times New Roman" w:cs="Times New Roman"/>
                <w:b/>
                <w:bCs/>
                <w:color w:val="0D0D0D" w:themeColor="text1" w:themeTint="F2"/>
                <w:szCs w:val="20"/>
              </w:rPr>
            </w:pPr>
            <w:r>
              <w:rPr>
                <w:rFonts w:eastAsia="Times New Roman" w:cs="Times New Roman"/>
                <w:b/>
                <w:bCs/>
                <w:color w:val="0D0D0D" w:themeColor="text1" w:themeTint="F2"/>
                <w:szCs w:val="20"/>
              </w:rPr>
              <w:t>Indicación</w:t>
            </w:r>
          </w:p>
        </w:tc>
        <w:tc>
          <w:tcPr>
            <w:tcW w:w="2573" w:type="dxa"/>
            <w:tcBorders>
              <w:top w:val="single" w:sz="4" w:space="0" w:color="auto"/>
              <w:bottom w:val="single" w:sz="4" w:space="0" w:color="auto"/>
            </w:tcBorders>
            <w:tcMar>
              <w:top w:w="86" w:type="dxa"/>
              <w:left w:w="115" w:type="dxa"/>
              <w:right w:w="115" w:type="dxa"/>
            </w:tcMar>
          </w:tcPr>
          <w:p w14:paraId="53AFAC19" w14:textId="77777777" w:rsidR="008117C7" w:rsidRPr="00571C42" w:rsidRDefault="008117C7" w:rsidP="00534E78">
            <w:pPr>
              <w:spacing w:after="225"/>
              <w:contextualSpacing/>
              <w:outlineLvl w:val="0"/>
              <w:rPr>
                <w:rFonts w:eastAsia="Times New Roman" w:cs="Times New Roman"/>
                <w:b/>
                <w:bCs/>
                <w:color w:val="0D0D0D" w:themeColor="text1" w:themeTint="F2"/>
                <w:szCs w:val="20"/>
              </w:rPr>
            </w:pPr>
            <w:r>
              <w:rPr>
                <w:rFonts w:eastAsia="Times New Roman" w:cs="Times New Roman"/>
                <w:b/>
                <w:bCs/>
                <w:color w:val="0D0D0D" w:themeColor="text1" w:themeTint="F2"/>
                <w:szCs w:val="20"/>
              </w:rPr>
              <w:t>Empresa</w:t>
            </w:r>
          </w:p>
        </w:tc>
      </w:tr>
      <w:tr w:rsidR="008117C7" w14:paraId="40938C76" w14:textId="77777777" w:rsidTr="00534E78">
        <w:tc>
          <w:tcPr>
            <w:tcW w:w="3539" w:type="dxa"/>
            <w:tcBorders>
              <w:top w:val="single" w:sz="4" w:space="0" w:color="auto"/>
            </w:tcBorders>
            <w:tcMar>
              <w:top w:w="86" w:type="dxa"/>
              <w:left w:w="115" w:type="dxa"/>
              <w:right w:w="115" w:type="dxa"/>
            </w:tcMar>
          </w:tcPr>
          <w:p w14:paraId="2274EA9D" w14:textId="77777777" w:rsidR="008117C7" w:rsidRDefault="008117C7" w:rsidP="00534E78">
            <w:pPr>
              <w:spacing w:after="225"/>
              <w:contextualSpacing/>
              <w:outlineLvl w:val="0"/>
              <w:rPr>
                <w:rFonts w:eastAsia="Times New Roman" w:cs="Times New Roman"/>
                <w:color w:val="0D0D0D" w:themeColor="text1" w:themeTint="F2"/>
                <w:szCs w:val="20"/>
              </w:rPr>
            </w:pPr>
            <w:proofErr w:type="spellStart"/>
            <w:r w:rsidRPr="00436B6D">
              <w:rPr>
                <w:rFonts w:eastAsia="Times New Roman" w:cs="Times New Roman"/>
                <w:i/>
                <w:iCs/>
                <w:color w:val="0D0D0D" w:themeColor="text1" w:themeTint="F2"/>
                <w:szCs w:val="20"/>
              </w:rPr>
              <w:t>teplizumab-mzwv</w:t>
            </w:r>
            <w:proofErr w:type="spellEnd"/>
            <w:r>
              <w:rPr>
                <w:rFonts w:eastAsia="Times New Roman" w:cs="Times New Roman"/>
                <w:color w:val="0D0D0D" w:themeColor="text1" w:themeTint="F2"/>
                <w:szCs w:val="20"/>
              </w:rPr>
              <w:t xml:space="preserve"> / </w:t>
            </w:r>
            <w:proofErr w:type="spellStart"/>
            <w:r>
              <w:rPr>
                <w:rFonts w:eastAsia="Times New Roman" w:cs="Times New Roman"/>
                <w:color w:val="0D0D0D" w:themeColor="text1" w:themeTint="F2"/>
                <w:szCs w:val="20"/>
              </w:rPr>
              <w:t>Tzield</w:t>
            </w:r>
            <w:proofErr w:type="spellEnd"/>
          </w:p>
        </w:tc>
        <w:tc>
          <w:tcPr>
            <w:tcW w:w="4678" w:type="dxa"/>
            <w:tcBorders>
              <w:top w:val="single" w:sz="4" w:space="0" w:color="auto"/>
            </w:tcBorders>
            <w:tcMar>
              <w:top w:w="86" w:type="dxa"/>
              <w:left w:w="115" w:type="dxa"/>
              <w:right w:w="115" w:type="dxa"/>
            </w:tcMar>
          </w:tcPr>
          <w:p w14:paraId="7A5956BC" w14:textId="77777777" w:rsidR="008117C7" w:rsidRDefault="008117C7" w:rsidP="00534E78">
            <w:pPr>
              <w:spacing w:after="225"/>
              <w:contextualSpacing/>
              <w:outlineLvl w:val="0"/>
              <w:rPr>
                <w:rFonts w:eastAsia="Times New Roman" w:cs="Times New Roman"/>
                <w:color w:val="0D0D0D" w:themeColor="text1" w:themeTint="F2"/>
                <w:szCs w:val="20"/>
              </w:rPr>
            </w:pPr>
            <w:r>
              <w:rPr>
                <w:rFonts w:eastAsia="Times New Roman" w:cs="Times New Roman"/>
                <w:color w:val="0D0D0D" w:themeColor="text1" w:themeTint="F2"/>
                <w:szCs w:val="20"/>
              </w:rPr>
              <w:t>Diabetes tipo 1 estadio 3 en menores de 8 a 17 años</w:t>
            </w:r>
          </w:p>
        </w:tc>
        <w:tc>
          <w:tcPr>
            <w:tcW w:w="2573" w:type="dxa"/>
            <w:tcBorders>
              <w:top w:val="single" w:sz="4" w:space="0" w:color="auto"/>
            </w:tcBorders>
            <w:tcMar>
              <w:top w:w="86" w:type="dxa"/>
              <w:left w:w="115" w:type="dxa"/>
              <w:right w:w="115" w:type="dxa"/>
            </w:tcMar>
          </w:tcPr>
          <w:p w14:paraId="506151FF" w14:textId="77777777" w:rsidR="008117C7" w:rsidRDefault="008117C7" w:rsidP="00534E78">
            <w:pPr>
              <w:spacing w:after="225"/>
              <w:contextualSpacing/>
              <w:outlineLvl w:val="0"/>
              <w:rPr>
                <w:rFonts w:eastAsia="Times New Roman" w:cs="Times New Roman"/>
                <w:color w:val="0D0D0D" w:themeColor="text1" w:themeTint="F2"/>
                <w:szCs w:val="20"/>
              </w:rPr>
            </w:pPr>
            <w:r>
              <w:rPr>
                <w:rFonts w:eastAsia="Times New Roman" w:cs="Times New Roman"/>
                <w:color w:val="0D0D0D" w:themeColor="text1" w:themeTint="F2"/>
                <w:szCs w:val="20"/>
              </w:rPr>
              <w:t>Sanofi</w:t>
            </w:r>
          </w:p>
        </w:tc>
      </w:tr>
      <w:tr w:rsidR="008117C7" w14:paraId="3A24F6F8" w14:textId="77777777" w:rsidTr="00534E78">
        <w:tc>
          <w:tcPr>
            <w:tcW w:w="3539" w:type="dxa"/>
            <w:tcMar>
              <w:top w:w="86" w:type="dxa"/>
              <w:left w:w="115" w:type="dxa"/>
              <w:right w:w="115" w:type="dxa"/>
            </w:tcMar>
          </w:tcPr>
          <w:p w14:paraId="77806920" w14:textId="77777777" w:rsidR="008117C7" w:rsidRDefault="008117C7" w:rsidP="00534E78">
            <w:pPr>
              <w:spacing w:after="225"/>
              <w:contextualSpacing/>
              <w:outlineLvl w:val="0"/>
              <w:rPr>
                <w:rFonts w:eastAsia="Times New Roman" w:cs="Times New Roman"/>
                <w:color w:val="0D0D0D" w:themeColor="text1" w:themeTint="F2"/>
                <w:szCs w:val="20"/>
              </w:rPr>
            </w:pPr>
            <w:proofErr w:type="spellStart"/>
            <w:r w:rsidRPr="00436B6D">
              <w:rPr>
                <w:rFonts w:eastAsia="Times New Roman" w:cs="Times New Roman"/>
                <w:i/>
                <w:iCs/>
                <w:color w:val="0D0D0D" w:themeColor="text1" w:themeTint="F2"/>
                <w:szCs w:val="20"/>
              </w:rPr>
              <w:t>lunsotogene</w:t>
            </w:r>
            <w:proofErr w:type="spellEnd"/>
            <w:r w:rsidRPr="00436B6D">
              <w:rPr>
                <w:rFonts w:eastAsia="Times New Roman" w:cs="Times New Roman"/>
                <w:i/>
                <w:iCs/>
                <w:color w:val="0D0D0D" w:themeColor="text1" w:themeTint="F2"/>
                <w:szCs w:val="20"/>
              </w:rPr>
              <w:t xml:space="preserve"> </w:t>
            </w:r>
            <w:proofErr w:type="spellStart"/>
            <w:r w:rsidRPr="00436B6D">
              <w:rPr>
                <w:rFonts w:eastAsia="Times New Roman" w:cs="Times New Roman"/>
                <w:i/>
                <w:iCs/>
                <w:color w:val="0D0D0D" w:themeColor="text1" w:themeTint="F2"/>
                <w:szCs w:val="20"/>
              </w:rPr>
              <w:t>parvec-cwha</w:t>
            </w:r>
            <w:proofErr w:type="spellEnd"/>
            <w:r>
              <w:rPr>
                <w:rFonts w:eastAsia="Times New Roman" w:cs="Times New Roman"/>
                <w:color w:val="0D0D0D" w:themeColor="text1" w:themeTint="F2"/>
                <w:szCs w:val="20"/>
              </w:rPr>
              <w:t xml:space="preserve"> / </w:t>
            </w:r>
            <w:proofErr w:type="spellStart"/>
            <w:r>
              <w:rPr>
                <w:rFonts w:eastAsia="Times New Roman" w:cs="Times New Roman"/>
                <w:color w:val="0D0D0D" w:themeColor="text1" w:themeTint="F2"/>
                <w:szCs w:val="20"/>
              </w:rPr>
              <w:t>Otarmeni</w:t>
            </w:r>
            <w:proofErr w:type="spellEnd"/>
          </w:p>
        </w:tc>
        <w:tc>
          <w:tcPr>
            <w:tcW w:w="4678" w:type="dxa"/>
            <w:tcMar>
              <w:top w:w="86" w:type="dxa"/>
              <w:left w:w="115" w:type="dxa"/>
              <w:right w:w="115" w:type="dxa"/>
            </w:tcMar>
          </w:tcPr>
          <w:p w14:paraId="144DDDCC" w14:textId="77777777" w:rsidR="008117C7" w:rsidRDefault="008117C7" w:rsidP="00534E78">
            <w:pPr>
              <w:spacing w:after="225"/>
              <w:contextualSpacing/>
              <w:outlineLvl w:val="0"/>
              <w:rPr>
                <w:rFonts w:eastAsia="Times New Roman" w:cs="Times New Roman"/>
                <w:color w:val="0D0D0D" w:themeColor="text1" w:themeTint="F2"/>
                <w:szCs w:val="20"/>
              </w:rPr>
            </w:pPr>
            <w:r>
              <w:rPr>
                <w:rFonts w:eastAsia="Times New Roman" w:cs="Times New Roman"/>
                <w:color w:val="0D0D0D" w:themeColor="text1" w:themeTint="F2"/>
                <w:szCs w:val="20"/>
              </w:rPr>
              <w:t>Hipoacusia neurosensorial grave (sordera congénita)</w:t>
            </w:r>
          </w:p>
        </w:tc>
        <w:tc>
          <w:tcPr>
            <w:tcW w:w="2573" w:type="dxa"/>
            <w:tcMar>
              <w:top w:w="86" w:type="dxa"/>
              <w:left w:w="115" w:type="dxa"/>
              <w:right w:w="115" w:type="dxa"/>
            </w:tcMar>
          </w:tcPr>
          <w:p w14:paraId="0A42A79D" w14:textId="77777777" w:rsidR="008117C7" w:rsidRDefault="008117C7" w:rsidP="00534E78">
            <w:pPr>
              <w:spacing w:after="225"/>
              <w:contextualSpacing/>
              <w:outlineLvl w:val="0"/>
              <w:rPr>
                <w:rFonts w:eastAsia="Times New Roman" w:cs="Times New Roman"/>
                <w:color w:val="0D0D0D" w:themeColor="text1" w:themeTint="F2"/>
                <w:szCs w:val="20"/>
              </w:rPr>
            </w:pPr>
            <w:proofErr w:type="spellStart"/>
            <w:r>
              <w:rPr>
                <w:rFonts w:eastAsia="Times New Roman" w:cs="Times New Roman"/>
                <w:color w:val="0D0D0D" w:themeColor="text1" w:themeTint="F2"/>
                <w:szCs w:val="20"/>
              </w:rPr>
              <w:t>Regeneron</w:t>
            </w:r>
            <w:proofErr w:type="spellEnd"/>
          </w:p>
        </w:tc>
      </w:tr>
      <w:tr w:rsidR="008117C7" w14:paraId="330F68A0" w14:textId="77777777" w:rsidTr="00534E78">
        <w:tc>
          <w:tcPr>
            <w:tcW w:w="3539" w:type="dxa"/>
            <w:tcMar>
              <w:top w:w="86" w:type="dxa"/>
              <w:left w:w="115" w:type="dxa"/>
              <w:right w:w="115" w:type="dxa"/>
            </w:tcMar>
          </w:tcPr>
          <w:p w14:paraId="37236621" w14:textId="77777777" w:rsidR="008117C7" w:rsidRDefault="008117C7" w:rsidP="00534E78">
            <w:pPr>
              <w:spacing w:after="225"/>
              <w:contextualSpacing/>
              <w:outlineLvl w:val="0"/>
              <w:rPr>
                <w:rFonts w:eastAsia="Times New Roman" w:cs="Times New Roman"/>
                <w:color w:val="0D0D0D" w:themeColor="text1" w:themeTint="F2"/>
                <w:szCs w:val="20"/>
              </w:rPr>
            </w:pPr>
            <w:r w:rsidRPr="00405266">
              <w:rPr>
                <w:rFonts w:eastAsia="Times New Roman" w:cs="Times New Roman"/>
                <w:i/>
                <w:iCs/>
                <w:color w:val="0D0D0D" w:themeColor="text1" w:themeTint="F2"/>
                <w:szCs w:val="20"/>
              </w:rPr>
              <w:t>semaglutida</w:t>
            </w:r>
            <w:r>
              <w:rPr>
                <w:rFonts w:eastAsia="Times New Roman" w:cs="Times New Roman"/>
                <w:color w:val="0D0D0D" w:themeColor="text1" w:themeTint="F2"/>
                <w:szCs w:val="20"/>
              </w:rPr>
              <w:t xml:space="preserve"> / </w:t>
            </w:r>
            <w:proofErr w:type="spellStart"/>
            <w:r>
              <w:rPr>
                <w:rFonts w:eastAsia="Times New Roman" w:cs="Times New Roman"/>
                <w:color w:val="0D0D0D" w:themeColor="text1" w:themeTint="F2"/>
                <w:szCs w:val="20"/>
              </w:rPr>
              <w:t>Wegovy</w:t>
            </w:r>
            <w:proofErr w:type="spellEnd"/>
          </w:p>
        </w:tc>
        <w:tc>
          <w:tcPr>
            <w:tcW w:w="4678" w:type="dxa"/>
            <w:tcMar>
              <w:top w:w="86" w:type="dxa"/>
              <w:left w:w="115" w:type="dxa"/>
              <w:right w:w="115" w:type="dxa"/>
            </w:tcMar>
          </w:tcPr>
          <w:p w14:paraId="6411D840" w14:textId="77777777" w:rsidR="008117C7" w:rsidRDefault="008117C7" w:rsidP="00534E78">
            <w:pPr>
              <w:spacing w:after="225"/>
              <w:contextualSpacing/>
              <w:outlineLvl w:val="0"/>
              <w:rPr>
                <w:rFonts w:eastAsia="Times New Roman" w:cs="Times New Roman"/>
                <w:color w:val="0D0D0D" w:themeColor="text1" w:themeTint="F2"/>
                <w:szCs w:val="20"/>
              </w:rPr>
            </w:pPr>
            <w:r>
              <w:rPr>
                <w:rFonts w:eastAsia="Times New Roman" w:cs="Times New Roman"/>
                <w:color w:val="0D0D0D" w:themeColor="text1" w:themeTint="F2"/>
                <w:szCs w:val="20"/>
              </w:rPr>
              <w:t>Obesidad</w:t>
            </w:r>
          </w:p>
        </w:tc>
        <w:tc>
          <w:tcPr>
            <w:tcW w:w="2573" w:type="dxa"/>
            <w:tcMar>
              <w:top w:w="86" w:type="dxa"/>
              <w:left w:w="115" w:type="dxa"/>
              <w:right w:w="115" w:type="dxa"/>
            </w:tcMar>
          </w:tcPr>
          <w:p w14:paraId="1BA20E68" w14:textId="77777777" w:rsidR="008117C7" w:rsidRDefault="008117C7" w:rsidP="00534E78">
            <w:pPr>
              <w:spacing w:after="225"/>
              <w:contextualSpacing/>
              <w:outlineLvl w:val="0"/>
              <w:rPr>
                <w:rFonts w:eastAsia="Times New Roman" w:cs="Times New Roman"/>
                <w:color w:val="0D0D0D" w:themeColor="text1" w:themeTint="F2"/>
                <w:szCs w:val="20"/>
              </w:rPr>
            </w:pPr>
            <w:r>
              <w:rPr>
                <w:rFonts w:eastAsia="Times New Roman" w:cs="Times New Roman"/>
                <w:color w:val="0D0D0D" w:themeColor="text1" w:themeTint="F2"/>
                <w:szCs w:val="20"/>
              </w:rPr>
              <w:t xml:space="preserve">Novo </w:t>
            </w:r>
            <w:proofErr w:type="spellStart"/>
            <w:r>
              <w:rPr>
                <w:rFonts w:eastAsia="Times New Roman" w:cs="Times New Roman"/>
                <w:color w:val="0D0D0D" w:themeColor="text1" w:themeTint="F2"/>
                <w:szCs w:val="20"/>
              </w:rPr>
              <w:t>Nordisk</w:t>
            </w:r>
            <w:proofErr w:type="spellEnd"/>
          </w:p>
        </w:tc>
      </w:tr>
      <w:tr w:rsidR="008117C7" w14:paraId="75038A85" w14:textId="77777777" w:rsidTr="00534E78">
        <w:tc>
          <w:tcPr>
            <w:tcW w:w="3539" w:type="dxa"/>
            <w:tcMar>
              <w:top w:w="86" w:type="dxa"/>
              <w:left w:w="115" w:type="dxa"/>
              <w:right w:w="115" w:type="dxa"/>
            </w:tcMar>
          </w:tcPr>
          <w:p w14:paraId="712D887B" w14:textId="77777777" w:rsidR="008117C7" w:rsidRDefault="008117C7" w:rsidP="00534E78">
            <w:pPr>
              <w:spacing w:after="225"/>
              <w:contextualSpacing/>
              <w:outlineLvl w:val="0"/>
              <w:rPr>
                <w:rFonts w:eastAsia="Times New Roman" w:cs="Times New Roman"/>
                <w:color w:val="0D0D0D" w:themeColor="text1" w:themeTint="F2"/>
                <w:szCs w:val="20"/>
              </w:rPr>
            </w:pPr>
            <w:proofErr w:type="spellStart"/>
            <w:r w:rsidRPr="00405266">
              <w:rPr>
                <w:rFonts w:eastAsia="Times New Roman" w:cs="Times New Roman"/>
                <w:i/>
                <w:iCs/>
                <w:color w:val="0D0D0D" w:themeColor="text1" w:themeTint="F2"/>
                <w:szCs w:val="20"/>
              </w:rPr>
              <w:t>orforglipron</w:t>
            </w:r>
            <w:proofErr w:type="spellEnd"/>
            <w:r>
              <w:rPr>
                <w:rFonts w:eastAsia="Times New Roman" w:cs="Times New Roman"/>
                <w:color w:val="0D0D0D" w:themeColor="text1" w:themeTint="F2"/>
                <w:szCs w:val="20"/>
              </w:rPr>
              <w:t xml:space="preserve"> / </w:t>
            </w:r>
            <w:proofErr w:type="spellStart"/>
            <w:r>
              <w:rPr>
                <w:rFonts w:eastAsia="Times New Roman" w:cs="Times New Roman"/>
                <w:color w:val="0D0D0D" w:themeColor="text1" w:themeTint="F2"/>
                <w:szCs w:val="20"/>
              </w:rPr>
              <w:t>Foundayo</w:t>
            </w:r>
            <w:proofErr w:type="spellEnd"/>
          </w:p>
        </w:tc>
        <w:tc>
          <w:tcPr>
            <w:tcW w:w="4678" w:type="dxa"/>
            <w:tcMar>
              <w:top w:w="86" w:type="dxa"/>
              <w:left w:w="115" w:type="dxa"/>
              <w:right w:w="115" w:type="dxa"/>
            </w:tcMar>
          </w:tcPr>
          <w:p w14:paraId="7AD9C606" w14:textId="77777777" w:rsidR="008117C7" w:rsidRDefault="008117C7" w:rsidP="00534E78">
            <w:pPr>
              <w:spacing w:after="225"/>
              <w:contextualSpacing/>
              <w:outlineLvl w:val="0"/>
              <w:rPr>
                <w:rFonts w:eastAsia="Times New Roman" w:cs="Times New Roman"/>
                <w:color w:val="0D0D0D" w:themeColor="text1" w:themeTint="F2"/>
                <w:szCs w:val="20"/>
              </w:rPr>
            </w:pPr>
            <w:r>
              <w:rPr>
                <w:rFonts w:eastAsia="Times New Roman" w:cs="Times New Roman"/>
                <w:color w:val="0D0D0D" w:themeColor="text1" w:themeTint="F2"/>
                <w:szCs w:val="20"/>
              </w:rPr>
              <w:t>Obesidad</w:t>
            </w:r>
          </w:p>
        </w:tc>
        <w:tc>
          <w:tcPr>
            <w:tcW w:w="2573" w:type="dxa"/>
            <w:tcMar>
              <w:top w:w="86" w:type="dxa"/>
              <w:left w:w="115" w:type="dxa"/>
              <w:right w:w="115" w:type="dxa"/>
            </w:tcMar>
          </w:tcPr>
          <w:p w14:paraId="0F8ED163" w14:textId="77777777" w:rsidR="008117C7" w:rsidRDefault="008117C7" w:rsidP="00534E78">
            <w:pPr>
              <w:spacing w:after="225"/>
              <w:contextualSpacing/>
              <w:outlineLvl w:val="0"/>
              <w:rPr>
                <w:rFonts w:eastAsia="Times New Roman" w:cs="Times New Roman"/>
                <w:color w:val="0D0D0D" w:themeColor="text1" w:themeTint="F2"/>
                <w:szCs w:val="20"/>
              </w:rPr>
            </w:pPr>
            <w:r>
              <w:rPr>
                <w:rFonts w:eastAsia="Times New Roman" w:cs="Times New Roman"/>
                <w:color w:val="0D0D0D" w:themeColor="text1" w:themeTint="F2"/>
                <w:szCs w:val="20"/>
              </w:rPr>
              <w:t>Eli Lilly</w:t>
            </w:r>
          </w:p>
        </w:tc>
      </w:tr>
      <w:tr w:rsidR="008117C7" w14:paraId="785DC29F" w14:textId="77777777" w:rsidTr="00534E78">
        <w:tc>
          <w:tcPr>
            <w:tcW w:w="3539" w:type="dxa"/>
            <w:tcMar>
              <w:top w:w="86" w:type="dxa"/>
              <w:left w:w="115" w:type="dxa"/>
              <w:right w:w="115" w:type="dxa"/>
            </w:tcMar>
          </w:tcPr>
          <w:p w14:paraId="23E5FC11" w14:textId="77777777" w:rsidR="008117C7" w:rsidRDefault="008117C7" w:rsidP="00534E78">
            <w:pPr>
              <w:spacing w:after="225"/>
              <w:contextualSpacing/>
              <w:outlineLvl w:val="0"/>
              <w:rPr>
                <w:rFonts w:eastAsia="Times New Roman" w:cs="Times New Roman"/>
                <w:color w:val="0D0D0D" w:themeColor="text1" w:themeTint="F2"/>
                <w:szCs w:val="20"/>
              </w:rPr>
            </w:pPr>
            <w:proofErr w:type="spellStart"/>
            <w:r w:rsidRPr="00E6486B">
              <w:rPr>
                <w:rFonts w:eastAsia="Times New Roman" w:cs="Times New Roman"/>
                <w:i/>
                <w:iCs/>
                <w:color w:val="0D0D0D" w:themeColor="text1" w:themeTint="F2"/>
                <w:szCs w:val="20"/>
              </w:rPr>
              <w:t>zongertinib</w:t>
            </w:r>
            <w:proofErr w:type="spellEnd"/>
            <w:r>
              <w:rPr>
                <w:rFonts w:eastAsia="Times New Roman" w:cs="Times New Roman"/>
                <w:color w:val="0D0D0D" w:themeColor="text1" w:themeTint="F2"/>
                <w:szCs w:val="20"/>
              </w:rPr>
              <w:t xml:space="preserve"> / </w:t>
            </w:r>
            <w:proofErr w:type="spellStart"/>
            <w:r>
              <w:rPr>
                <w:rFonts w:eastAsia="Times New Roman" w:cs="Times New Roman"/>
                <w:color w:val="0D0D0D" w:themeColor="text1" w:themeTint="F2"/>
                <w:szCs w:val="20"/>
              </w:rPr>
              <w:t>Hernexeos</w:t>
            </w:r>
            <w:proofErr w:type="spellEnd"/>
          </w:p>
        </w:tc>
        <w:tc>
          <w:tcPr>
            <w:tcW w:w="4678" w:type="dxa"/>
            <w:tcMar>
              <w:top w:w="86" w:type="dxa"/>
              <w:left w:w="115" w:type="dxa"/>
              <w:right w:w="115" w:type="dxa"/>
            </w:tcMar>
          </w:tcPr>
          <w:p w14:paraId="4903D372" w14:textId="77777777" w:rsidR="008117C7" w:rsidRDefault="008117C7" w:rsidP="00534E78">
            <w:pPr>
              <w:spacing w:after="225"/>
              <w:contextualSpacing/>
              <w:outlineLvl w:val="0"/>
              <w:rPr>
                <w:rFonts w:eastAsia="Times New Roman" w:cs="Times New Roman"/>
                <w:color w:val="0D0D0D" w:themeColor="text1" w:themeTint="F2"/>
                <w:szCs w:val="20"/>
              </w:rPr>
            </w:pPr>
            <w:r>
              <w:rPr>
                <w:rFonts w:eastAsia="Times New Roman" w:cs="Times New Roman"/>
                <w:color w:val="0D0D0D" w:themeColor="text1" w:themeTint="F2"/>
                <w:szCs w:val="20"/>
              </w:rPr>
              <w:t>Cáncer de pulmón células no pequeñas HER2 mutado</w:t>
            </w:r>
          </w:p>
        </w:tc>
        <w:tc>
          <w:tcPr>
            <w:tcW w:w="2573" w:type="dxa"/>
            <w:tcMar>
              <w:top w:w="86" w:type="dxa"/>
              <w:left w:w="115" w:type="dxa"/>
              <w:right w:w="115" w:type="dxa"/>
            </w:tcMar>
          </w:tcPr>
          <w:p w14:paraId="32D389E4" w14:textId="77777777" w:rsidR="008117C7" w:rsidRDefault="008117C7" w:rsidP="00534E78">
            <w:pPr>
              <w:spacing w:after="225"/>
              <w:contextualSpacing/>
              <w:outlineLvl w:val="0"/>
              <w:rPr>
                <w:rFonts w:eastAsia="Times New Roman" w:cs="Times New Roman"/>
                <w:color w:val="0D0D0D" w:themeColor="text1" w:themeTint="F2"/>
                <w:szCs w:val="20"/>
              </w:rPr>
            </w:pPr>
            <w:r>
              <w:rPr>
                <w:rFonts w:eastAsia="Times New Roman" w:cs="Times New Roman"/>
                <w:color w:val="0D0D0D" w:themeColor="text1" w:themeTint="F2"/>
                <w:szCs w:val="20"/>
              </w:rPr>
              <w:t>Boehringer Ingelheim</w:t>
            </w:r>
          </w:p>
        </w:tc>
      </w:tr>
      <w:tr w:rsidR="008117C7" w14:paraId="44DAAB9E" w14:textId="77777777" w:rsidTr="00534E78">
        <w:tc>
          <w:tcPr>
            <w:tcW w:w="3539" w:type="dxa"/>
            <w:tcMar>
              <w:top w:w="86" w:type="dxa"/>
              <w:left w:w="115" w:type="dxa"/>
              <w:right w:w="115" w:type="dxa"/>
            </w:tcMar>
          </w:tcPr>
          <w:p w14:paraId="400042F3" w14:textId="77777777" w:rsidR="008117C7" w:rsidRDefault="008117C7" w:rsidP="00534E78">
            <w:pPr>
              <w:spacing w:after="225"/>
              <w:contextualSpacing/>
              <w:outlineLvl w:val="0"/>
              <w:rPr>
                <w:rFonts w:eastAsia="Times New Roman" w:cs="Times New Roman"/>
                <w:color w:val="0D0D0D" w:themeColor="text1" w:themeTint="F2"/>
                <w:szCs w:val="20"/>
              </w:rPr>
            </w:pPr>
            <w:proofErr w:type="spellStart"/>
            <w:r w:rsidRPr="00E6486B">
              <w:rPr>
                <w:rFonts w:eastAsia="Times New Roman" w:cs="Times New Roman"/>
                <w:i/>
                <w:iCs/>
                <w:color w:val="0D0D0D" w:themeColor="text1" w:themeTint="F2"/>
                <w:szCs w:val="20"/>
              </w:rPr>
              <w:t>zenocutuzumab-zbco</w:t>
            </w:r>
            <w:proofErr w:type="spellEnd"/>
            <w:r>
              <w:rPr>
                <w:rFonts w:eastAsia="Times New Roman" w:cs="Times New Roman"/>
                <w:color w:val="0D0D0D" w:themeColor="text1" w:themeTint="F2"/>
                <w:szCs w:val="20"/>
              </w:rPr>
              <w:t xml:space="preserve"> / </w:t>
            </w:r>
            <w:proofErr w:type="spellStart"/>
            <w:r>
              <w:rPr>
                <w:rFonts w:eastAsia="Times New Roman" w:cs="Times New Roman"/>
                <w:color w:val="0D0D0D" w:themeColor="text1" w:themeTint="F2"/>
                <w:szCs w:val="20"/>
              </w:rPr>
              <w:t>Bizengri</w:t>
            </w:r>
            <w:proofErr w:type="spellEnd"/>
          </w:p>
        </w:tc>
        <w:tc>
          <w:tcPr>
            <w:tcW w:w="4678" w:type="dxa"/>
            <w:tcMar>
              <w:top w:w="86" w:type="dxa"/>
              <w:left w:w="115" w:type="dxa"/>
              <w:right w:w="115" w:type="dxa"/>
            </w:tcMar>
          </w:tcPr>
          <w:p w14:paraId="65154169" w14:textId="77777777" w:rsidR="008117C7" w:rsidRDefault="008117C7" w:rsidP="00534E78">
            <w:pPr>
              <w:spacing w:after="225"/>
              <w:contextualSpacing/>
              <w:outlineLvl w:val="0"/>
              <w:rPr>
                <w:rFonts w:eastAsia="Times New Roman" w:cs="Times New Roman"/>
                <w:color w:val="0D0D0D" w:themeColor="text1" w:themeTint="F2"/>
                <w:szCs w:val="20"/>
              </w:rPr>
            </w:pPr>
            <w:r>
              <w:rPr>
                <w:rFonts w:eastAsia="Times New Roman" w:cs="Times New Roman"/>
                <w:color w:val="0D0D0D" w:themeColor="text1" w:themeTint="F2"/>
                <w:szCs w:val="20"/>
              </w:rPr>
              <w:t>Colangiocarcinoma, cáncer de páncreas y cáncer de pulmón células no pequeñas (avanzados/metastásicos)</w:t>
            </w:r>
          </w:p>
        </w:tc>
        <w:tc>
          <w:tcPr>
            <w:tcW w:w="2573" w:type="dxa"/>
            <w:tcMar>
              <w:top w:w="86" w:type="dxa"/>
              <w:left w:w="115" w:type="dxa"/>
              <w:right w:w="115" w:type="dxa"/>
            </w:tcMar>
          </w:tcPr>
          <w:p w14:paraId="7B7B50E0" w14:textId="77777777" w:rsidR="008117C7" w:rsidRDefault="008117C7" w:rsidP="00534E78">
            <w:pPr>
              <w:spacing w:after="225"/>
              <w:contextualSpacing/>
              <w:outlineLvl w:val="0"/>
              <w:rPr>
                <w:rFonts w:eastAsia="Times New Roman" w:cs="Times New Roman"/>
                <w:color w:val="0D0D0D" w:themeColor="text1" w:themeTint="F2"/>
                <w:szCs w:val="20"/>
              </w:rPr>
            </w:pPr>
            <w:proofErr w:type="spellStart"/>
            <w:r>
              <w:rPr>
                <w:rFonts w:eastAsia="Times New Roman" w:cs="Times New Roman"/>
                <w:color w:val="0D0D0D" w:themeColor="text1" w:themeTint="F2"/>
                <w:szCs w:val="20"/>
              </w:rPr>
              <w:t>Partners</w:t>
            </w:r>
            <w:proofErr w:type="spellEnd"/>
            <w:r>
              <w:rPr>
                <w:rFonts w:eastAsia="Times New Roman" w:cs="Times New Roman"/>
                <w:color w:val="0D0D0D" w:themeColor="text1" w:themeTint="F2"/>
                <w:szCs w:val="20"/>
              </w:rPr>
              <w:t xml:space="preserve"> </w:t>
            </w:r>
            <w:proofErr w:type="spellStart"/>
            <w:r>
              <w:rPr>
                <w:rFonts w:eastAsia="Times New Roman" w:cs="Times New Roman"/>
                <w:color w:val="0D0D0D" w:themeColor="text1" w:themeTint="F2"/>
                <w:szCs w:val="20"/>
              </w:rPr>
              <w:t>Therapeutics</w:t>
            </w:r>
            <w:proofErr w:type="spellEnd"/>
          </w:p>
        </w:tc>
      </w:tr>
      <w:tr w:rsidR="008117C7" w14:paraId="25D1D040" w14:textId="77777777" w:rsidTr="00534E78">
        <w:tc>
          <w:tcPr>
            <w:tcW w:w="3539" w:type="dxa"/>
            <w:tcMar>
              <w:top w:w="86" w:type="dxa"/>
              <w:left w:w="115" w:type="dxa"/>
              <w:right w:w="115" w:type="dxa"/>
            </w:tcMar>
          </w:tcPr>
          <w:p w14:paraId="13F6AB30" w14:textId="77777777" w:rsidR="008117C7" w:rsidRDefault="008117C7" w:rsidP="00534E78">
            <w:pPr>
              <w:spacing w:after="225"/>
              <w:contextualSpacing/>
              <w:outlineLvl w:val="0"/>
              <w:rPr>
                <w:rFonts w:eastAsia="Times New Roman" w:cs="Times New Roman"/>
                <w:color w:val="0D0D0D" w:themeColor="text1" w:themeTint="F2"/>
                <w:szCs w:val="20"/>
              </w:rPr>
            </w:pPr>
            <w:proofErr w:type="spellStart"/>
            <w:r w:rsidRPr="0035633A">
              <w:rPr>
                <w:rFonts w:eastAsia="Times New Roman" w:cs="Times New Roman"/>
                <w:i/>
                <w:iCs/>
                <w:color w:val="0D0D0D" w:themeColor="text1" w:themeTint="F2"/>
                <w:szCs w:val="20"/>
              </w:rPr>
              <w:t>teclistamab-cqyv</w:t>
            </w:r>
            <w:proofErr w:type="spellEnd"/>
            <w:r w:rsidRPr="0035633A">
              <w:rPr>
                <w:rFonts w:eastAsia="Times New Roman" w:cs="Times New Roman"/>
                <w:i/>
                <w:iCs/>
                <w:color w:val="0D0D0D" w:themeColor="text1" w:themeTint="F2"/>
                <w:szCs w:val="20"/>
              </w:rPr>
              <w:t xml:space="preserve"> + </w:t>
            </w:r>
            <w:proofErr w:type="spellStart"/>
            <w:r w:rsidRPr="0035633A">
              <w:rPr>
                <w:rFonts w:eastAsia="Times New Roman" w:cs="Times New Roman"/>
                <w:i/>
                <w:iCs/>
                <w:color w:val="0D0D0D" w:themeColor="text1" w:themeTint="F2"/>
                <w:szCs w:val="20"/>
              </w:rPr>
              <w:t>daratumumab</w:t>
            </w:r>
            <w:proofErr w:type="spellEnd"/>
            <w:r w:rsidRPr="0035633A">
              <w:rPr>
                <w:rFonts w:eastAsia="Times New Roman" w:cs="Times New Roman"/>
                <w:i/>
                <w:iCs/>
                <w:color w:val="0D0D0D" w:themeColor="text1" w:themeTint="F2"/>
                <w:szCs w:val="20"/>
              </w:rPr>
              <w:t>/</w:t>
            </w:r>
            <w:proofErr w:type="spellStart"/>
            <w:r w:rsidRPr="0035633A">
              <w:rPr>
                <w:rFonts w:eastAsia="Times New Roman" w:cs="Times New Roman"/>
                <w:i/>
                <w:iCs/>
                <w:color w:val="0D0D0D" w:themeColor="text1" w:themeTint="F2"/>
                <w:szCs w:val="20"/>
              </w:rPr>
              <w:t>hyaluronidase-fihj</w:t>
            </w:r>
            <w:proofErr w:type="spellEnd"/>
            <w:r>
              <w:rPr>
                <w:rFonts w:eastAsia="Times New Roman" w:cs="Times New Roman"/>
                <w:color w:val="0D0D0D" w:themeColor="text1" w:themeTint="F2"/>
                <w:szCs w:val="20"/>
              </w:rPr>
              <w:t xml:space="preserve"> / </w:t>
            </w:r>
            <w:proofErr w:type="spellStart"/>
            <w:r>
              <w:rPr>
                <w:rFonts w:eastAsia="Times New Roman" w:cs="Times New Roman"/>
                <w:color w:val="0D0D0D" w:themeColor="text1" w:themeTint="F2"/>
                <w:szCs w:val="20"/>
              </w:rPr>
              <w:t>Tecvayli</w:t>
            </w:r>
            <w:proofErr w:type="spellEnd"/>
            <w:r>
              <w:rPr>
                <w:rFonts w:eastAsia="Times New Roman" w:cs="Times New Roman"/>
                <w:color w:val="0D0D0D" w:themeColor="text1" w:themeTint="F2"/>
                <w:szCs w:val="20"/>
              </w:rPr>
              <w:t xml:space="preserve"> + </w:t>
            </w:r>
            <w:proofErr w:type="spellStart"/>
            <w:r>
              <w:rPr>
                <w:rFonts w:eastAsia="Times New Roman" w:cs="Times New Roman"/>
                <w:color w:val="0D0D0D" w:themeColor="text1" w:themeTint="F2"/>
                <w:szCs w:val="20"/>
              </w:rPr>
              <w:t>Darzalex</w:t>
            </w:r>
            <w:proofErr w:type="spellEnd"/>
            <w:r>
              <w:rPr>
                <w:rFonts w:eastAsia="Times New Roman" w:cs="Times New Roman"/>
                <w:color w:val="0D0D0D" w:themeColor="text1" w:themeTint="F2"/>
                <w:szCs w:val="20"/>
              </w:rPr>
              <w:t xml:space="preserve"> </w:t>
            </w:r>
            <w:proofErr w:type="spellStart"/>
            <w:r>
              <w:rPr>
                <w:rFonts w:eastAsia="Times New Roman" w:cs="Times New Roman"/>
                <w:color w:val="0D0D0D" w:themeColor="text1" w:themeTint="F2"/>
                <w:szCs w:val="20"/>
              </w:rPr>
              <w:t>Faspro</w:t>
            </w:r>
            <w:proofErr w:type="spellEnd"/>
          </w:p>
        </w:tc>
        <w:tc>
          <w:tcPr>
            <w:tcW w:w="4678" w:type="dxa"/>
            <w:tcMar>
              <w:top w:w="86" w:type="dxa"/>
              <w:left w:w="115" w:type="dxa"/>
              <w:right w:w="115" w:type="dxa"/>
            </w:tcMar>
          </w:tcPr>
          <w:p w14:paraId="7911FB4B" w14:textId="77777777" w:rsidR="008117C7" w:rsidRDefault="008117C7" w:rsidP="00534E78">
            <w:pPr>
              <w:spacing w:after="225"/>
              <w:contextualSpacing/>
              <w:outlineLvl w:val="0"/>
              <w:rPr>
                <w:rFonts w:eastAsia="Times New Roman" w:cs="Times New Roman"/>
                <w:color w:val="0D0D0D" w:themeColor="text1" w:themeTint="F2"/>
                <w:szCs w:val="20"/>
              </w:rPr>
            </w:pPr>
            <w:r>
              <w:rPr>
                <w:rFonts w:eastAsia="Times New Roman" w:cs="Times New Roman"/>
                <w:color w:val="0D0D0D" w:themeColor="text1" w:themeTint="F2"/>
                <w:szCs w:val="20"/>
              </w:rPr>
              <w:t xml:space="preserve">Mieloma múltiple recurrente/refractario en adultos que han recibido previamente un </w:t>
            </w:r>
            <w:r w:rsidRPr="00E9629A">
              <w:rPr>
                <w:rFonts w:eastAsia="Times New Roman" w:cs="Times New Roman"/>
                <w:color w:val="0D0D0D" w:themeColor="text1" w:themeTint="F2"/>
                <w:szCs w:val="20"/>
              </w:rPr>
              <w:t>inhibidor del proteasoma, inmunomodulador y anticuerpo anti-CD38</w:t>
            </w:r>
            <w:r>
              <w:rPr>
                <w:rFonts w:eastAsia="Times New Roman" w:cs="Times New Roman"/>
                <w:color w:val="0D0D0D" w:themeColor="text1" w:themeTint="F2"/>
                <w:szCs w:val="20"/>
              </w:rPr>
              <w:t>.</w:t>
            </w:r>
          </w:p>
        </w:tc>
        <w:tc>
          <w:tcPr>
            <w:tcW w:w="2573" w:type="dxa"/>
            <w:tcMar>
              <w:top w:w="86" w:type="dxa"/>
              <w:left w:w="115" w:type="dxa"/>
              <w:right w:w="115" w:type="dxa"/>
            </w:tcMar>
          </w:tcPr>
          <w:p w14:paraId="41E2688D" w14:textId="77777777" w:rsidR="008117C7" w:rsidRDefault="008117C7" w:rsidP="00534E78">
            <w:pPr>
              <w:spacing w:after="225"/>
              <w:contextualSpacing/>
              <w:outlineLvl w:val="0"/>
              <w:rPr>
                <w:rFonts w:eastAsia="Times New Roman" w:cs="Times New Roman"/>
                <w:color w:val="0D0D0D" w:themeColor="text1" w:themeTint="F2"/>
                <w:szCs w:val="20"/>
              </w:rPr>
            </w:pPr>
            <w:r>
              <w:rPr>
                <w:rFonts w:eastAsia="Times New Roman" w:cs="Times New Roman"/>
                <w:color w:val="0D0D0D" w:themeColor="text1" w:themeTint="F2"/>
                <w:szCs w:val="20"/>
              </w:rPr>
              <w:t>Johnson &amp; Johnson</w:t>
            </w:r>
          </w:p>
        </w:tc>
      </w:tr>
      <w:tr w:rsidR="008117C7" w14:paraId="5EA6EF93" w14:textId="77777777" w:rsidTr="00534E78">
        <w:tc>
          <w:tcPr>
            <w:tcW w:w="3539" w:type="dxa"/>
            <w:tcMar>
              <w:top w:w="86" w:type="dxa"/>
              <w:left w:w="115" w:type="dxa"/>
              <w:right w:w="115" w:type="dxa"/>
            </w:tcMar>
          </w:tcPr>
          <w:p w14:paraId="7D2EF7B8" w14:textId="77777777" w:rsidR="008117C7" w:rsidRPr="00C87707" w:rsidRDefault="008117C7" w:rsidP="00534E78">
            <w:pPr>
              <w:spacing w:after="225"/>
              <w:contextualSpacing/>
              <w:outlineLvl w:val="0"/>
              <w:rPr>
                <w:rFonts w:eastAsia="Times New Roman" w:cs="Times New Roman"/>
                <w:color w:val="0D0D0D" w:themeColor="text1" w:themeTint="F2"/>
                <w:szCs w:val="20"/>
              </w:rPr>
            </w:pPr>
            <w:r w:rsidRPr="00C87707">
              <w:rPr>
                <w:rFonts w:eastAsia="Times New Roman" w:cs="Times New Roman"/>
                <w:i/>
                <w:iCs/>
                <w:color w:val="0D0D0D" w:themeColor="text1" w:themeTint="F2"/>
                <w:szCs w:val="20"/>
              </w:rPr>
              <w:t xml:space="preserve">amoxicilina + </w:t>
            </w:r>
            <w:proofErr w:type="spellStart"/>
            <w:r w:rsidRPr="00C87707">
              <w:rPr>
                <w:rFonts w:eastAsia="Times New Roman" w:cs="Times New Roman"/>
                <w:i/>
                <w:iCs/>
                <w:color w:val="0D0D0D" w:themeColor="text1" w:themeTint="F2"/>
                <w:szCs w:val="20"/>
              </w:rPr>
              <w:t>clavulanato</w:t>
            </w:r>
            <w:proofErr w:type="spellEnd"/>
            <w:r w:rsidRPr="00C87707">
              <w:rPr>
                <w:rFonts w:eastAsia="Times New Roman" w:cs="Times New Roman"/>
                <w:i/>
                <w:iCs/>
                <w:color w:val="0D0D0D" w:themeColor="text1" w:themeTint="F2"/>
                <w:szCs w:val="20"/>
              </w:rPr>
              <w:t xml:space="preserve"> potásico</w:t>
            </w:r>
            <w:r w:rsidRPr="00C87707">
              <w:rPr>
                <w:rFonts w:eastAsia="Times New Roman" w:cs="Times New Roman"/>
                <w:color w:val="0D0D0D" w:themeColor="text1" w:themeTint="F2"/>
                <w:szCs w:val="20"/>
              </w:rPr>
              <w:t xml:space="preserve"> / </w:t>
            </w:r>
            <w:proofErr w:type="spellStart"/>
            <w:r w:rsidRPr="00C87707">
              <w:rPr>
                <w:rFonts w:eastAsia="Times New Roman" w:cs="Times New Roman"/>
                <w:color w:val="0D0D0D" w:themeColor="text1" w:themeTint="F2"/>
                <w:szCs w:val="20"/>
              </w:rPr>
              <w:t>Augmentin</w:t>
            </w:r>
            <w:proofErr w:type="spellEnd"/>
            <w:r w:rsidRPr="00C87707">
              <w:rPr>
                <w:rFonts w:eastAsia="Times New Roman" w:cs="Times New Roman"/>
                <w:color w:val="0D0D0D" w:themeColor="text1" w:themeTint="F2"/>
                <w:szCs w:val="20"/>
              </w:rPr>
              <w:t xml:space="preserve"> </w:t>
            </w:r>
            <w:r>
              <w:rPr>
                <w:rFonts w:eastAsia="Times New Roman" w:cs="Times New Roman"/>
                <w:color w:val="0D0D0D" w:themeColor="text1" w:themeTint="F2"/>
                <w:szCs w:val="20"/>
              </w:rPr>
              <w:t>X</w:t>
            </w:r>
            <w:r w:rsidRPr="00C87707">
              <w:rPr>
                <w:rFonts w:eastAsia="Times New Roman" w:cs="Times New Roman"/>
                <w:color w:val="0D0D0D" w:themeColor="text1" w:themeTint="F2"/>
                <w:szCs w:val="20"/>
              </w:rPr>
              <w:t>R</w:t>
            </w:r>
          </w:p>
        </w:tc>
        <w:tc>
          <w:tcPr>
            <w:tcW w:w="4678" w:type="dxa"/>
            <w:tcMar>
              <w:top w:w="86" w:type="dxa"/>
              <w:left w:w="115" w:type="dxa"/>
              <w:right w:w="115" w:type="dxa"/>
            </w:tcMar>
          </w:tcPr>
          <w:p w14:paraId="0DE25132" w14:textId="77777777" w:rsidR="008117C7" w:rsidRDefault="008117C7" w:rsidP="00534E78">
            <w:pPr>
              <w:spacing w:after="225"/>
              <w:contextualSpacing/>
              <w:outlineLvl w:val="0"/>
              <w:rPr>
                <w:rFonts w:eastAsia="Times New Roman" w:cs="Times New Roman"/>
                <w:color w:val="0D0D0D" w:themeColor="text1" w:themeTint="F2"/>
                <w:szCs w:val="20"/>
              </w:rPr>
            </w:pPr>
            <w:r>
              <w:rPr>
                <w:rFonts w:eastAsia="Times New Roman" w:cs="Times New Roman"/>
                <w:color w:val="0D0D0D" w:themeColor="text1" w:themeTint="F2"/>
                <w:szCs w:val="20"/>
              </w:rPr>
              <w:t xml:space="preserve">Infecciones bacterianas </w:t>
            </w:r>
          </w:p>
        </w:tc>
        <w:tc>
          <w:tcPr>
            <w:tcW w:w="2573" w:type="dxa"/>
            <w:tcMar>
              <w:top w:w="86" w:type="dxa"/>
              <w:left w:w="115" w:type="dxa"/>
              <w:right w:w="115" w:type="dxa"/>
            </w:tcMar>
          </w:tcPr>
          <w:p w14:paraId="3E51AEAD" w14:textId="77777777" w:rsidR="008117C7" w:rsidRDefault="008117C7" w:rsidP="00534E78">
            <w:pPr>
              <w:spacing w:after="225"/>
              <w:contextualSpacing/>
              <w:outlineLvl w:val="0"/>
              <w:rPr>
                <w:rFonts w:eastAsia="Times New Roman" w:cs="Times New Roman"/>
                <w:color w:val="0D0D0D" w:themeColor="text1" w:themeTint="F2"/>
                <w:szCs w:val="20"/>
              </w:rPr>
            </w:pPr>
            <w:r>
              <w:rPr>
                <w:rFonts w:eastAsia="Times New Roman" w:cs="Times New Roman"/>
                <w:color w:val="0D0D0D" w:themeColor="text1" w:themeTint="F2"/>
                <w:szCs w:val="20"/>
              </w:rPr>
              <w:t xml:space="preserve">US </w:t>
            </w:r>
            <w:proofErr w:type="spellStart"/>
            <w:r>
              <w:rPr>
                <w:rFonts w:eastAsia="Times New Roman" w:cs="Times New Roman"/>
                <w:color w:val="0D0D0D" w:themeColor="text1" w:themeTint="F2"/>
                <w:szCs w:val="20"/>
              </w:rPr>
              <w:t>Antibiotics</w:t>
            </w:r>
            <w:proofErr w:type="spellEnd"/>
            <w:r>
              <w:rPr>
                <w:rFonts w:eastAsia="Times New Roman" w:cs="Times New Roman"/>
                <w:color w:val="0D0D0D" w:themeColor="text1" w:themeTint="F2"/>
                <w:szCs w:val="20"/>
              </w:rPr>
              <w:t xml:space="preserve"> </w:t>
            </w:r>
          </w:p>
        </w:tc>
      </w:tr>
      <w:tr w:rsidR="008117C7" w14:paraId="7C6030CF" w14:textId="77777777" w:rsidTr="00534E78">
        <w:tc>
          <w:tcPr>
            <w:tcW w:w="3539" w:type="dxa"/>
            <w:tcBorders>
              <w:bottom w:val="single" w:sz="4" w:space="0" w:color="auto"/>
            </w:tcBorders>
            <w:tcMar>
              <w:top w:w="86" w:type="dxa"/>
              <w:left w:w="115" w:type="dxa"/>
              <w:right w:w="115" w:type="dxa"/>
            </w:tcMar>
          </w:tcPr>
          <w:p w14:paraId="4541B43E" w14:textId="77777777" w:rsidR="008117C7" w:rsidRDefault="008117C7" w:rsidP="00534E78">
            <w:pPr>
              <w:spacing w:after="225"/>
              <w:contextualSpacing/>
              <w:outlineLvl w:val="0"/>
              <w:rPr>
                <w:rFonts w:eastAsia="Times New Roman" w:cs="Times New Roman"/>
                <w:color w:val="0D0D0D" w:themeColor="text1" w:themeTint="F2"/>
                <w:szCs w:val="20"/>
              </w:rPr>
            </w:pPr>
            <w:proofErr w:type="spellStart"/>
            <w:r w:rsidRPr="008535EF">
              <w:rPr>
                <w:rFonts w:eastAsia="Times New Roman" w:cs="Times New Roman"/>
                <w:i/>
                <w:iCs/>
                <w:color w:val="0D0D0D" w:themeColor="text1" w:themeTint="F2"/>
                <w:szCs w:val="20"/>
              </w:rPr>
              <w:t>enlicitide</w:t>
            </w:r>
            <w:proofErr w:type="spellEnd"/>
            <w:r w:rsidRPr="008535EF">
              <w:rPr>
                <w:rFonts w:eastAsia="Times New Roman" w:cs="Times New Roman"/>
                <w:i/>
                <w:iCs/>
                <w:color w:val="0D0D0D" w:themeColor="text1" w:themeTint="F2"/>
                <w:szCs w:val="20"/>
              </w:rPr>
              <w:t xml:space="preserve"> </w:t>
            </w:r>
            <w:proofErr w:type="spellStart"/>
            <w:r w:rsidRPr="008535EF">
              <w:rPr>
                <w:rFonts w:eastAsia="Times New Roman" w:cs="Times New Roman"/>
                <w:i/>
                <w:iCs/>
                <w:color w:val="0D0D0D" w:themeColor="text1" w:themeTint="F2"/>
                <w:szCs w:val="20"/>
              </w:rPr>
              <w:t>decanoato</w:t>
            </w:r>
            <w:proofErr w:type="spellEnd"/>
            <w:r>
              <w:rPr>
                <w:rFonts w:eastAsia="Times New Roman" w:cs="Times New Roman"/>
                <w:color w:val="0D0D0D" w:themeColor="text1" w:themeTint="F2"/>
                <w:szCs w:val="20"/>
              </w:rPr>
              <w:t xml:space="preserve"> / </w:t>
            </w:r>
            <w:proofErr w:type="spellStart"/>
            <w:r w:rsidRPr="008535EF">
              <w:rPr>
                <w:rFonts w:eastAsia="Times New Roman" w:cs="Times New Roman"/>
                <w:color w:val="0D0D0D" w:themeColor="text1" w:themeTint="F2"/>
                <w:szCs w:val="20"/>
              </w:rPr>
              <w:t>Lipfendra</w:t>
            </w:r>
            <w:proofErr w:type="spellEnd"/>
          </w:p>
        </w:tc>
        <w:tc>
          <w:tcPr>
            <w:tcW w:w="4678" w:type="dxa"/>
            <w:tcBorders>
              <w:bottom w:val="single" w:sz="4" w:space="0" w:color="auto"/>
            </w:tcBorders>
            <w:tcMar>
              <w:top w:w="86" w:type="dxa"/>
              <w:left w:w="115" w:type="dxa"/>
              <w:right w:w="115" w:type="dxa"/>
            </w:tcMar>
          </w:tcPr>
          <w:p w14:paraId="04AC8033" w14:textId="77777777" w:rsidR="008117C7" w:rsidRDefault="008117C7" w:rsidP="00534E78">
            <w:pPr>
              <w:spacing w:after="225"/>
              <w:contextualSpacing/>
              <w:outlineLvl w:val="0"/>
              <w:rPr>
                <w:rFonts w:eastAsia="Times New Roman" w:cs="Times New Roman"/>
                <w:color w:val="0D0D0D" w:themeColor="text1" w:themeTint="F2"/>
                <w:szCs w:val="20"/>
              </w:rPr>
            </w:pPr>
            <w:r>
              <w:rPr>
                <w:rFonts w:eastAsia="Times New Roman" w:cs="Times New Roman"/>
                <w:color w:val="0D0D0D" w:themeColor="text1" w:themeTint="F2"/>
                <w:szCs w:val="20"/>
              </w:rPr>
              <w:t>Hiperlipidemia (reducción de LDL)</w:t>
            </w:r>
          </w:p>
        </w:tc>
        <w:tc>
          <w:tcPr>
            <w:tcW w:w="2573" w:type="dxa"/>
            <w:tcBorders>
              <w:bottom w:val="single" w:sz="4" w:space="0" w:color="auto"/>
            </w:tcBorders>
            <w:tcMar>
              <w:top w:w="86" w:type="dxa"/>
              <w:left w:w="115" w:type="dxa"/>
              <w:right w:w="115" w:type="dxa"/>
            </w:tcMar>
          </w:tcPr>
          <w:p w14:paraId="68BED78D" w14:textId="77777777" w:rsidR="008117C7" w:rsidRDefault="008117C7" w:rsidP="00534E78">
            <w:pPr>
              <w:spacing w:after="225"/>
              <w:contextualSpacing/>
              <w:outlineLvl w:val="0"/>
              <w:rPr>
                <w:rFonts w:eastAsia="Times New Roman" w:cs="Times New Roman"/>
                <w:color w:val="0D0D0D" w:themeColor="text1" w:themeTint="F2"/>
                <w:szCs w:val="20"/>
              </w:rPr>
            </w:pPr>
            <w:r>
              <w:rPr>
                <w:rFonts w:eastAsia="Times New Roman" w:cs="Times New Roman"/>
                <w:color w:val="0D0D0D" w:themeColor="text1" w:themeTint="F2"/>
                <w:szCs w:val="20"/>
              </w:rPr>
              <w:t>Merck</w:t>
            </w:r>
          </w:p>
        </w:tc>
      </w:tr>
    </w:tbl>
    <w:p w14:paraId="113D6751" w14:textId="60DF6289" w:rsidR="008117C7" w:rsidRPr="00840D3D" w:rsidRDefault="008117C7" w:rsidP="008117C7">
      <w:pPr>
        <w:spacing w:after="225"/>
        <w:contextualSpacing/>
        <w:outlineLvl w:val="0"/>
        <w:rPr>
          <w:rFonts w:eastAsia="Times New Roman" w:cs="Times New Roman"/>
          <w:color w:val="0D0D0D" w:themeColor="text1" w:themeTint="F2"/>
          <w:sz w:val="18"/>
          <w:szCs w:val="18"/>
        </w:rPr>
      </w:pPr>
      <w:r w:rsidRPr="0069607C">
        <w:rPr>
          <w:rFonts w:eastAsia="Times New Roman" w:cs="Times New Roman"/>
          <w:b/>
          <w:bCs/>
          <w:color w:val="0D0D0D" w:themeColor="text1" w:themeTint="F2"/>
          <w:sz w:val="18"/>
          <w:szCs w:val="18"/>
        </w:rPr>
        <w:t>Fuente:</w:t>
      </w:r>
      <w:r w:rsidRPr="0069607C">
        <w:rPr>
          <w:rFonts w:eastAsia="Times New Roman" w:cs="Times New Roman"/>
          <w:color w:val="0D0D0D" w:themeColor="text1" w:themeTint="F2"/>
          <w:sz w:val="18"/>
          <w:szCs w:val="18"/>
        </w:rPr>
        <w:t xml:space="preserve"> Elaboración propia, equipo Salud y Fármacos a partir de datos compilados por </w:t>
      </w:r>
      <w:proofErr w:type="spellStart"/>
      <w:r w:rsidRPr="0069607C">
        <w:rPr>
          <w:rFonts w:eastAsia="Times New Roman" w:cs="Times New Roman"/>
          <w:color w:val="0D0D0D" w:themeColor="text1" w:themeTint="F2"/>
          <w:sz w:val="18"/>
          <w:szCs w:val="18"/>
        </w:rPr>
        <w:t>Gibney</w:t>
      </w:r>
      <w:proofErr w:type="spellEnd"/>
      <w:r w:rsidRPr="0069607C">
        <w:rPr>
          <w:rFonts w:eastAsia="Times New Roman" w:cs="Times New Roman"/>
          <w:color w:val="0D0D0D" w:themeColor="text1" w:themeTint="F2"/>
          <w:sz w:val="18"/>
          <w:szCs w:val="18"/>
        </w:rPr>
        <w:t xml:space="preserve"> con </w:t>
      </w:r>
      <w:r w:rsidR="00421B71">
        <w:rPr>
          <w:rFonts w:eastAsia="Times New Roman" w:cs="Times New Roman"/>
          <w:color w:val="0D0D0D" w:themeColor="text1" w:themeTint="F2"/>
          <w:sz w:val="18"/>
          <w:szCs w:val="18"/>
        </w:rPr>
        <w:t xml:space="preserve">medicamentos en </w:t>
      </w:r>
      <w:r w:rsidRPr="0069607C">
        <w:rPr>
          <w:rFonts w:eastAsia="Times New Roman" w:cs="Times New Roman"/>
          <w:color w:val="0D0D0D" w:themeColor="text1" w:themeTint="F2"/>
          <w:sz w:val="18"/>
          <w:szCs w:val="18"/>
        </w:rPr>
        <w:t>estado Aprobado, en el marco del programa CNPV</w:t>
      </w:r>
      <w:r>
        <w:rPr>
          <w:rFonts w:eastAsia="Times New Roman" w:cs="Times New Roman"/>
          <w:color w:val="0D0D0D" w:themeColor="text1" w:themeTint="F2"/>
          <w:sz w:val="18"/>
          <w:szCs w:val="18"/>
        </w:rPr>
        <w:t xml:space="preserve"> [1]</w:t>
      </w:r>
      <w:r w:rsidRPr="0069607C">
        <w:rPr>
          <w:rFonts w:eastAsia="Times New Roman" w:cs="Times New Roman"/>
          <w:color w:val="0D0D0D" w:themeColor="text1" w:themeTint="F2"/>
          <w:sz w:val="18"/>
          <w:szCs w:val="18"/>
        </w:rPr>
        <w:t xml:space="preserve">. </w:t>
      </w:r>
      <w:r>
        <w:rPr>
          <w:rFonts w:eastAsia="Times New Roman" w:cs="Times New Roman"/>
          <w:color w:val="0D0D0D" w:themeColor="text1" w:themeTint="F2"/>
          <w:sz w:val="18"/>
          <w:szCs w:val="18"/>
        </w:rPr>
        <w:t>Los n</w:t>
      </w:r>
      <w:r w:rsidRPr="0069607C">
        <w:rPr>
          <w:rFonts w:eastAsia="Times New Roman" w:cs="Times New Roman"/>
          <w:color w:val="0D0D0D" w:themeColor="text1" w:themeTint="F2"/>
          <w:sz w:val="18"/>
          <w:szCs w:val="18"/>
        </w:rPr>
        <w:t xml:space="preserve">ombres genéricos e indicaciones </w:t>
      </w:r>
      <w:r>
        <w:rPr>
          <w:rFonts w:eastAsia="Times New Roman" w:cs="Times New Roman"/>
          <w:color w:val="0D0D0D" w:themeColor="text1" w:themeTint="F2"/>
          <w:sz w:val="18"/>
          <w:szCs w:val="18"/>
        </w:rPr>
        <w:t xml:space="preserve">terapéuticas </w:t>
      </w:r>
      <w:r w:rsidRPr="0069607C">
        <w:rPr>
          <w:rFonts w:eastAsia="Times New Roman" w:cs="Times New Roman"/>
          <w:color w:val="0D0D0D" w:themeColor="text1" w:themeTint="F2"/>
          <w:sz w:val="18"/>
          <w:szCs w:val="18"/>
        </w:rPr>
        <w:t xml:space="preserve">de cada </w:t>
      </w:r>
      <w:r>
        <w:rPr>
          <w:rFonts w:eastAsia="Times New Roman" w:cs="Times New Roman"/>
          <w:color w:val="0D0D0D" w:themeColor="text1" w:themeTint="F2"/>
          <w:sz w:val="18"/>
          <w:szCs w:val="18"/>
        </w:rPr>
        <w:t>fárma</w:t>
      </w:r>
      <w:r w:rsidRPr="0069607C">
        <w:rPr>
          <w:rFonts w:eastAsia="Times New Roman" w:cs="Times New Roman"/>
          <w:color w:val="0D0D0D" w:themeColor="text1" w:themeTint="F2"/>
          <w:sz w:val="18"/>
          <w:szCs w:val="18"/>
        </w:rPr>
        <w:t xml:space="preserve">co </w:t>
      </w:r>
      <w:r>
        <w:rPr>
          <w:rFonts w:eastAsia="Times New Roman" w:cs="Times New Roman"/>
          <w:color w:val="0D0D0D" w:themeColor="text1" w:themeTint="F2"/>
          <w:sz w:val="18"/>
          <w:szCs w:val="18"/>
        </w:rPr>
        <w:t>corresponden a</w:t>
      </w:r>
      <w:r w:rsidRPr="0069607C">
        <w:rPr>
          <w:rFonts w:eastAsia="Times New Roman" w:cs="Times New Roman"/>
          <w:color w:val="0D0D0D" w:themeColor="text1" w:themeTint="F2"/>
          <w:sz w:val="18"/>
          <w:szCs w:val="18"/>
        </w:rPr>
        <w:t xml:space="preserve"> la actualización 2026 de la FDA disponible en: </w:t>
      </w:r>
      <w:hyperlink r:id="rId102" w:history="1">
        <w:r w:rsidRPr="0069607C">
          <w:rPr>
            <w:rStyle w:val="Hipervnculo"/>
            <w:rFonts w:eastAsia="Times New Roman" w:cs="Times New Roman"/>
            <w:sz w:val="18"/>
            <w:szCs w:val="18"/>
          </w:rPr>
          <w:t>https://www.fda.gov/drugs/novel-drug-approvals-fda/novel-drug-approvals-2026</w:t>
        </w:r>
      </w:hyperlink>
    </w:p>
    <w:p w14:paraId="7BB15A7A" w14:textId="77777777" w:rsidR="008117C7" w:rsidRDefault="008117C7" w:rsidP="008117C7">
      <w:pPr>
        <w:spacing w:after="225"/>
        <w:contextualSpacing/>
        <w:outlineLvl w:val="0"/>
        <w:rPr>
          <w:rFonts w:eastAsia="Times New Roman" w:cs="Times New Roman"/>
          <w:color w:val="0D0D0D" w:themeColor="text1" w:themeTint="F2"/>
          <w:szCs w:val="20"/>
        </w:rPr>
      </w:pPr>
    </w:p>
    <w:p w14:paraId="6D1493B9" w14:textId="77777777" w:rsidR="00421B71" w:rsidRDefault="00421B71" w:rsidP="008117C7">
      <w:pPr>
        <w:spacing w:after="225"/>
        <w:contextualSpacing/>
        <w:outlineLvl w:val="0"/>
        <w:rPr>
          <w:rFonts w:eastAsia="Times New Roman" w:cs="Times New Roman"/>
          <w:b/>
          <w:bCs/>
          <w:color w:val="0D0D0D" w:themeColor="text1" w:themeTint="F2"/>
          <w:sz w:val="18"/>
          <w:szCs w:val="18"/>
          <w:lang w:val="en-US"/>
        </w:rPr>
        <w:sectPr w:rsidR="00421B71" w:rsidSect="00F25512">
          <w:type w:val="continuous"/>
          <w:pgSz w:w="12240" w:h="15840" w:code="1"/>
          <w:pgMar w:top="720" w:right="720" w:bottom="720" w:left="720" w:header="288" w:footer="288" w:gutter="0"/>
          <w:cols w:space="288"/>
          <w:docGrid w:linePitch="360"/>
        </w:sectPr>
      </w:pPr>
    </w:p>
    <w:p w14:paraId="5DE8E22B" w14:textId="2AB7ED3A" w:rsidR="008117C7" w:rsidRPr="00F74436" w:rsidRDefault="008117C7" w:rsidP="008117C7">
      <w:pPr>
        <w:spacing w:after="225"/>
        <w:contextualSpacing/>
        <w:outlineLvl w:val="0"/>
        <w:rPr>
          <w:rFonts w:eastAsia="Times New Roman" w:cs="Times New Roman"/>
          <w:b/>
          <w:bCs/>
          <w:color w:val="0D0D0D" w:themeColor="text1" w:themeTint="F2"/>
          <w:sz w:val="18"/>
          <w:szCs w:val="18"/>
          <w:lang w:val="en-US"/>
        </w:rPr>
      </w:pPr>
      <w:r w:rsidRPr="00F74436">
        <w:rPr>
          <w:rFonts w:eastAsia="Times New Roman" w:cs="Times New Roman"/>
          <w:b/>
          <w:bCs/>
          <w:color w:val="0D0D0D" w:themeColor="text1" w:themeTint="F2"/>
          <w:sz w:val="18"/>
          <w:szCs w:val="18"/>
          <w:lang w:val="en-US"/>
        </w:rPr>
        <w:t>Fuente Original:</w:t>
      </w:r>
    </w:p>
    <w:p w14:paraId="4A398288" w14:textId="77777777" w:rsidR="008117C7" w:rsidRPr="00C07879" w:rsidRDefault="008117C7" w:rsidP="008117C7">
      <w:pPr>
        <w:spacing w:after="225"/>
        <w:ind w:left="180" w:hanging="180"/>
        <w:contextualSpacing/>
        <w:outlineLvl w:val="0"/>
        <w:rPr>
          <w:lang w:val="en-US"/>
        </w:rPr>
      </w:pPr>
      <w:r w:rsidRPr="00F74436">
        <w:rPr>
          <w:rFonts w:eastAsia="Times New Roman" w:cs="Times New Roman"/>
          <w:color w:val="0D0D0D" w:themeColor="text1" w:themeTint="F2"/>
          <w:sz w:val="18"/>
          <w:szCs w:val="18"/>
          <w:lang w:val="en-US"/>
        </w:rPr>
        <w:t>1.</w:t>
      </w:r>
      <w:r w:rsidRPr="00F74436">
        <w:rPr>
          <w:sz w:val="18"/>
          <w:szCs w:val="22"/>
          <w:lang w:val="en-US"/>
        </w:rPr>
        <w:t xml:space="preserve"> </w:t>
      </w:r>
      <w:r w:rsidRPr="00F74436">
        <w:rPr>
          <w:rFonts w:eastAsia="Times New Roman" w:cs="Times New Roman"/>
          <w:color w:val="0D0D0D" w:themeColor="text1" w:themeTint="F2"/>
          <w:sz w:val="18"/>
          <w:szCs w:val="18"/>
          <w:lang w:val="en-US"/>
        </w:rPr>
        <w:t xml:space="preserve">M Gibney. FDA’s new voucher program hints at broader policy agenda, making many ‘uncomfortable’ </w:t>
      </w:r>
      <w:proofErr w:type="spellStart"/>
      <w:r w:rsidRPr="00F74436">
        <w:rPr>
          <w:rFonts w:eastAsia="Times New Roman" w:cs="Times New Roman"/>
          <w:i/>
          <w:iCs/>
          <w:color w:val="0D0D0D" w:themeColor="text1" w:themeTint="F2"/>
          <w:sz w:val="18"/>
          <w:szCs w:val="18"/>
          <w:lang w:val="en-US"/>
        </w:rPr>
        <w:t>Biospace</w:t>
      </w:r>
      <w:proofErr w:type="spellEnd"/>
      <w:r w:rsidRPr="00F74436">
        <w:rPr>
          <w:rFonts w:eastAsia="Times New Roman" w:cs="Times New Roman"/>
          <w:i/>
          <w:iCs/>
          <w:color w:val="0D0D0D" w:themeColor="text1" w:themeTint="F2"/>
          <w:sz w:val="18"/>
          <w:szCs w:val="18"/>
          <w:lang w:val="en-US"/>
        </w:rPr>
        <w:t>,</w:t>
      </w:r>
      <w:r w:rsidRPr="00F74436">
        <w:rPr>
          <w:rFonts w:eastAsia="Times New Roman" w:cs="Times New Roman"/>
          <w:color w:val="0D0D0D" w:themeColor="text1" w:themeTint="F2"/>
          <w:sz w:val="18"/>
          <w:szCs w:val="18"/>
          <w:lang w:val="en-US"/>
        </w:rPr>
        <w:t xml:space="preserve"> 19 de </w:t>
      </w:r>
      <w:proofErr w:type="spellStart"/>
      <w:r w:rsidRPr="00F74436">
        <w:rPr>
          <w:rFonts w:eastAsia="Times New Roman" w:cs="Times New Roman"/>
          <w:color w:val="0D0D0D" w:themeColor="text1" w:themeTint="F2"/>
          <w:sz w:val="18"/>
          <w:szCs w:val="18"/>
          <w:lang w:val="en-US"/>
        </w:rPr>
        <w:t>junio</w:t>
      </w:r>
      <w:proofErr w:type="spellEnd"/>
      <w:r w:rsidRPr="00F74436">
        <w:rPr>
          <w:rFonts w:eastAsia="Times New Roman" w:cs="Times New Roman"/>
          <w:color w:val="0D0D0D" w:themeColor="text1" w:themeTint="F2"/>
          <w:sz w:val="18"/>
          <w:szCs w:val="18"/>
          <w:lang w:val="en-US"/>
        </w:rPr>
        <w:t xml:space="preserve"> de 2026 </w:t>
      </w:r>
      <w:hyperlink r:id="rId103" w:history="1">
        <w:r w:rsidRPr="00F74436">
          <w:rPr>
            <w:rStyle w:val="Hipervnculo"/>
            <w:rFonts w:eastAsia="Times New Roman" w:cs="Times New Roman"/>
            <w:sz w:val="18"/>
            <w:szCs w:val="18"/>
            <w:lang w:val="en-US"/>
          </w:rPr>
          <w:t>https://www.biospace.com/fda/fdas-new-voucher-program-hints-at-broader-policy-agenda-making-many-uncomfortable</w:t>
        </w:r>
      </w:hyperlink>
    </w:p>
    <w:p w14:paraId="1B517F5D" w14:textId="544F8B18" w:rsidR="008117C7" w:rsidRDefault="008117C7" w:rsidP="008117C7">
      <w:pPr>
        <w:spacing w:after="225"/>
        <w:contextualSpacing/>
        <w:outlineLvl w:val="0"/>
        <w:rPr>
          <w:rFonts w:eastAsia="Times New Roman" w:cs="Times New Roman"/>
          <w:color w:val="0D0D0D" w:themeColor="text1" w:themeTint="F2"/>
          <w:sz w:val="18"/>
          <w:szCs w:val="18"/>
          <w:lang w:val="en-US"/>
        </w:rPr>
      </w:pPr>
    </w:p>
    <w:p w14:paraId="0A97FB01" w14:textId="77777777" w:rsidR="00421B71" w:rsidRDefault="00421B71" w:rsidP="008117C7">
      <w:pPr>
        <w:spacing w:after="225"/>
        <w:contextualSpacing/>
        <w:outlineLvl w:val="0"/>
        <w:rPr>
          <w:rFonts w:eastAsia="Times New Roman" w:cs="Times New Roman"/>
          <w:color w:val="0D0D0D" w:themeColor="text1" w:themeTint="F2"/>
          <w:sz w:val="18"/>
          <w:szCs w:val="18"/>
          <w:lang w:val="en-US"/>
        </w:rPr>
      </w:pPr>
    </w:p>
    <w:p w14:paraId="208FD21A" w14:textId="77777777" w:rsidR="008117C7" w:rsidRPr="00345992" w:rsidRDefault="008117C7" w:rsidP="008117C7">
      <w:pPr>
        <w:spacing w:after="225"/>
        <w:contextualSpacing/>
        <w:outlineLvl w:val="0"/>
        <w:rPr>
          <w:rFonts w:eastAsia="Times New Roman" w:cs="Times New Roman"/>
          <w:b/>
          <w:bCs/>
          <w:color w:val="0D0D0D" w:themeColor="text1" w:themeTint="F2"/>
          <w:sz w:val="18"/>
          <w:szCs w:val="18"/>
          <w:lang w:val="en-US"/>
        </w:rPr>
      </w:pPr>
      <w:proofErr w:type="spellStart"/>
      <w:r w:rsidRPr="00345992">
        <w:rPr>
          <w:rFonts w:eastAsia="Times New Roman" w:cs="Times New Roman"/>
          <w:b/>
          <w:bCs/>
          <w:color w:val="0D0D0D" w:themeColor="text1" w:themeTint="F2"/>
          <w:sz w:val="18"/>
          <w:szCs w:val="18"/>
          <w:lang w:val="en-US"/>
        </w:rPr>
        <w:t>Referencia</w:t>
      </w:r>
      <w:proofErr w:type="spellEnd"/>
      <w:r w:rsidRPr="00345992">
        <w:rPr>
          <w:rFonts w:eastAsia="Times New Roman" w:cs="Times New Roman"/>
          <w:b/>
          <w:bCs/>
          <w:color w:val="0D0D0D" w:themeColor="text1" w:themeTint="F2"/>
          <w:sz w:val="18"/>
          <w:szCs w:val="18"/>
          <w:lang w:val="en-US"/>
        </w:rPr>
        <w:t>:</w:t>
      </w:r>
    </w:p>
    <w:p w14:paraId="487BF594" w14:textId="77777777" w:rsidR="008117C7" w:rsidRPr="0013131B" w:rsidRDefault="008117C7" w:rsidP="008117C7">
      <w:pPr>
        <w:ind w:left="180" w:hanging="180"/>
        <w:contextualSpacing/>
        <w:rPr>
          <w:sz w:val="18"/>
          <w:szCs w:val="18"/>
          <w:lang w:val="en-US"/>
        </w:rPr>
      </w:pPr>
      <w:r w:rsidRPr="0013131B">
        <w:rPr>
          <w:rFonts w:eastAsia="Times New Roman" w:cs="Times New Roman"/>
          <w:color w:val="0D0D0D" w:themeColor="text1" w:themeTint="F2"/>
          <w:sz w:val="18"/>
          <w:szCs w:val="18"/>
          <w:lang w:val="en-US"/>
        </w:rPr>
        <w:t>2.</w:t>
      </w:r>
      <w:r w:rsidRPr="0013131B">
        <w:rPr>
          <w:sz w:val="18"/>
          <w:szCs w:val="18"/>
          <w:lang w:val="en-US"/>
        </w:rPr>
        <w:t xml:space="preserve"> FDA</w:t>
      </w:r>
      <w:r>
        <w:rPr>
          <w:sz w:val="18"/>
          <w:szCs w:val="18"/>
          <w:lang w:val="en-US"/>
        </w:rPr>
        <w:t xml:space="preserve"> Press Announcements</w:t>
      </w:r>
      <w:r w:rsidRPr="0013131B">
        <w:rPr>
          <w:sz w:val="18"/>
          <w:szCs w:val="18"/>
          <w:lang w:val="en-US"/>
        </w:rPr>
        <w:t xml:space="preserve">. FDA Approves New Indication for </w:t>
      </w:r>
      <w:proofErr w:type="spellStart"/>
      <w:r w:rsidRPr="0013131B">
        <w:rPr>
          <w:sz w:val="18"/>
          <w:szCs w:val="18"/>
          <w:lang w:val="en-US"/>
        </w:rPr>
        <w:t>Tzield</w:t>
      </w:r>
      <w:proofErr w:type="spellEnd"/>
      <w:r w:rsidRPr="0013131B">
        <w:rPr>
          <w:sz w:val="18"/>
          <w:szCs w:val="18"/>
          <w:lang w:val="en-US"/>
        </w:rPr>
        <w:t xml:space="preserve"> (</w:t>
      </w:r>
      <w:r w:rsidRPr="0013131B">
        <w:rPr>
          <w:i/>
          <w:iCs/>
          <w:sz w:val="18"/>
          <w:szCs w:val="18"/>
          <w:lang w:val="en-US"/>
        </w:rPr>
        <w:t>teplizumab</w:t>
      </w:r>
      <w:r w:rsidRPr="0013131B">
        <w:rPr>
          <w:sz w:val="18"/>
          <w:szCs w:val="18"/>
          <w:lang w:val="en-US"/>
        </w:rPr>
        <w:t xml:space="preserve">) for Certain Pediatric Patients with Recently Diagnosed Stage 3 Type 1 Diabetes, 15 de </w:t>
      </w:r>
      <w:proofErr w:type="spellStart"/>
      <w:r w:rsidRPr="0013131B">
        <w:rPr>
          <w:sz w:val="18"/>
          <w:szCs w:val="18"/>
          <w:lang w:val="en-US"/>
        </w:rPr>
        <w:t>junio</w:t>
      </w:r>
      <w:proofErr w:type="spellEnd"/>
      <w:r w:rsidRPr="0013131B">
        <w:rPr>
          <w:sz w:val="18"/>
          <w:szCs w:val="18"/>
          <w:lang w:val="en-US"/>
        </w:rPr>
        <w:t xml:space="preserve"> de 2026 </w:t>
      </w:r>
      <w:hyperlink r:id="rId104" w:history="1">
        <w:r w:rsidRPr="0013131B">
          <w:rPr>
            <w:rStyle w:val="Hipervnculo"/>
            <w:sz w:val="18"/>
            <w:szCs w:val="18"/>
            <w:lang w:val="en-US"/>
          </w:rPr>
          <w:t>https://www.fda.gov/news-events/press-announcements/fda-approves-new-indication-tzield-teplizumab-certain-pediatric-patients-recently-diagnosed-stage-3</w:t>
        </w:r>
      </w:hyperlink>
    </w:p>
    <w:p w14:paraId="0479EB96" w14:textId="77777777" w:rsidR="00421B71" w:rsidRDefault="00421B71" w:rsidP="004D63D3">
      <w:pPr>
        <w:jc w:val="center"/>
        <w:rPr>
          <w:rFonts w:eastAsia="Times New Roman" w:cs="Times New Roman"/>
          <w:color w:val="0D0D0D" w:themeColor="text1" w:themeTint="F2"/>
          <w:szCs w:val="20"/>
          <w:lang w:val="en-US"/>
        </w:rPr>
        <w:sectPr w:rsidR="00421B71" w:rsidSect="00421B71">
          <w:type w:val="continuous"/>
          <w:pgSz w:w="12240" w:h="15840" w:code="1"/>
          <w:pgMar w:top="720" w:right="720" w:bottom="720" w:left="720" w:header="288" w:footer="288" w:gutter="0"/>
          <w:cols w:num="2" w:space="288"/>
          <w:docGrid w:linePitch="360"/>
        </w:sectPr>
      </w:pPr>
    </w:p>
    <w:p w14:paraId="53CF5F43" w14:textId="49740F40" w:rsidR="008117C7" w:rsidRPr="00F25512" w:rsidRDefault="008117C7" w:rsidP="004D63D3">
      <w:pPr>
        <w:jc w:val="center"/>
        <w:rPr>
          <w:rFonts w:eastAsia="Times New Roman" w:cs="Times New Roman"/>
          <w:color w:val="0D0D0D" w:themeColor="text1" w:themeTint="F2"/>
          <w:szCs w:val="20"/>
          <w:lang w:val="en-US"/>
        </w:rPr>
      </w:pPr>
    </w:p>
    <w:p w14:paraId="1EAFF2B7" w14:textId="77777777" w:rsidR="008117C7" w:rsidRPr="00F25512" w:rsidRDefault="008117C7" w:rsidP="004D63D3">
      <w:pPr>
        <w:jc w:val="center"/>
        <w:rPr>
          <w:rFonts w:eastAsia="Times New Roman" w:cs="Times New Roman"/>
          <w:color w:val="0D0D0D" w:themeColor="text1" w:themeTint="F2"/>
          <w:szCs w:val="20"/>
          <w:lang w:val="en-US"/>
        </w:rPr>
      </w:pPr>
    </w:p>
    <w:p w14:paraId="203B3A73" w14:textId="3C7725B1" w:rsidR="008B7435" w:rsidRPr="00B7719A" w:rsidRDefault="008B7435" w:rsidP="008B7435">
      <w:pPr>
        <w:contextualSpacing/>
        <w:jc w:val="center"/>
        <w:rPr>
          <w:rFonts w:eastAsia="Times New Roman" w:cs="Times New Roman"/>
          <w:b/>
          <w:bCs/>
          <w:color w:val="0D0D0D" w:themeColor="text1" w:themeTint="F2"/>
          <w:szCs w:val="20"/>
        </w:rPr>
      </w:pPr>
      <w:r>
        <w:rPr>
          <w:rFonts w:eastAsia="Times New Roman" w:cs="Times New Roman"/>
          <w:color w:val="0D0D0D" w:themeColor="text1" w:themeTint="F2"/>
          <w:szCs w:val="20"/>
        </w:rPr>
        <w:t xml:space="preserve">EE UU. </w:t>
      </w:r>
      <w:r w:rsidRPr="00B7719A">
        <w:rPr>
          <w:rFonts w:eastAsia="Times New Roman" w:cs="Times New Roman"/>
          <w:b/>
          <w:bCs/>
          <w:color w:val="0D0D0D" w:themeColor="text1" w:themeTint="F2"/>
          <w:szCs w:val="20"/>
        </w:rPr>
        <w:t xml:space="preserve">Garantizar la calidad y el acceso: </w:t>
      </w:r>
      <w:r w:rsidR="00D853C2">
        <w:rPr>
          <w:rFonts w:eastAsia="Times New Roman" w:cs="Times New Roman"/>
          <w:b/>
          <w:bCs/>
          <w:color w:val="0D0D0D" w:themeColor="text1" w:themeTint="F2"/>
          <w:szCs w:val="20"/>
        </w:rPr>
        <w:t>Enfoque</w:t>
      </w:r>
      <w:r w:rsidRPr="00B7719A">
        <w:rPr>
          <w:rFonts w:eastAsia="Times New Roman" w:cs="Times New Roman"/>
          <w:b/>
          <w:bCs/>
          <w:color w:val="0D0D0D" w:themeColor="text1" w:themeTint="F2"/>
          <w:szCs w:val="20"/>
        </w:rPr>
        <w:t xml:space="preserve"> de la FDA para la supervisión de los medicamentos genéricos</w:t>
      </w:r>
    </w:p>
    <w:p w14:paraId="1B3E2320" w14:textId="77777777" w:rsidR="008B7435" w:rsidRPr="00771D43" w:rsidRDefault="008B7435" w:rsidP="008B7435">
      <w:pPr>
        <w:contextualSpacing/>
        <w:jc w:val="center"/>
        <w:rPr>
          <w:rFonts w:eastAsia="Times New Roman" w:cs="Times New Roman"/>
          <w:i/>
          <w:iCs/>
          <w:color w:val="0D0D0D" w:themeColor="text1" w:themeTint="F2"/>
          <w:szCs w:val="20"/>
          <w:lang w:val="en-US"/>
        </w:rPr>
      </w:pPr>
      <w:r>
        <w:rPr>
          <w:rFonts w:eastAsia="Times New Roman" w:cs="Times New Roman"/>
          <w:i/>
          <w:iCs/>
          <w:color w:val="0D0D0D" w:themeColor="text1" w:themeTint="F2"/>
          <w:szCs w:val="20"/>
          <w:lang w:val="en-US"/>
        </w:rPr>
        <w:t>(</w:t>
      </w:r>
      <w:r w:rsidRPr="00771D43">
        <w:rPr>
          <w:rFonts w:eastAsia="Times New Roman" w:cs="Times New Roman"/>
          <w:i/>
          <w:iCs/>
          <w:color w:val="0D0D0D" w:themeColor="text1" w:themeTint="F2"/>
          <w:szCs w:val="20"/>
          <w:lang w:val="en-US"/>
        </w:rPr>
        <w:t>Ensuring Quality and Access: FDA’s Approach to Generic Drug Oversight</w:t>
      </w:r>
      <w:r>
        <w:rPr>
          <w:rFonts w:eastAsia="Times New Roman" w:cs="Times New Roman"/>
          <w:i/>
          <w:iCs/>
          <w:color w:val="0D0D0D" w:themeColor="text1" w:themeTint="F2"/>
          <w:szCs w:val="20"/>
          <w:lang w:val="en-US"/>
        </w:rPr>
        <w:t>)</w:t>
      </w:r>
    </w:p>
    <w:p w14:paraId="39D631D5" w14:textId="77777777" w:rsidR="008B7435" w:rsidRPr="00C07879" w:rsidRDefault="008B7435" w:rsidP="008B7435">
      <w:pPr>
        <w:spacing w:after="225"/>
        <w:contextualSpacing/>
        <w:jc w:val="center"/>
        <w:outlineLvl w:val="0"/>
        <w:rPr>
          <w:rFonts w:eastAsia="Times New Roman" w:cs="Times New Roman"/>
          <w:color w:val="0D0D0D" w:themeColor="text1" w:themeTint="F2"/>
          <w:szCs w:val="20"/>
          <w:lang w:val="en-US"/>
        </w:rPr>
      </w:pPr>
      <w:r w:rsidRPr="00C07879">
        <w:rPr>
          <w:rFonts w:eastAsia="Times New Roman" w:cs="Times New Roman"/>
          <w:i/>
          <w:iCs/>
          <w:color w:val="0D0D0D" w:themeColor="text1" w:themeTint="F2"/>
          <w:szCs w:val="20"/>
          <w:lang w:val="en-US"/>
        </w:rPr>
        <w:t xml:space="preserve">FDA, </w:t>
      </w:r>
      <w:r w:rsidRPr="00C07879">
        <w:rPr>
          <w:rFonts w:eastAsia="Times New Roman" w:cs="Times New Roman"/>
          <w:color w:val="0D0D0D" w:themeColor="text1" w:themeTint="F2"/>
          <w:szCs w:val="20"/>
          <w:lang w:val="en-US"/>
        </w:rPr>
        <w:t xml:space="preserve">12 de </w:t>
      </w:r>
      <w:proofErr w:type="spellStart"/>
      <w:r w:rsidRPr="00C07879">
        <w:rPr>
          <w:rFonts w:eastAsia="Times New Roman" w:cs="Times New Roman"/>
          <w:color w:val="0D0D0D" w:themeColor="text1" w:themeTint="F2"/>
          <w:szCs w:val="20"/>
          <w:lang w:val="en-US"/>
        </w:rPr>
        <w:t>julio</w:t>
      </w:r>
      <w:proofErr w:type="spellEnd"/>
      <w:r w:rsidRPr="00C07879">
        <w:rPr>
          <w:rFonts w:eastAsia="Times New Roman" w:cs="Times New Roman"/>
          <w:color w:val="0D0D0D" w:themeColor="text1" w:themeTint="F2"/>
          <w:szCs w:val="20"/>
          <w:lang w:val="en-US"/>
        </w:rPr>
        <w:t xml:space="preserve"> de 2026</w:t>
      </w:r>
    </w:p>
    <w:p w14:paraId="69427C7D" w14:textId="77777777" w:rsidR="008B7435" w:rsidRPr="00C07879" w:rsidRDefault="00B00DA4" w:rsidP="008B7435">
      <w:pPr>
        <w:spacing w:after="225"/>
        <w:contextualSpacing/>
        <w:jc w:val="center"/>
        <w:outlineLvl w:val="0"/>
        <w:rPr>
          <w:rFonts w:eastAsia="Times New Roman" w:cs="Times New Roman"/>
          <w:color w:val="0D0D0D" w:themeColor="text1" w:themeTint="F2"/>
          <w:szCs w:val="20"/>
          <w:lang w:val="en-US"/>
        </w:rPr>
      </w:pPr>
      <w:hyperlink r:id="rId105" w:history="1">
        <w:r w:rsidR="008B7435" w:rsidRPr="00C07879">
          <w:rPr>
            <w:rStyle w:val="Hipervnculo"/>
            <w:rFonts w:eastAsia="Times New Roman" w:cs="Times New Roman"/>
            <w:szCs w:val="20"/>
            <w:lang w:val="en-US"/>
          </w:rPr>
          <w:t>https://www.fda.gov/news-events/fda-voices/ensuring-quality-and-access-fdas-approach-generic-drug-oversight</w:t>
        </w:r>
      </w:hyperlink>
    </w:p>
    <w:p w14:paraId="36AEA585" w14:textId="77777777" w:rsidR="008B7435" w:rsidRPr="00A21F37" w:rsidRDefault="008B7435" w:rsidP="008B7435">
      <w:pPr>
        <w:jc w:val="center"/>
        <w:rPr>
          <w:lang w:val="es-ES"/>
        </w:rPr>
      </w:pPr>
      <w:r w:rsidRPr="00CA0441">
        <w:rPr>
          <w:rFonts w:eastAsia="Times New Roman" w:cs="Times New Roman"/>
          <w:szCs w:val="20"/>
          <w:lang w:val="es-ES"/>
        </w:rPr>
        <w:t xml:space="preserve">Traducido por Salud y Fármacos, publicado en </w:t>
      </w:r>
      <w:r w:rsidRPr="00CA0441">
        <w:rPr>
          <w:rFonts w:cs="Times New Roman"/>
          <w:i/>
          <w:iCs/>
          <w:szCs w:val="20"/>
          <w:lang w:val="es-ES"/>
        </w:rPr>
        <w:t xml:space="preserve">Boletín Fármacos: </w:t>
      </w:r>
      <w:r>
        <w:rPr>
          <w:rFonts w:eastAsia="Times New Roman" w:cs="Times New Roman"/>
          <w:bCs/>
          <w:i/>
          <w:iCs/>
          <w:color w:val="000000" w:themeColor="text1"/>
          <w:szCs w:val="16"/>
          <w:lang w:val="es-ES"/>
        </w:rPr>
        <w:t>Age</w:t>
      </w:r>
      <w:r w:rsidRPr="00A21F37">
        <w:rPr>
          <w:rFonts w:eastAsia="Times New Roman" w:cs="Times New Roman"/>
          <w:bCs/>
          <w:i/>
          <w:iCs/>
          <w:color w:val="000000" w:themeColor="text1"/>
          <w:szCs w:val="16"/>
          <w:lang w:val="es-ES"/>
        </w:rPr>
        <w:t>ncia</w:t>
      </w:r>
      <w:r>
        <w:rPr>
          <w:rFonts w:eastAsia="Times New Roman" w:cs="Times New Roman"/>
          <w:bCs/>
          <w:i/>
          <w:iCs/>
          <w:color w:val="000000" w:themeColor="text1"/>
          <w:szCs w:val="16"/>
          <w:lang w:val="es-ES"/>
        </w:rPr>
        <w:t>s Reguladoras</w:t>
      </w:r>
      <w:r w:rsidRPr="00A21F37">
        <w:rPr>
          <w:rFonts w:eastAsia="Times New Roman" w:cs="Times New Roman"/>
          <w:bCs/>
          <w:i/>
          <w:iCs/>
          <w:color w:val="000000" w:themeColor="text1"/>
          <w:szCs w:val="16"/>
          <w:lang w:val="es-ES"/>
        </w:rPr>
        <w:t xml:space="preserve"> 2026; 29(</w:t>
      </w:r>
      <w:r>
        <w:rPr>
          <w:rFonts w:eastAsia="Times New Roman" w:cs="Times New Roman"/>
          <w:bCs/>
          <w:i/>
          <w:iCs/>
          <w:color w:val="000000" w:themeColor="text1"/>
          <w:szCs w:val="16"/>
          <w:lang w:val="es-ES"/>
        </w:rPr>
        <w:t>3</w:t>
      </w:r>
      <w:r w:rsidRPr="00A21F37">
        <w:rPr>
          <w:rFonts w:eastAsia="Times New Roman" w:cs="Times New Roman"/>
          <w:bCs/>
          <w:i/>
          <w:iCs/>
          <w:color w:val="000000" w:themeColor="text1"/>
          <w:szCs w:val="16"/>
          <w:lang w:val="es-ES"/>
        </w:rPr>
        <w:t>)</w:t>
      </w:r>
    </w:p>
    <w:p w14:paraId="6510BE8C" w14:textId="77777777" w:rsidR="008B7435" w:rsidRPr="00CA0441" w:rsidRDefault="008B7435" w:rsidP="008B7435">
      <w:pPr>
        <w:rPr>
          <w:rFonts w:eastAsia="Times New Roman" w:cs="Times New Roman"/>
          <w:szCs w:val="20"/>
          <w:lang w:val="es-ES"/>
        </w:rPr>
      </w:pPr>
    </w:p>
    <w:p w14:paraId="06370104" w14:textId="77777777" w:rsidR="00421B71" w:rsidRDefault="00421B71" w:rsidP="008B7435">
      <w:pPr>
        <w:spacing w:after="225"/>
        <w:contextualSpacing/>
        <w:outlineLvl w:val="0"/>
        <w:rPr>
          <w:rFonts w:eastAsia="Times New Roman" w:cs="Times New Roman"/>
          <w:b/>
          <w:bCs/>
          <w:sz w:val="18"/>
          <w:szCs w:val="18"/>
          <w:lang w:val="es-ES"/>
        </w:rPr>
        <w:sectPr w:rsidR="00421B71" w:rsidSect="00F25512">
          <w:type w:val="continuous"/>
          <w:pgSz w:w="12240" w:h="15840" w:code="1"/>
          <w:pgMar w:top="720" w:right="720" w:bottom="720" w:left="720" w:header="288" w:footer="288" w:gutter="0"/>
          <w:cols w:space="288"/>
          <w:docGrid w:linePitch="360"/>
        </w:sectPr>
      </w:pPr>
    </w:p>
    <w:p w14:paraId="4E6AFBE4" w14:textId="74D40E56" w:rsidR="008B7435" w:rsidRDefault="008B7435" w:rsidP="008B7435">
      <w:pPr>
        <w:spacing w:after="225"/>
        <w:contextualSpacing/>
        <w:outlineLvl w:val="0"/>
        <w:rPr>
          <w:rFonts w:eastAsia="Times New Roman" w:cs="Times New Roman"/>
          <w:b/>
          <w:bCs/>
          <w:sz w:val="18"/>
          <w:szCs w:val="18"/>
          <w:lang w:val="es-ES"/>
        </w:rPr>
      </w:pPr>
      <w:r w:rsidRPr="00CA0441">
        <w:rPr>
          <w:rFonts w:eastAsia="Times New Roman" w:cs="Times New Roman"/>
          <w:b/>
          <w:bCs/>
          <w:sz w:val="18"/>
          <w:szCs w:val="18"/>
          <w:lang w:val="es-ES"/>
        </w:rPr>
        <w:t>Tags:</w:t>
      </w:r>
      <w:r>
        <w:rPr>
          <w:rFonts w:eastAsia="Times New Roman" w:cs="Times New Roman"/>
          <w:b/>
          <w:bCs/>
          <w:sz w:val="18"/>
          <w:szCs w:val="18"/>
          <w:lang w:val="es-ES"/>
        </w:rPr>
        <w:t xml:space="preserve"> </w:t>
      </w:r>
      <w:r w:rsidRPr="002903F7">
        <w:rPr>
          <w:rFonts w:eastAsia="Times New Roman" w:cs="Times New Roman"/>
          <w:b/>
          <w:bCs/>
          <w:color w:val="0D0D0D" w:themeColor="text1" w:themeTint="F2"/>
          <w:sz w:val="18"/>
          <w:szCs w:val="18"/>
        </w:rPr>
        <w:t>calidad de fármacos, acceso a genéricos, supervisión de medicamentos genéricos, calidad de genéricos</w:t>
      </w:r>
    </w:p>
    <w:p w14:paraId="794E3D68" w14:textId="77777777" w:rsidR="008B7435" w:rsidRDefault="008B7435" w:rsidP="008B7435">
      <w:pPr>
        <w:spacing w:after="225"/>
        <w:contextualSpacing/>
        <w:outlineLvl w:val="0"/>
        <w:rPr>
          <w:rFonts w:eastAsia="Times New Roman" w:cs="Times New Roman"/>
          <w:b/>
          <w:bCs/>
          <w:sz w:val="18"/>
          <w:szCs w:val="18"/>
          <w:lang w:val="es-ES"/>
        </w:rPr>
      </w:pPr>
    </w:p>
    <w:p w14:paraId="4996A7FB" w14:textId="77777777" w:rsidR="008B7435" w:rsidRDefault="008B7435" w:rsidP="008B7435">
      <w:pPr>
        <w:spacing w:after="225"/>
        <w:contextualSpacing/>
        <w:outlineLvl w:val="0"/>
        <w:rPr>
          <w:rFonts w:eastAsia="Times New Roman" w:cs="Times New Roman"/>
          <w:color w:val="0D0D0D" w:themeColor="text1" w:themeTint="F2"/>
          <w:szCs w:val="20"/>
        </w:rPr>
      </w:pPr>
      <w:r w:rsidRPr="00407236">
        <w:rPr>
          <w:rFonts w:eastAsia="Times New Roman" w:cs="Times New Roman"/>
          <w:color w:val="0D0D0D" w:themeColor="text1" w:themeTint="F2"/>
          <w:szCs w:val="20"/>
        </w:rPr>
        <w:t xml:space="preserve">Hace veinte años </w:t>
      </w:r>
      <w:r>
        <w:rPr>
          <w:rFonts w:eastAsia="Times New Roman" w:cs="Times New Roman"/>
          <w:color w:val="0D0D0D" w:themeColor="text1" w:themeTint="F2"/>
          <w:szCs w:val="20"/>
        </w:rPr>
        <w:t xml:space="preserve">no se sabía si los </w:t>
      </w:r>
      <w:r w:rsidRPr="00407236">
        <w:rPr>
          <w:rFonts w:eastAsia="Times New Roman" w:cs="Times New Roman"/>
          <w:color w:val="0D0D0D" w:themeColor="text1" w:themeTint="F2"/>
          <w:szCs w:val="20"/>
        </w:rPr>
        <w:t>productos farmacéuticos complejos como péptidos, inhaladores y otras terapias sofisticadas de las que dependen millones de estadounidenses</w:t>
      </w:r>
      <w:r>
        <w:rPr>
          <w:rFonts w:eastAsia="Times New Roman" w:cs="Times New Roman"/>
          <w:color w:val="0D0D0D" w:themeColor="text1" w:themeTint="F2"/>
          <w:szCs w:val="20"/>
        </w:rPr>
        <w:t xml:space="preserve"> enfrentarían la competencia de los medicamentos genéricos en </w:t>
      </w:r>
      <w:r w:rsidRPr="00407236">
        <w:rPr>
          <w:rFonts w:eastAsia="Times New Roman" w:cs="Times New Roman"/>
          <w:color w:val="0D0D0D" w:themeColor="text1" w:themeTint="F2"/>
          <w:szCs w:val="20"/>
        </w:rPr>
        <w:t>E</w:t>
      </w:r>
      <w:r>
        <w:rPr>
          <w:rFonts w:eastAsia="Times New Roman" w:cs="Times New Roman"/>
          <w:color w:val="0D0D0D" w:themeColor="text1" w:themeTint="F2"/>
          <w:szCs w:val="20"/>
        </w:rPr>
        <w:t>E</w:t>
      </w:r>
      <w:r w:rsidRPr="00407236">
        <w:rPr>
          <w:rFonts w:eastAsia="Times New Roman" w:cs="Times New Roman"/>
          <w:color w:val="0D0D0D" w:themeColor="text1" w:themeTint="F2"/>
          <w:szCs w:val="20"/>
        </w:rPr>
        <w:t xml:space="preserve"> U</w:t>
      </w:r>
      <w:r>
        <w:rPr>
          <w:rFonts w:eastAsia="Times New Roman" w:cs="Times New Roman"/>
          <w:color w:val="0D0D0D" w:themeColor="text1" w:themeTint="F2"/>
          <w:szCs w:val="20"/>
        </w:rPr>
        <w:t>U</w:t>
      </w:r>
      <w:r w:rsidRPr="00407236">
        <w:rPr>
          <w:rFonts w:eastAsia="Times New Roman" w:cs="Times New Roman"/>
          <w:color w:val="0D0D0D" w:themeColor="text1" w:themeTint="F2"/>
          <w:szCs w:val="20"/>
        </w:rPr>
        <w:t xml:space="preserve">. El año pasado, el programa de medicamentos genéricos de la FDA aprobó las primeras versiones genéricas de </w:t>
      </w:r>
      <w:r>
        <w:rPr>
          <w:rFonts w:eastAsia="Times New Roman" w:cs="Times New Roman"/>
          <w:color w:val="0D0D0D" w:themeColor="text1" w:themeTint="F2"/>
          <w:szCs w:val="20"/>
        </w:rPr>
        <w:t>inhaladores</w:t>
      </w:r>
      <w:r w:rsidRPr="00407236">
        <w:rPr>
          <w:rFonts w:eastAsia="Times New Roman" w:cs="Times New Roman"/>
          <w:color w:val="0D0D0D" w:themeColor="text1" w:themeTint="F2"/>
          <w:szCs w:val="20"/>
        </w:rPr>
        <w:t xml:space="preserve"> complejos (</w:t>
      </w:r>
      <w:proofErr w:type="spellStart"/>
      <w:r w:rsidRPr="00407236">
        <w:rPr>
          <w:rFonts w:eastAsia="Times New Roman" w:cs="Times New Roman"/>
          <w:color w:val="0D0D0D" w:themeColor="text1" w:themeTint="F2"/>
          <w:szCs w:val="20"/>
        </w:rPr>
        <w:t>Flovent</w:t>
      </w:r>
      <w:proofErr w:type="spellEnd"/>
      <w:r w:rsidRPr="00407236">
        <w:rPr>
          <w:rFonts w:eastAsia="Times New Roman" w:cs="Times New Roman"/>
          <w:color w:val="0D0D0D" w:themeColor="text1" w:themeTint="F2"/>
          <w:szCs w:val="20"/>
        </w:rPr>
        <w:t xml:space="preserve">, QVAR) y un agonista del receptor del péptido similar al glucagón tipo 1 (GLP-1) (Saxenda). Estos logros </w:t>
      </w:r>
      <w:r>
        <w:rPr>
          <w:rFonts w:eastAsia="Times New Roman" w:cs="Times New Roman"/>
          <w:color w:val="0D0D0D" w:themeColor="text1" w:themeTint="F2"/>
          <w:szCs w:val="20"/>
        </w:rPr>
        <w:t>se deben</w:t>
      </w:r>
      <w:r w:rsidRPr="00407236">
        <w:rPr>
          <w:rFonts w:eastAsia="Times New Roman" w:cs="Times New Roman"/>
          <w:color w:val="0D0D0D" w:themeColor="text1" w:themeTint="F2"/>
          <w:szCs w:val="20"/>
        </w:rPr>
        <w:t xml:space="preserve"> a </w:t>
      </w:r>
      <w:r>
        <w:rPr>
          <w:rFonts w:eastAsia="Times New Roman" w:cs="Times New Roman"/>
          <w:color w:val="0D0D0D" w:themeColor="text1" w:themeTint="F2"/>
          <w:szCs w:val="20"/>
        </w:rPr>
        <w:t xml:space="preserve">que la FDA pone </w:t>
      </w:r>
      <w:proofErr w:type="spellStart"/>
      <w:r>
        <w:rPr>
          <w:rFonts w:eastAsia="Times New Roman" w:cs="Times New Roman"/>
          <w:color w:val="0D0D0D" w:themeColor="text1" w:themeTint="F2"/>
          <w:szCs w:val="20"/>
        </w:rPr>
        <w:t>énfsis</w:t>
      </w:r>
      <w:proofErr w:type="spellEnd"/>
      <w:r>
        <w:rPr>
          <w:rFonts w:eastAsia="Times New Roman" w:cs="Times New Roman"/>
          <w:color w:val="0D0D0D" w:themeColor="text1" w:themeTint="F2"/>
          <w:szCs w:val="20"/>
        </w:rPr>
        <w:t xml:space="preserve"> en </w:t>
      </w:r>
      <w:r w:rsidRPr="00407236">
        <w:rPr>
          <w:rFonts w:eastAsia="Times New Roman" w:cs="Times New Roman"/>
          <w:color w:val="0D0D0D" w:themeColor="text1" w:themeTint="F2"/>
          <w:szCs w:val="20"/>
        </w:rPr>
        <w:t>la investigación científica y</w:t>
      </w:r>
      <w:r>
        <w:rPr>
          <w:rFonts w:eastAsia="Times New Roman" w:cs="Times New Roman"/>
          <w:color w:val="0D0D0D" w:themeColor="text1" w:themeTint="F2"/>
          <w:szCs w:val="20"/>
        </w:rPr>
        <w:t xml:space="preserve"> en </w:t>
      </w:r>
      <w:r w:rsidRPr="00407236">
        <w:rPr>
          <w:rFonts w:eastAsia="Times New Roman" w:cs="Times New Roman"/>
          <w:color w:val="0D0D0D" w:themeColor="text1" w:themeTint="F2"/>
          <w:szCs w:val="20"/>
        </w:rPr>
        <w:t xml:space="preserve">la innovación regulatoria. </w:t>
      </w:r>
    </w:p>
    <w:p w14:paraId="33B722EC" w14:textId="77777777" w:rsidR="008B7435" w:rsidRDefault="008B7435" w:rsidP="008B7435">
      <w:pPr>
        <w:spacing w:after="225"/>
        <w:contextualSpacing/>
        <w:outlineLvl w:val="0"/>
        <w:rPr>
          <w:rFonts w:eastAsia="Times New Roman" w:cs="Times New Roman"/>
          <w:color w:val="0D0D0D" w:themeColor="text1" w:themeTint="F2"/>
          <w:szCs w:val="20"/>
        </w:rPr>
      </w:pPr>
    </w:p>
    <w:p w14:paraId="13C3904D" w14:textId="5643414F" w:rsidR="008B7435" w:rsidRPr="00407236" w:rsidRDefault="00EA71DA" w:rsidP="008B7435">
      <w:pPr>
        <w:spacing w:after="225"/>
        <w:contextualSpacing/>
        <w:outlineLvl w:val="0"/>
        <w:rPr>
          <w:rFonts w:eastAsia="Times New Roman" w:cs="Times New Roman"/>
          <w:color w:val="EE0000"/>
          <w:szCs w:val="20"/>
        </w:rPr>
      </w:pPr>
      <w:r>
        <w:rPr>
          <w:rFonts w:eastAsia="Times New Roman" w:cs="Times New Roman"/>
          <w:color w:val="0D0D0D" w:themeColor="text1" w:themeTint="F2"/>
          <w:szCs w:val="20"/>
        </w:rPr>
        <w:t>La</w:t>
      </w:r>
      <w:r w:rsidR="008B7435" w:rsidRPr="00407236">
        <w:rPr>
          <w:rFonts w:eastAsia="Times New Roman" w:cs="Times New Roman"/>
          <w:color w:val="0D0D0D" w:themeColor="text1" w:themeTint="F2"/>
          <w:szCs w:val="20"/>
        </w:rPr>
        <w:t xml:space="preserve"> </w:t>
      </w:r>
      <w:r w:rsidR="008B7435">
        <w:rPr>
          <w:rFonts w:eastAsia="Times New Roman" w:cs="Times New Roman"/>
          <w:color w:val="0D0D0D" w:themeColor="text1" w:themeTint="F2"/>
          <w:szCs w:val="20"/>
        </w:rPr>
        <w:t>tendencia se mantiene</w:t>
      </w:r>
      <w:r w:rsidR="008B7435" w:rsidRPr="00407236">
        <w:rPr>
          <w:rFonts w:eastAsia="Times New Roman" w:cs="Times New Roman"/>
          <w:color w:val="0D0D0D" w:themeColor="text1" w:themeTint="F2"/>
          <w:szCs w:val="20"/>
        </w:rPr>
        <w:t>: el 21 de mayo de 2026, la FDA actualizó varias</w:t>
      </w:r>
      <w:r w:rsidR="008B7435">
        <w:rPr>
          <w:rFonts w:eastAsia="Times New Roman" w:cs="Times New Roman"/>
          <w:color w:val="0D0D0D" w:themeColor="text1" w:themeTint="F2"/>
          <w:szCs w:val="20"/>
        </w:rPr>
        <w:t xml:space="preserve"> </w:t>
      </w:r>
      <w:hyperlink r:id="rId106" w:history="1">
        <w:r w:rsidR="008B7435" w:rsidRPr="00407236">
          <w:rPr>
            <w:rStyle w:val="Hipervnculo"/>
            <w:rFonts w:eastAsia="Times New Roman" w:cs="Times New Roman"/>
            <w:szCs w:val="20"/>
          </w:rPr>
          <w:t>guías específicas de productos</w:t>
        </w:r>
      </w:hyperlink>
      <w:r w:rsidR="008B7435">
        <w:rPr>
          <w:rFonts w:eastAsia="Times New Roman" w:cs="Times New Roman"/>
          <w:color w:val="EE0000"/>
          <w:szCs w:val="20"/>
        </w:rPr>
        <w:t xml:space="preserve"> </w:t>
      </w:r>
      <w:r w:rsidR="008B7435" w:rsidRPr="00894D59">
        <w:rPr>
          <w:rFonts w:eastAsia="Times New Roman" w:cs="Times New Roman"/>
          <w:color w:val="0D0D0D" w:themeColor="text1" w:themeTint="F2"/>
          <w:szCs w:val="20"/>
        </w:rPr>
        <w:t xml:space="preserve">[1] </w:t>
      </w:r>
      <w:r w:rsidR="008B7435" w:rsidRPr="00407236">
        <w:rPr>
          <w:rFonts w:eastAsia="Times New Roman" w:cs="Times New Roman"/>
          <w:color w:val="0D0D0D" w:themeColor="text1" w:themeTint="F2"/>
          <w:szCs w:val="20"/>
        </w:rPr>
        <w:t>para reducir los costosos y prolongados estudios clínicos</w:t>
      </w:r>
      <w:r w:rsidR="008B7435">
        <w:rPr>
          <w:rFonts w:eastAsia="Times New Roman" w:cs="Times New Roman"/>
          <w:color w:val="0D0D0D" w:themeColor="text1" w:themeTint="F2"/>
          <w:szCs w:val="20"/>
        </w:rPr>
        <w:t xml:space="preserve"> que se requieren </w:t>
      </w:r>
      <w:r w:rsidR="008B7435">
        <w:rPr>
          <w:rFonts w:eastAsia="Times New Roman" w:cs="Times New Roman"/>
          <w:color w:val="0D0D0D" w:themeColor="text1" w:themeTint="F2"/>
          <w:szCs w:val="20"/>
        </w:rPr>
        <w:t>para la aprobación de</w:t>
      </w:r>
      <w:r w:rsidR="008B7435" w:rsidRPr="00407236">
        <w:rPr>
          <w:rFonts w:eastAsia="Times New Roman" w:cs="Times New Roman"/>
          <w:color w:val="0D0D0D" w:themeColor="text1" w:themeTint="F2"/>
          <w:szCs w:val="20"/>
        </w:rPr>
        <w:t xml:space="preserve"> </w:t>
      </w:r>
      <w:r w:rsidR="008B7435">
        <w:rPr>
          <w:rFonts w:eastAsia="Times New Roman" w:cs="Times New Roman"/>
          <w:color w:val="0D0D0D" w:themeColor="text1" w:themeTint="F2"/>
          <w:szCs w:val="20"/>
        </w:rPr>
        <w:t xml:space="preserve">inhaladores </w:t>
      </w:r>
      <w:r w:rsidR="008B7435" w:rsidRPr="00407236">
        <w:rPr>
          <w:rFonts w:eastAsia="Times New Roman" w:cs="Times New Roman"/>
          <w:color w:val="0D0D0D" w:themeColor="text1" w:themeTint="F2"/>
          <w:szCs w:val="20"/>
        </w:rPr>
        <w:t xml:space="preserve">genéricos, lo que podría </w:t>
      </w:r>
      <w:r w:rsidR="008B7435">
        <w:rPr>
          <w:rFonts w:eastAsia="Times New Roman" w:cs="Times New Roman"/>
          <w:color w:val="0D0D0D" w:themeColor="text1" w:themeTint="F2"/>
          <w:szCs w:val="20"/>
        </w:rPr>
        <w:t>poner a disposición de los pacientes</w:t>
      </w:r>
      <w:r w:rsidR="008B7435" w:rsidRPr="00407236">
        <w:rPr>
          <w:rFonts w:eastAsia="Times New Roman" w:cs="Times New Roman"/>
          <w:color w:val="0D0D0D" w:themeColor="text1" w:themeTint="F2"/>
          <w:szCs w:val="20"/>
        </w:rPr>
        <w:t xml:space="preserve"> opciones más asequibles con mayor rapidez. La agencia sigue priorizando la rapidez y la eficiencia con la que se regulan los medicamentos genéricos, al tiempo qu</w:t>
      </w:r>
      <w:r w:rsidR="008B7435">
        <w:rPr>
          <w:rFonts w:eastAsia="Times New Roman" w:cs="Times New Roman"/>
          <w:color w:val="0D0D0D" w:themeColor="text1" w:themeTint="F2"/>
          <w:szCs w:val="20"/>
        </w:rPr>
        <w:t>e</w:t>
      </w:r>
      <w:r w:rsidR="008B7435" w:rsidRPr="00407236">
        <w:rPr>
          <w:rFonts w:eastAsia="Times New Roman" w:cs="Times New Roman"/>
          <w:color w:val="0D0D0D" w:themeColor="text1" w:themeTint="F2"/>
          <w:szCs w:val="20"/>
        </w:rPr>
        <w:t xml:space="preserve"> </w:t>
      </w:r>
      <w:r w:rsidR="008B7435">
        <w:rPr>
          <w:rFonts w:eastAsia="Times New Roman" w:cs="Times New Roman"/>
          <w:color w:val="0D0D0D" w:themeColor="text1" w:themeTint="F2"/>
          <w:szCs w:val="20"/>
        </w:rPr>
        <w:t>trata de encontrar el equilibrio entre</w:t>
      </w:r>
      <w:r w:rsidR="008B7435" w:rsidRPr="00407236">
        <w:rPr>
          <w:rFonts w:eastAsia="Times New Roman" w:cs="Times New Roman"/>
          <w:color w:val="0D0D0D" w:themeColor="text1" w:themeTint="F2"/>
          <w:szCs w:val="20"/>
        </w:rPr>
        <w:t xml:space="preserve"> la necesidad de minimizar el riesgo y garantizar el acceso a medicamentos de calidad.</w:t>
      </w:r>
    </w:p>
    <w:p w14:paraId="5083A846" w14:textId="77777777" w:rsidR="008B7435" w:rsidRPr="00407236" w:rsidRDefault="008B7435" w:rsidP="008B7435">
      <w:pPr>
        <w:spacing w:after="225"/>
        <w:contextualSpacing/>
        <w:outlineLvl w:val="0"/>
        <w:rPr>
          <w:rFonts w:eastAsia="Times New Roman" w:cs="Times New Roman"/>
          <w:color w:val="EE0000"/>
          <w:szCs w:val="20"/>
        </w:rPr>
      </w:pPr>
    </w:p>
    <w:p w14:paraId="65DB5826" w14:textId="77777777" w:rsidR="008B7435" w:rsidRDefault="008B7435" w:rsidP="008B7435">
      <w:pPr>
        <w:spacing w:after="225"/>
        <w:contextualSpacing/>
        <w:outlineLvl w:val="0"/>
        <w:rPr>
          <w:rFonts w:eastAsia="Times New Roman" w:cs="Times New Roman"/>
          <w:color w:val="0D0D0D" w:themeColor="text1" w:themeTint="F2"/>
          <w:szCs w:val="20"/>
        </w:rPr>
      </w:pPr>
      <w:r w:rsidRPr="004A02D7">
        <w:rPr>
          <w:rFonts w:eastAsia="Times New Roman" w:cs="Times New Roman"/>
          <w:color w:val="0D0D0D" w:themeColor="text1" w:themeTint="F2"/>
          <w:szCs w:val="20"/>
        </w:rPr>
        <w:t xml:space="preserve">Los medicamentos genéricos son </w:t>
      </w:r>
      <w:r>
        <w:rPr>
          <w:rFonts w:eastAsia="Times New Roman" w:cs="Times New Roman"/>
          <w:color w:val="0D0D0D" w:themeColor="text1" w:themeTint="F2"/>
          <w:szCs w:val="20"/>
        </w:rPr>
        <w:t>la clave</w:t>
      </w:r>
      <w:r w:rsidRPr="004A02D7">
        <w:rPr>
          <w:rFonts w:eastAsia="Times New Roman" w:cs="Times New Roman"/>
          <w:color w:val="0D0D0D" w:themeColor="text1" w:themeTint="F2"/>
          <w:szCs w:val="20"/>
        </w:rPr>
        <w:t xml:space="preserve"> para reducir los costos para los pacientes estadounidenses, y representan más del 90% de las recetas dispensadas en E</w:t>
      </w:r>
      <w:r>
        <w:rPr>
          <w:rFonts w:eastAsia="Times New Roman" w:cs="Times New Roman"/>
          <w:color w:val="0D0D0D" w:themeColor="text1" w:themeTint="F2"/>
          <w:szCs w:val="20"/>
        </w:rPr>
        <w:t>E</w:t>
      </w:r>
      <w:r w:rsidRPr="004A02D7">
        <w:rPr>
          <w:rFonts w:eastAsia="Times New Roman" w:cs="Times New Roman"/>
          <w:color w:val="0D0D0D" w:themeColor="text1" w:themeTint="F2"/>
          <w:szCs w:val="20"/>
        </w:rPr>
        <w:t xml:space="preserve"> U</w:t>
      </w:r>
      <w:r>
        <w:rPr>
          <w:rFonts w:eastAsia="Times New Roman" w:cs="Times New Roman"/>
          <w:color w:val="0D0D0D" w:themeColor="text1" w:themeTint="F2"/>
          <w:szCs w:val="20"/>
        </w:rPr>
        <w:t>U</w:t>
      </w:r>
      <w:r w:rsidRPr="004A02D7">
        <w:rPr>
          <w:rFonts w:eastAsia="Times New Roman" w:cs="Times New Roman"/>
          <w:color w:val="0D0D0D" w:themeColor="text1" w:themeTint="F2"/>
          <w:szCs w:val="20"/>
        </w:rPr>
        <w:t xml:space="preserve">, pero menos del 13% del costo total de los medicamentos recetados. En la última década, el ahorro derivado de los medicamentos genéricos ha superado los </w:t>
      </w:r>
      <w:r>
        <w:rPr>
          <w:rFonts w:eastAsia="Times New Roman" w:cs="Times New Roman"/>
          <w:color w:val="0D0D0D" w:themeColor="text1" w:themeTint="F2"/>
          <w:szCs w:val="20"/>
        </w:rPr>
        <w:t>US$</w:t>
      </w:r>
      <w:r w:rsidRPr="004A02D7">
        <w:rPr>
          <w:rFonts w:eastAsia="Times New Roman" w:cs="Times New Roman"/>
          <w:color w:val="0D0D0D" w:themeColor="text1" w:themeTint="F2"/>
          <w:szCs w:val="20"/>
        </w:rPr>
        <w:t xml:space="preserve">3 billones. Estas cifras reflejan </w:t>
      </w:r>
      <w:r>
        <w:rPr>
          <w:rFonts w:eastAsia="Times New Roman" w:cs="Times New Roman"/>
          <w:color w:val="0D0D0D" w:themeColor="text1" w:themeTint="F2"/>
          <w:szCs w:val="20"/>
        </w:rPr>
        <w:t xml:space="preserve">que los medicamentos genéricos son muy importantes para el acceso a </w:t>
      </w:r>
      <w:r w:rsidRPr="004A02D7">
        <w:rPr>
          <w:rFonts w:eastAsia="Times New Roman" w:cs="Times New Roman"/>
          <w:color w:val="0D0D0D" w:themeColor="text1" w:themeTint="F2"/>
          <w:szCs w:val="20"/>
        </w:rPr>
        <w:t xml:space="preserve">medicamentos que salvan vidas, así </w:t>
      </w:r>
      <w:r>
        <w:rPr>
          <w:rFonts w:eastAsia="Times New Roman" w:cs="Times New Roman"/>
          <w:color w:val="0D0D0D" w:themeColor="text1" w:themeTint="F2"/>
          <w:szCs w:val="20"/>
        </w:rPr>
        <w:t>conllevan una menos</w:t>
      </w:r>
      <w:r w:rsidRPr="004A02D7">
        <w:rPr>
          <w:rFonts w:eastAsia="Times New Roman" w:cs="Times New Roman"/>
          <w:color w:val="0D0D0D" w:themeColor="text1" w:themeTint="F2"/>
          <w:szCs w:val="20"/>
        </w:rPr>
        <w:t xml:space="preserve"> carga financiera para </w:t>
      </w:r>
      <w:r w:rsidRPr="004A02D7">
        <w:rPr>
          <w:rFonts w:eastAsia="Times New Roman" w:cs="Times New Roman"/>
          <w:color w:val="0D0D0D" w:themeColor="text1" w:themeTint="F2"/>
          <w:szCs w:val="20"/>
        </w:rPr>
        <w:lastRenderedPageBreak/>
        <w:t>las familias, lo que puede mejorar la adherencia al tratamiento y los resultados de salud.</w:t>
      </w:r>
    </w:p>
    <w:p w14:paraId="2AD19807" w14:textId="77777777" w:rsidR="008B7435" w:rsidRDefault="008B7435" w:rsidP="008B7435">
      <w:pPr>
        <w:spacing w:after="225"/>
        <w:contextualSpacing/>
        <w:outlineLvl w:val="0"/>
        <w:rPr>
          <w:rFonts w:eastAsia="Times New Roman" w:cs="Times New Roman"/>
          <w:color w:val="0D0D0D" w:themeColor="text1" w:themeTint="F2"/>
          <w:szCs w:val="20"/>
        </w:rPr>
      </w:pPr>
    </w:p>
    <w:p w14:paraId="45C1FF70" w14:textId="77777777" w:rsidR="008B7435" w:rsidRPr="004A02D7" w:rsidRDefault="008B7435" w:rsidP="008B7435">
      <w:pPr>
        <w:spacing w:after="225"/>
        <w:contextualSpacing/>
        <w:outlineLvl w:val="0"/>
        <w:rPr>
          <w:rFonts w:eastAsia="Times New Roman" w:cs="Times New Roman"/>
          <w:color w:val="0D0D0D" w:themeColor="text1" w:themeTint="F2"/>
          <w:szCs w:val="20"/>
        </w:rPr>
      </w:pPr>
      <w:r w:rsidRPr="004A02D7">
        <w:rPr>
          <w:rFonts w:eastAsia="Times New Roman" w:cs="Times New Roman"/>
          <w:color w:val="0D0D0D" w:themeColor="text1" w:themeTint="F2"/>
          <w:szCs w:val="20"/>
        </w:rPr>
        <w:t xml:space="preserve">La FDA reconoce que las anécdotas y las inquietudes </w:t>
      </w:r>
      <w:r>
        <w:rPr>
          <w:rFonts w:eastAsia="Times New Roman" w:cs="Times New Roman"/>
          <w:color w:val="0D0D0D" w:themeColor="text1" w:themeTint="F2"/>
          <w:szCs w:val="20"/>
        </w:rPr>
        <w:t>de la gente</w:t>
      </w:r>
      <w:r w:rsidRPr="004A02D7">
        <w:rPr>
          <w:rFonts w:eastAsia="Times New Roman" w:cs="Times New Roman"/>
          <w:color w:val="0D0D0D" w:themeColor="text1" w:themeTint="F2"/>
          <w:szCs w:val="20"/>
        </w:rPr>
        <w:t xml:space="preserve"> sobre la calidad y la cadena de suministro de los medicamentos genéricos pueden </w:t>
      </w:r>
      <w:r>
        <w:rPr>
          <w:rFonts w:eastAsia="Times New Roman" w:cs="Times New Roman"/>
          <w:color w:val="0D0D0D" w:themeColor="text1" w:themeTint="F2"/>
          <w:szCs w:val="20"/>
        </w:rPr>
        <w:t>disminui</w:t>
      </w:r>
      <w:r w:rsidRPr="004A02D7">
        <w:rPr>
          <w:rFonts w:eastAsia="Times New Roman" w:cs="Times New Roman"/>
          <w:color w:val="0D0D0D" w:themeColor="text1" w:themeTint="F2"/>
          <w:szCs w:val="20"/>
        </w:rPr>
        <w:t>r la confianza en estos fármacos. Agradecemos el escrutinio público, que puede contribuir a perfeccionar nuestros procesos regulatorios y nuestros esfuerzos p</w:t>
      </w:r>
      <w:r>
        <w:rPr>
          <w:rFonts w:eastAsia="Times New Roman" w:cs="Times New Roman"/>
          <w:color w:val="0D0D0D" w:themeColor="text1" w:themeTint="F2"/>
          <w:szCs w:val="20"/>
        </w:rPr>
        <w:t>or</w:t>
      </w:r>
      <w:r w:rsidRPr="004A02D7">
        <w:rPr>
          <w:rFonts w:eastAsia="Times New Roman" w:cs="Times New Roman"/>
          <w:color w:val="0D0D0D" w:themeColor="text1" w:themeTint="F2"/>
          <w:szCs w:val="20"/>
        </w:rPr>
        <w:t xml:space="preserve"> fortalecer las cadenas de suministro de medicamentos en E</w:t>
      </w:r>
      <w:r>
        <w:rPr>
          <w:rFonts w:eastAsia="Times New Roman" w:cs="Times New Roman"/>
          <w:color w:val="0D0D0D" w:themeColor="text1" w:themeTint="F2"/>
          <w:szCs w:val="20"/>
        </w:rPr>
        <w:t>E</w:t>
      </w:r>
      <w:r w:rsidRPr="004A02D7">
        <w:rPr>
          <w:rFonts w:eastAsia="Times New Roman" w:cs="Times New Roman"/>
          <w:color w:val="0D0D0D" w:themeColor="text1" w:themeTint="F2"/>
          <w:szCs w:val="20"/>
        </w:rPr>
        <w:t xml:space="preserve"> U</w:t>
      </w:r>
      <w:r>
        <w:rPr>
          <w:rFonts w:eastAsia="Times New Roman" w:cs="Times New Roman"/>
          <w:color w:val="0D0D0D" w:themeColor="text1" w:themeTint="F2"/>
          <w:szCs w:val="20"/>
        </w:rPr>
        <w:t>U</w:t>
      </w:r>
      <w:r w:rsidRPr="004A02D7">
        <w:rPr>
          <w:rFonts w:eastAsia="Times New Roman" w:cs="Times New Roman"/>
          <w:color w:val="0D0D0D" w:themeColor="text1" w:themeTint="F2"/>
          <w:szCs w:val="20"/>
        </w:rPr>
        <w:t>, si bien reconocemos que estas anécdotas pueden omitir información importante, como la supervisión que la FDA ejerce sobre estos productos.</w:t>
      </w:r>
    </w:p>
    <w:p w14:paraId="3E713CAF" w14:textId="77777777" w:rsidR="008B7435" w:rsidRPr="004A02D7" w:rsidRDefault="008B7435" w:rsidP="008B7435">
      <w:pPr>
        <w:spacing w:after="225"/>
        <w:contextualSpacing/>
        <w:outlineLvl w:val="0"/>
        <w:rPr>
          <w:rFonts w:eastAsia="Times New Roman" w:cs="Times New Roman"/>
          <w:b/>
          <w:bCs/>
          <w:color w:val="EE0000"/>
          <w:szCs w:val="20"/>
        </w:rPr>
      </w:pPr>
    </w:p>
    <w:p w14:paraId="1931ECFA" w14:textId="77777777" w:rsidR="008B7435" w:rsidRPr="00620607" w:rsidRDefault="008B7435" w:rsidP="008B7435">
      <w:pPr>
        <w:spacing w:after="225"/>
        <w:contextualSpacing/>
        <w:outlineLvl w:val="0"/>
        <w:rPr>
          <w:rFonts w:eastAsia="Times New Roman" w:cs="Times New Roman"/>
          <w:b/>
          <w:bCs/>
          <w:color w:val="0D0D0D" w:themeColor="text1" w:themeTint="F2"/>
          <w:szCs w:val="20"/>
        </w:rPr>
      </w:pPr>
      <w:r w:rsidRPr="00620607">
        <w:rPr>
          <w:rFonts w:eastAsia="Times New Roman" w:cs="Times New Roman"/>
          <w:b/>
          <w:bCs/>
          <w:color w:val="0D0D0D" w:themeColor="text1" w:themeTint="F2"/>
          <w:szCs w:val="20"/>
        </w:rPr>
        <w:t>Fabricación de medicamentos genéricos</w:t>
      </w:r>
    </w:p>
    <w:p w14:paraId="7FB3A567" w14:textId="77777777" w:rsidR="00EA71DA" w:rsidRDefault="008B7435" w:rsidP="008B7435">
      <w:pPr>
        <w:spacing w:after="225"/>
        <w:contextualSpacing/>
        <w:outlineLvl w:val="0"/>
        <w:rPr>
          <w:rFonts w:eastAsia="Times New Roman" w:cs="Times New Roman"/>
          <w:color w:val="0D0D0D" w:themeColor="text1" w:themeTint="F2"/>
          <w:szCs w:val="20"/>
        </w:rPr>
      </w:pPr>
      <w:r w:rsidRPr="00620607">
        <w:rPr>
          <w:rFonts w:eastAsia="Times New Roman" w:cs="Times New Roman"/>
          <w:color w:val="0D0D0D" w:themeColor="text1" w:themeTint="F2"/>
          <w:szCs w:val="20"/>
        </w:rPr>
        <w:t xml:space="preserve">La fabricación de medicamentos es un proceso complejo, tanto en instalaciones nacionales como extranjeras. La supervisión </w:t>
      </w:r>
      <w:r>
        <w:rPr>
          <w:rFonts w:eastAsia="Times New Roman" w:cs="Times New Roman"/>
          <w:color w:val="0D0D0D" w:themeColor="text1" w:themeTint="F2"/>
          <w:szCs w:val="20"/>
        </w:rPr>
        <w:t>que hace</w:t>
      </w:r>
      <w:r w:rsidRPr="00620607">
        <w:rPr>
          <w:rFonts w:eastAsia="Times New Roman" w:cs="Times New Roman"/>
          <w:color w:val="0D0D0D" w:themeColor="text1" w:themeTint="F2"/>
          <w:szCs w:val="20"/>
        </w:rPr>
        <w:t xml:space="preserve"> la FDA </w:t>
      </w:r>
      <w:r>
        <w:rPr>
          <w:rFonts w:eastAsia="Times New Roman" w:cs="Times New Roman"/>
          <w:color w:val="0D0D0D" w:themeColor="text1" w:themeTint="F2"/>
          <w:szCs w:val="20"/>
        </w:rPr>
        <w:t>de</w:t>
      </w:r>
      <w:r w:rsidRPr="00620607">
        <w:rPr>
          <w:rFonts w:eastAsia="Times New Roman" w:cs="Times New Roman"/>
          <w:color w:val="0D0D0D" w:themeColor="text1" w:themeTint="F2"/>
          <w:szCs w:val="20"/>
        </w:rPr>
        <w:t xml:space="preserve"> la fabricación de medicamentos de marca y genéricos </w:t>
      </w:r>
      <w:r>
        <w:rPr>
          <w:rFonts w:eastAsia="Times New Roman" w:cs="Times New Roman"/>
          <w:color w:val="0D0D0D" w:themeColor="text1" w:themeTint="F2"/>
          <w:szCs w:val="20"/>
        </w:rPr>
        <w:t>utiliza una estrategia</w:t>
      </w:r>
      <w:r w:rsidRPr="00620607">
        <w:rPr>
          <w:rFonts w:eastAsia="Times New Roman" w:cs="Times New Roman"/>
          <w:color w:val="0D0D0D" w:themeColor="text1" w:themeTint="F2"/>
          <w:szCs w:val="20"/>
        </w:rPr>
        <w:t xml:space="preserve"> integral, basad</w:t>
      </w:r>
      <w:r>
        <w:rPr>
          <w:rFonts w:eastAsia="Times New Roman" w:cs="Times New Roman"/>
          <w:color w:val="0D0D0D" w:themeColor="text1" w:themeTint="F2"/>
          <w:szCs w:val="20"/>
        </w:rPr>
        <w:t>a</w:t>
      </w:r>
      <w:r w:rsidRPr="00620607">
        <w:rPr>
          <w:rFonts w:eastAsia="Times New Roman" w:cs="Times New Roman"/>
          <w:color w:val="0D0D0D" w:themeColor="text1" w:themeTint="F2"/>
          <w:szCs w:val="20"/>
        </w:rPr>
        <w:t xml:space="preserve"> en la ciencia y </w:t>
      </w:r>
      <w:r>
        <w:rPr>
          <w:rFonts w:eastAsia="Times New Roman" w:cs="Times New Roman"/>
          <w:color w:val="0D0D0D" w:themeColor="text1" w:themeTint="F2"/>
          <w:szCs w:val="20"/>
        </w:rPr>
        <w:t xml:space="preserve">en </w:t>
      </w:r>
      <w:r w:rsidRPr="00620607">
        <w:rPr>
          <w:rFonts w:eastAsia="Times New Roman" w:cs="Times New Roman"/>
          <w:color w:val="0D0D0D" w:themeColor="text1" w:themeTint="F2"/>
          <w:szCs w:val="20"/>
        </w:rPr>
        <w:t xml:space="preserve">la evaluación de riesgos, que comienza antes de la aprobación y continúa durante todo el ciclo de vida del medicamento. </w:t>
      </w:r>
    </w:p>
    <w:p w14:paraId="2C188DC9" w14:textId="77777777" w:rsidR="00EA71DA" w:rsidRDefault="00EA71DA" w:rsidP="008B7435">
      <w:pPr>
        <w:spacing w:after="225"/>
        <w:contextualSpacing/>
        <w:outlineLvl w:val="0"/>
        <w:rPr>
          <w:rFonts w:eastAsia="Times New Roman" w:cs="Times New Roman"/>
          <w:color w:val="0D0D0D" w:themeColor="text1" w:themeTint="F2"/>
          <w:szCs w:val="20"/>
        </w:rPr>
      </w:pPr>
    </w:p>
    <w:p w14:paraId="2B5CFFC6" w14:textId="29DD5BD4" w:rsidR="008B7435" w:rsidRPr="00620607" w:rsidRDefault="008B7435" w:rsidP="008B7435">
      <w:pPr>
        <w:spacing w:after="225"/>
        <w:contextualSpacing/>
        <w:outlineLvl w:val="0"/>
        <w:rPr>
          <w:rFonts w:eastAsia="Times New Roman" w:cs="Times New Roman"/>
          <w:color w:val="0D0D0D" w:themeColor="text1" w:themeTint="F2"/>
          <w:szCs w:val="20"/>
        </w:rPr>
      </w:pPr>
      <w:r w:rsidRPr="00620607">
        <w:rPr>
          <w:rFonts w:eastAsia="Times New Roman" w:cs="Times New Roman"/>
          <w:color w:val="0D0D0D" w:themeColor="text1" w:themeTint="F2"/>
          <w:szCs w:val="20"/>
        </w:rPr>
        <w:t xml:space="preserve">Para obtener </w:t>
      </w:r>
      <w:r>
        <w:rPr>
          <w:rFonts w:eastAsia="Times New Roman" w:cs="Times New Roman"/>
          <w:color w:val="0D0D0D" w:themeColor="text1" w:themeTint="F2"/>
          <w:szCs w:val="20"/>
        </w:rPr>
        <w:t xml:space="preserve">el permiso de </w:t>
      </w:r>
      <w:proofErr w:type="spellStart"/>
      <w:r>
        <w:rPr>
          <w:rFonts w:eastAsia="Times New Roman" w:cs="Times New Roman"/>
          <w:color w:val="0D0D0D" w:themeColor="text1" w:themeTint="F2"/>
          <w:szCs w:val="20"/>
        </w:rPr>
        <w:t>comercializacion</w:t>
      </w:r>
      <w:proofErr w:type="spellEnd"/>
      <w:r w:rsidRPr="00620607">
        <w:rPr>
          <w:rFonts w:eastAsia="Times New Roman" w:cs="Times New Roman"/>
          <w:color w:val="0D0D0D" w:themeColor="text1" w:themeTint="F2"/>
          <w:szCs w:val="20"/>
        </w:rPr>
        <w:t xml:space="preserve"> en EE UU, los medicamentos genéricos deben cumplir con los mismos estándares de calidad rigurosos que los medicamentos de marca, incluyendo la demostración de que se fabrican conforme a las buenas prácticas de </w:t>
      </w:r>
      <w:r>
        <w:rPr>
          <w:rFonts w:eastAsia="Times New Roman" w:cs="Times New Roman"/>
          <w:color w:val="0D0D0D" w:themeColor="text1" w:themeTint="F2"/>
          <w:szCs w:val="20"/>
        </w:rPr>
        <w:t>manufactura</w:t>
      </w:r>
      <w:r w:rsidRPr="00620607">
        <w:rPr>
          <w:rFonts w:eastAsia="Times New Roman" w:cs="Times New Roman"/>
          <w:color w:val="0D0D0D" w:themeColor="text1" w:themeTint="F2"/>
          <w:szCs w:val="20"/>
        </w:rPr>
        <w:t xml:space="preserve"> (CGMP</w:t>
      </w:r>
      <w:r>
        <w:rPr>
          <w:rFonts w:eastAsia="Times New Roman" w:cs="Times New Roman"/>
          <w:color w:val="0D0D0D" w:themeColor="text1" w:themeTint="F2"/>
          <w:szCs w:val="20"/>
        </w:rPr>
        <w:t xml:space="preserve"> o </w:t>
      </w:r>
      <w:proofErr w:type="spellStart"/>
      <w:r w:rsidRPr="00B91B84">
        <w:rPr>
          <w:rFonts w:eastAsia="Times New Roman" w:cs="Times New Roman"/>
          <w:i/>
          <w:iCs/>
          <w:color w:val="0D0D0D" w:themeColor="text1" w:themeTint="F2"/>
          <w:szCs w:val="20"/>
        </w:rPr>
        <w:t>current</w:t>
      </w:r>
      <w:proofErr w:type="spellEnd"/>
      <w:r w:rsidRPr="00B91B84">
        <w:rPr>
          <w:rFonts w:eastAsia="Times New Roman" w:cs="Times New Roman"/>
          <w:i/>
          <w:iCs/>
          <w:color w:val="0D0D0D" w:themeColor="text1" w:themeTint="F2"/>
          <w:szCs w:val="20"/>
        </w:rPr>
        <w:t xml:space="preserve"> </w:t>
      </w:r>
      <w:proofErr w:type="spellStart"/>
      <w:r w:rsidRPr="00B91B84">
        <w:rPr>
          <w:rFonts w:eastAsia="Times New Roman" w:cs="Times New Roman"/>
          <w:i/>
          <w:iCs/>
          <w:color w:val="0D0D0D" w:themeColor="text1" w:themeTint="F2"/>
          <w:szCs w:val="20"/>
        </w:rPr>
        <w:t>good</w:t>
      </w:r>
      <w:proofErr w:type="spellEnd"/>
      <w:r w:rsidRPr="00B91B84">
        <w:rPr>
          <w:rFonts w:eastAsia="Times New Roman" w:cs="Times New Roman"/>
          <w:i/>
          <w:iCs/>
          <w:color w:val="0D0D0D" w:themeColor="text1" w:themeTint="F2"/>
          <w:szCs w:val="20"/>
        </w:rPr>
        <w:t xml:space="preserve"> </w:t>
      </w:r>
      <w:proofErr w:type="spellStart"/>
      <w:r w:rsidRPr="00B91B84">
        <w:rPr>
          <w:rFonts w:eastAsia="Times New Roman" w:cs="Times New Roman"/>
          <w:i/>
          <w:iCs/>
          <w:color w:val="0D0D0D" w:themeColor="text1" w:themeTint="F2"/>
          <w:szCs w:val="20"/>
        </w:rPr>
        <w:t>manufacturing</w:t>
      </w:r>
      <w:proofErr w:type="spellEnd"/>
      <w:r w:rsidRPr="00B91B84">
        <w:rPr>
          <w:rFonts w:eastAsia="Times New Roman" w:cs="Times New Roman"/>
          <w:i/>
          <w:iCs/>
          <w:color w:val="0D0D0D" w:themeColor="text1" w:themeTint="F2"/>
          <w:szCs w:val="20"/>
        </w:rPr>
        <w:t xml:space="preserve"> </w:t>
      </w:r>
      <w:proofErr w:type="spellStart"/>
      <w:r w:rsidRPr="00B91B84">
        <w:rPr>
          <w:rFonts w:eastAsia="Times New Roman" w:cs="Times New Roman"/>
          <w:i/>
          <w:iCs/>
          <w:color w:val="0D0D0D" w:themeColor="text1" w:themeTint="F2"/>
          <w:szCs w:val="20"/>
        </w:rPr>
        <w:t>practice</w:t>
      </w:r>
      <w:proofErr w:type="spellEnd"/>
      <w:r w:rsidRPr="00620607">
        <w:rPr>
          <w:rFonts w:eastAsia="Times New Roman" w:cs="Times New Roman"/>
          <w:color w:val="0D0D0D" w:themeColor="text1" w:themeTint="F2"/>
          <w:szCs w:val="20"/>
        </w:rPr>
        <w:t xml:space="preserve">), independientemente de dónde se fabriquen. Por lo general, los fabricantes deben analizar </w:t>
      </w:r>
      <w:r>
        <w:rPr>
          <w:rFonts w:eastAsia="Times New Roman" w:cs="Times New Roman"/>
          <w:color w:val="0D0D0D" w:themeColor="text1" w:themeTint="F2"/>
          <w:szCs w:val="20"/>
        </w:rPr>
        <w:t>los</w:t>
      </w:r>
      <w:r w:rsidRPr="00620607">
        <w:rPr>
          <w:rFonts w:eastAsia="Times New Roman" w:cs="Times New Roman"/>
          <w:color w:val="0D0D0D" w:themeColor="text1" w:themeTint="F2"/>
          <w:szCs w:val="20"/>
        </w:rPr>
        <w:t xml:space="preserve"> lotes de </w:t>
      </w:r>
      <w:r>
        <w:rPr>
          <w:rFonts w:eastAsia="Times New Roman" w:cs="Times New Roman"/>
          <w:color w:val="0D0D0D" w:themeColor="text1" w:themeTint="F2"/>
          <w:szCs w:val="20"/>
        </w:rPr>
        <w:t xml:space="preserve">sus </w:t>
      </w:r>
      <w:r w:rsidRPr="00620607">
        <w:rPr>
          <w:rFonts w:eastAsia="Times New Roman" w:cs="Times New Roman"/>
          <w:color w:val="0D0D0D" w:themeColor="text1" w:themeTint="F2"/>
          <w:szCs w:val="20"/>
        </w:rPr>
        <w:t>medicamentos para garantizar que cumplan con las especificaciones aprobadas por la FDA antes de s</w:t>
      </w:r>
      <w:r>
        <w:rPr>
          <w:rFonts w:eastAsia="Times New Roman" w:cs="Times New Roman"/>
          <w:color w:val="0D0D0D" w:themeColor="text1" w:themeTint="F2"/>
          <w:szCs w:val="20"/>
        </w:rPr>
        <w:t>acarlos al mercado para uso de los pacientes</w:t>
      </w:r>
      <w:r w:rsidRPr="00620607">
        <w:rPr>
          <w:rFonts w:eastAsia="Times New Roman" w:cs="Times New Roman"/>
          <w:color w:val="0D0D0D" w:themeColor="text1" w:themeTint="F2"/>
          <w:szCs w:val="20"/>
        </w:rPr>
        <w:t>; sin embargo, garantizar la seguridad de los medicamentos depende de mecanismos de supervisión sólidos que van más allá d</w:t>
      </w:r>
      <w:r>
        <w:rPr>
          <w:rFonts w:eastAsia="Times New Roman" w:cs="Times New Roman"/>
          <w:color w:val="0D0D0D" w:themeColor="text1" w:themeTint="F2"/>
          <w:szCs w:val="20"/>
        </w:rPr>
        <w:t>e las pruebas que hace el mismo</w:t>
      </w:r>
      <w:r w:rsidRPr="00620607">
        <w:rPr>
          <w:rFonts w:eastAsia="Times New Roman" w:cs="Times New Roman"/>
          <w:color w:val="0D0D0D" w:themeColor="text1" w:themeTint="F2"/>
          <w:szCs w:val="20"/>
        </w:rPr>
        <w:t xml:space="preserve"> fabricante, incluyendo </w:t>
      </w:r>
      <w:r>
        <w:rPr>
          <w:rFonts w:eastAsia="Times New Roman" w:cs="Times New Roman"/>
          <w:color w:val="0D0D0D" w:themeColor="text1" w:themeTint="F2"/>
          <w:szCs w:val="20"/>
        </w:rPr>
        <w:t xml:space="preserve">las </w:t>
      </w:r>
      <w:r w:rsidRPr="00620607">
        <w:rPr>
          <w:rFonts w:eastAsia="Times New Roman" w:cs="Times New Roman"/>
          <w:color w:val="0D0D0D" w:themeColor="text1" w:themeTint="F2"/>
          <w:szCs w:val="20"/>
        </w:rPr>
        <w:t xml:space="preserve">inspecciones de la FDA y </w:t>
      </w:r>
      <w:r>
        <w:rPr>
          <w:rFonts w:eastAsia="Times New Roman" w:cs="Times New Roman"/>
          <w:color w:val="0D0D0D" w:themeColor="text1" w:themeTint="F2"/>
          <w:szCs w:val="20"/>
        </w:rPr>
        <w:t xml:space="preserve">la </w:t>
      </w:r>
      <w:r w:rsidRPr="00620607">
        <w:rPr>
          <w:rFonts w:eastAsia="Times New Roman" w:cs="Times New Roman"/>
          <w:color w:val="0D0D0D" w:themeColor="text1" w:themeTint="F2"/>
          <w:szCs w:val="20"/>
        </w:rPr>
        <w:t>vigilancia posterior a la comercialización.</w:t>
      </w:r>
    </w:p>
    <w:p w14:paraId="29CD1750" w14:textId="77777777" w:rsidR="008B7435" w:rsidRPr="00620607" w:rsidRDefault="008B7435" w:rsidP="008B7435">
      <w:pPr>
        <w:spacing w:after="225"/>
        <w:contextualSpacing/>
        <w:outlineLvl w:val="0"/>
        <w:rPr>
          <w:rFonts w:eastAsia="Times New Roman" w:cs="Times New Roman"/>
          <w:color w:val="EE0000"/>
          <w:szCs w:val="20"/>
        </w:rPr>
      </w:pPr>
    </w:p>
    <w:p w14:paraId="3C041D5F" w14:textId="77777777" w:rsidR="008B7435" w:rsidRPr="00522B96" w:rsidRDefault="008B7435" w:rsidP="008B7435">
      <w:pPr>
        <w:spacing w:after="225"/>
        <w:contextualSpacing/>
        <w:outlineLvl w:val="0"/>
        <w:rPr>
          <w:rFonts w:eastAsia="Times New Roman" w:cs="Times New Roman"/>
          <w:color w:val="EE0000"/>
          <w:szCs w:val="20"/>
        </w:rPr>
      </w:pPr>
      <w:r w:rsidRPr="00522B96">
        <w:rPr>
          <w:rFonts w:eastAsia="Times New Roman" w:cs="Times New Roman"/>
          <w:color w:val="0D0D0D" w:themeColor="text1" w:themeTint="F2"/>
          <w:szCs w:val="20"/>
        </w:rPr>
        <w:t xml:space="preserve">La FDA insta a todos los fabricantes de medicamentos a adoptar prácticas de gestión de calidad avanzadas que superen los requisitos de las </w:t>
      </w:r>
      <w:r>
        <w:rPr>
          <w:rFonts w:eastAsia="Times New Roman" w:cs="Times New Roman"/>
          <w:color w:val="0D0D0D" w:themeColor="text1" w:themeTint="F2"/>
          <w:szCs w:val="20"/>
        </w:rPr>
        <w:t>buenas prácticas de manufactura</w:t>
      </w:r>
      <w:r w:rsidRPr="00522B96">
        <w:rPr>
          <w:rFonts w:eastAsia="Times New Roman" w:cs="Times New Roman"/>
          <w:color w:val="0D0D0D" w:themeColor="text1" w:themeTint="F2"/>
          <w:szCs w:val="20"/>
        </w:rPr>
        <w:t>. El</w:t>
      </w:r>
      <w:r>
        <w:rPr>
          <w:rFonts w:eastAsia="Times New Roman" w:cs="Times New Roman"/>
          <w:color w:val="0D0D0D" w:themeColor="text1" w:themeTint="F2"/>
          <w:szCs w:val="20"/>
        </w:rPr>
        <w:t xml:space="preserve"> </w:t>
      </w:r>
      <w:hyperlink r:id="rId107" w:history="1">
        <w:r w:rsidRPr="00522B96">
          <w:rPr>
            <w:rStyle w:val="Hipervnculo"/>
            <w:rFonts w:eastAsia="Times New Roman" w:cs="Times New Roman"/>
            <w:szCs w:val="20"/>
          </w:rPr>
          <w:t>Programa de Madurez en la Gestión de la Calidad</w:t>
        </w:r>
      </w:hyperlink>
      <w:r>
        <w:rPr>
          <w:rFonts w:eastAsia="Times New Roman" w:cs="Times New Roman"/>
          <w:color w:val="EE0000"/>
          <w:szCs w:val="20"/>
        </w:rPr>
        <w:t xml:space="preserve"> </w:t>
      </w:r>
      <w:r w:rsidRPr="00522B96">
        <w:rPr>
          <w:rFonts w:eastAsia="Times New Roman" w:cs="Times New Roman"/>
          <w:color w:val="0D0D0D" w:themeColor="text1" w:themeTint="F2"/>
          <w:szCs w:val="20"/>
        </w:rPr>
        <w:t xml:space="preserve">[2] </w:t>
      </w:r>
      <w:r>
        <w:rPr>
          <w:rFonts w:eastAsia="Times New Roman" w:cs="Times New Roman"/>
          <w:color w:val="0D0D0D" w:themeColor="text1" w:themeTint="F2"/>
          <w:szCs w:val="20"/>
        </w:rPr>
        <w:t>pretende</w:t>
      </w:r>
      <w:r w:rsidRPr="00522B96">
        <w:rPr>
          <w:rFonts w:eastAsia="Times New Roman" w:cs="Times New Roman"/>
          <w:color w:val="0D0D0D" w:themeColor="text1" w:themeTint="F2"/>
          <w:szCs w:val="20"/>
        </w:rPr>
        <w:t xml:space="preserve"> fomentar una cultura de calidad, promover prácticas sólidas de gestión de la calidad, identificar oportunidades de mejora y garantizar un suministro confiable de productos. Est</w:t>
      </w:r>
      <w:r>
        <w:rPr>
          <w:rFonts w:eastAsia="Times New Roman" w:cs="Times New Roman"/>
          <w:color w:val="0D0D0D" w:themeColor="text1" w:themeTint="F2"/>
          <w:szCs w:val="20"/>
        </w:rPr>
        <w:t>os controles de calidad</w:t>
      </w:r>
      <w:r w:rsidRPr="00522B96">
        <w:rPr>
          <w:rFonts w:eastAsia="Times New Roman" w:cs="Times New Roman"/>
          <w:color w:val="0D0D0D" w:themeColor="text1" w:themeTint="F2"/>
          <w:szCs w:val="20"/>
        </w:rPr>
        <w:t xml:space="preserve"> contribuyen a </w:t>
      </w:r>
      <w:r>
        <w:rPr>
          <w:rFonts w:eastAsia="Times New Roman" w:cs="Times New Roman"/>
          <w:color w:val="0D0D0D" w:themeColor="text1" w:themeTint="F2"/>
          <w:szCs w:val="20"/>
        </w:rPr>
        <w:t>que la</w:t>
      </w:r>
      <w:r w:rsidRPr="00522B96">
        <w:rPr>
          <w:rFonts w:eastAsia="Times New Roman" w:cs="Times New Roman"/>
          <w:color w:val="0D0D0D" w:themeColor="text1" w:themeTint="F2"/>
          <w:szCs w:val="20"/>
        </w:rPr>
        <w:t xml:space="preserve"> cadena de suministro de medicamentos </w:t>
      </w:r>
      <w:r>
        <w:rPr>
          <w:rFonts w:eastAsia="Times New Roman" w:cs="Times New Roman"/>
          <w:color w:val="0D0D0D" w:themeColor="text1" w:themeTint="F2"/>
          <w:szCs w:val="20"/>
        </w:rPr>
        <w:t xml:space="preserve">sea </w:t>
      </w:r>
      <w:r w:rsidRPr="00522B96">
        <w:rPr>
          <w:rFonts w:eastAsia="Times New Roman" w:cs="Times New Roman"/>
          <w:color w:val="0D0D0D" w:themeColor="text1" w:themeTint="F2"/>
          <w:szCs w:val="20"/>
        </w:rPr>
        <w:t>más confiable</w:t>
      </w:r>
      <w:r>
        <w:rPr>
          <w:rFonts w:eastAsia="Times New Roman" w:cs="Times New Roman"/>
          <w:color w:val="0D0D0D" w:themeColor="text1" w:themeTint="F2"/>
          <w:szCs w:val="20"/>
        </w:rPr>
        <w:t>, pues</w:t>
      </w:r>
      <w:r w:rsidRPr="00522B96">
        <w:rPr>
          <w:rFonts w:eastAsia="Times New Roman" w:cs="Times New Roman"/>
          <w:color w:val="0D0D0D" w:themeColor="text1" w:themeTint="F2"/>
          <w:szCs w:val="20"/>
        </w:rPr>
        <w:t xml:space="preserve"> reduc</w:t>
      </w:r>
      <w:r>
        <w:rPr>
          <w:rFonts w:eastAsia="Times New Roman" w:cs="Times New Roman"/>
          <w:color w:val="0D0D0D" w:themeColor="text1" w:themeTint="F2"/>
          <w:szCs w:val="20"/>
        </w:rPr>
        <w:t>e</w:t>
      </w:r>
      <w:r w:rsidRPr="00522B96">
        <w:rPr>
          <w:rFonts w:eastAsia="Times New Roman" w:cs="Times New Roman"/>
          <w:color w:val="0D0D0D" w:themeColor="text1" w:themeTint="F2"/>
          <w:szCs w:val="20"/>
        </w:rPr>
        <w:t xml:space="preserve"> las fallas relacionadas con la calidad y mejora la capacidad de las empresas para mantener un buen desempeño.</w:t>
      </w:r>
    </w:p>
    <w:p w14:paraId="04E7A007" w14:textId="77777777" w:rsidR="008B7435" w:rsidRPr="00522B96" w:rsidRDefault="008B7435" w:rsidP="008B7435">
      <w:pPr>
        <w:spacing w:after="225"/>
        <w:contextualSpacing/>
        <w:outlineLvl w:val="0"/>
        <w:rPr>
          <w:rFonts w:eastAsia="Times New Roman" w:cs="Times New Roman"/>
          <w:b/>
          <w:bCs/>
          <w:color w:val="EE0000"/>
          <w:szCs w:val="20"/>
        </w:rPr>
      </w:pPr>
    </w:p>
    <w:p w14:paraId="44F2F034" w14:textId="77777777" w:rsidR="008B7435" w:rsidRPr="00451634" w:rsidRDefault="008B7435" w:rsidP="008B7435">
      <w:pPr>
        <w:spacing w:after="225"/>
        <w:contextualSpacing/>
        <w:outlineLvl w:val="0"/>
        <w:rPr>
          <w:rFonts w:eastAsia="Times New Roman" w:cs="Times New Roman"/>
          <w:b/>
          <w:bCs/>
          <w:color w:val="0D0D0D" w:themeColor="text1" w:themeTint="F2"/>
          <w:szCs w:val="20"/>
        </w:rPr>
      </w:pPr>
      <w:r w:rsidRPr="00451634">
        <w:rPr>
          <w:rFonts w:eastAsia="Times New Roman" w:cs="Times New Roman"/>
          <w:b/>
          <w:bCs/>
          <w:color w:val="0D0D0D" w:themeColor="text1" w:themeTint="F2"/>
          <w:szCs w:val="20"/>
        </w:rPr>
        <w:t>Inspecci</w:t>
      </w:r>
      <w:r>
        <w:rPr>
          <w:rFonts w:eastAsia="Times New Roman" w:cs="Times New Roman"/>
          <w:b/>
          <w:bCs/>
          <w:color w:val="0D0D0D" w:themeColor="text1" w:themeTint="F2"/>
          <w:szCs w:val="20"/>
        </w:rPr>
        <w:t>ón</w:t>
      </w:r>
      <w:r w:rsidRPr="00451634">
        <w:rPr>
          <w:rFonts w:eastAsia="Times New Roman" w:cs="Times New Roman"/>
          <w:b/>
          <w:bCs/>
          <w:color w:val="0D0D0D" w:themeColor="text1" w:themeTint="F2"/>
          <w:szCs w:val="20"/>
        </w:rPr>
        <w:t xml:space="preserve"> de </w:t>
      </w:r>
      <w:r>
        <w:rPr>
          <w:rFonts w:eastAsia="Times New Roman" w:cs="Times New Roman"/>
          <w:b/>
          <w:bCs/>
          <w:color w:val="0D0D0D" w:themeColor="text1" w:themeTint="F2"/>
          <w:szCs w:val="20"/>
        </w:rPr>
        <w:t>las plantas</w:t>
      </w:r>
      <w:r w:rsidRPr="00451634">
        <w:rPr>
          <w:rFonts w:eastAsia="Times New Roman" w:cs="Times New Roman"/>
          <w:b/>
          <w:bCs/>
          <w:color w:val="0D0D0D" w:themeColor="text1" w:themeTint="F2"/>
          <w:szCs w:val="20"/>
        </w:rPr>
        <w:t xml:space="preserve"> de </w:t>
      </w:r>
      <w:r>
        <w:rPr>
          <w:rFonts w:eastAsia="Times New Roman" w:cs="Times New Roman"/>
          <w:b/>
          <w:bCs/>
          <w:color w:val="0D0D0D" w:themeColor="text1" w:themeTint="F2"/>
          <w:szCs w:val="20"/>
        </w:rPr>
        <w:t>manufactura</w:t>
      </w:r>
    </w:p>
    <w:p w14:paraId="36F5D58E" w14:textId="77777777" w:rsidR="008B7435" w:rsidRPr="00451634" w:rsidRDefault="008B7435" w:rsidP="008B7435">
      <w:pPr>
        <w:spacing w:after="225"/>
        <w:contextualSpacing/>
        <w:outlineLvl w:val="0"/>
        <w:rPr>
          <w:rFonts w:eastAsia="Times New Roman" w:cs="Times New Roman"/>
          <w:color w:val="EE0000"/>
          <w:szCs w:val="20"/>
        </w:rPr>
      </w:pPr>
      <w:r w:rsidRPr="00451634">
        <w:rPr>
          <w:rFonts w:eastAsia="Times New Roman" w:cs="Times New Roman"/>
          <w:color w:val="0D0D0D" w:themeColor="text1" w:themeTint="F2"/>
          <w:szCs w:val="20"/>
        </w:rPr>
        <w:t xml:space="preserve">Las </w:t>
      </w:r>
      <w:r>
        <w:rPr>
          <w:rFonts w:eastAsia="Times New Roman" w:cs="Times New Roman"/>
          <w:color w:val="0D0D0D" w:themeColor="text1" w:themeTint="F2"/>
          <w:szCs w:val="20"/>
        </w:rPr>
        <w:t>plantas de manufactura</w:t>
      </w:r>
      <w:r w:rsidRPr="00451634">
        <w:rPr>
          <w:rFonts w:eastAsia="Times New Roman" w:cs="Times New Roman"/>
          <w:color w:val="0D0D0D" w:themeColor="text1" w:themeTint="F2"/>
          <w:szCs w:val="20"/>
        </w:rPr>
        <w:t xml:space="preserve"> se someten </w:t>
      </w:r>
      <w:r>
        <w:rPr>
          <w:rFonts w:eastAsia="Times New Roman" w:cs="Times New Roman"/>
          <w:color w:val="0D0D0D" w:themeColor="text1" w:themeTint="F2"/>
          <w:szCs w:val="20"/>
        </w:rPr>
        <w:t xml:space="preserve">rutinariamente </w:t>
      </w:r>
      <w:r w:rsidRPr="00451634">
        <w:rPr>
          <w:rFonts w:eastAsia="Times New Roman" w:cs="Times New Roman"/>
          <w:color w:val="0D0D0D" w:themeColor="text1" w:themeTint="F2"/>
          <w:szCs w:val="20"/>
        </w:rPr>
        <w:t xml:space="preserve">a inspecciones basadas en el riesgo. Si bien la pandemia de </w:t>
      </w:r>
      <w:r>
        <w:rPr>
          <w:rFonts w:eastAsia="Times New Roman" w:cs="Times New Roman"/>
          <w:color w:val="0D0D0D" w:themeColor="text1" w:themeTint="F2"/>
          <w:szCs w:val="20"/>
        </w:rPr>
        <w:t>la covid</w:t>
      </w:r>
      <w:r w:rsidRPr="00451634">
        <w:rPr>
          <w:rFonts w:eastAsia="Times New Roman" w:cs="Times New Roman"/>
          <w:color w:val="0D0D0D" w:themeColor="text1" w:themeTint="F2"/>
          <w:szCs w:val="20"/>
        </w:rPr>
        <w:t>-19 interrumpió significativamente las actividades de inspección presencial, la FDA implementó e</w:t>
      </w:r>
      <w:r>
        <w:rPr>
          <w:rFonts w:eastAsia="Times New Roman" w:cs="Times New Roman"/>
          <w:color w:val="0D0D0D" w:themeColor="text1" w:themeTint="F2"/>
          <w:szCs w:val="20"/>
        </w:rPr>
        <w:t>strategias</w:t>
      </w:r>
      <w:r w:rsidRPr="00451634">
        <w:rPr>
          <w:rFonts w:eastAsia="Times New Roman" w:cs="Times New Roman"/>
          <w:color w:val="0D0D0D" w:themeColor="text1" w:themeTint="F2"/>
          <w:szCs w:val="20"/>
        </w:rPr>
        <w:t xml:space="preserve"> innovador</w:t>
      </w:r>
      <w:r>
        <w:rPr>
          <w:rFonts w:eastAsia="Times New Roman" w:cs="Times New Roman"/>
          <w:color w:val="0D0D0D" w:themeColor="text1" w:themeTint="F2"/>
          <w:szCs w:val="20"/>
        </w:rPr>
        <w:t>a</w:t>
      </w:r>
      <w:r w:rsidRPr="00451634">
        <w:rPr>
          <w:rFonts w:eastAsia="Times New Roman" w:cs="Times New Roman"/>
          <w:color w:val="0D0D0D" w:themeColor="text1" w:themeTint="F2"/>
          <w:szCs w:val="20"/>
        </w:rPr>
        <w:t>s para mantener la supervisión, incluyendo el uso ampliado de evaluaciones regulatorias remotas, solicitudes de</w:t>
      </w:r>
      <w:r>
        <w:rPr>
          <w:rFonts w:eastAsia="Times New Roman" w:cs="Times New Roman"/>
          <w:color w:val="0D0D0D" w:themeColor="text1" w:themeTint="F2"/>
          <w:szCs w:val="20"/>
        </w:rPr>
        <w:t xml:space="preserve"> documentos</w:t>
      </w:r>
      <w:r w:rsidRPr="00451634">
        <w:rPr>
          <w:rFonts w:eastAsia="Times New Roman" w:cs="Times New Roman"/>
          <w:color w:val="0D0D0D" w:themeColor="text1" w:themeTint="F2"/>
          <w:szCs w:val="20"/>
        </w:rPr>
        <w:t xml:space="preserve"> conforme a la sección 704(a)(4) de la Ley Federal de Alimentos, Medicamentos y Cosméticos, y el </w:t>
      </w:r>
      <w:r>
        <w:rPr>
          <w:rFonts w:eastAsia="Times New Roman" w:cs="Times New Roman"/>
          <w:color w:val="0D0D0D" w:themeColor="text1" w:themeTint="F2"/>
          <w:szCs w:val="20"/>
        </w:rPr>
        <w:t>uso</w:t>
      </w:r>
      <w:r w:rsidRPr="00451634">
        <w:rPr>
          <w:rFonts w:eastAsia="Times New Roman" w:cs="Times New Roman"/>
          <w:color w:val="0D0D0D" w:themeColor="text1" w:themeTint="F2"/>
          <w:szCs w:val="20"/>
        </w:rPr>
        <w:t xml:space="preserve"> de</w:t>
      </w:r>
      <w:r>
        <w:rPr>
          <w:rFonts w:eastAsia="Times New Roman" w:cs="Times New Roman"/>
          <w:color w:val="0D0D0D" w:themeColor="text1" w:themeTint="F2"/>
          <w:szCs w:val="20"/>
        </w:rPr>
        <w:t xml:space="preserve"> </w:t>
      </w:r>
      <w:hyperlink r:id="rId108" w:history="1">
        <w:r w:rsidRPr="00451634">
          <w:rPr>
            <w:rStyle w:val="Hipervnculo"/>
            <w:rFonts w:eastAsia="Times New Roman" w:cs="Times New Roman"/>
            <w:szCs w:val="20"/>
          </w:rPr>
          <w:t>acuerdos de reconocimiento mutuo</w:t>
        </w:r>
      </w:hyperlink>
      <w:r>
        <w:rPr>
          <w:rFonts w:eastAsia="Times New Roman" w:cs="Times New Roman"/>
          <w:color w:val="EE0000"/>
          <w:szCs w:val="20"/>
        </w:rPr>
        <w:t xml:space="preserve"> </w:t>
      </w:r>
      <w:r w:rsidRPr="00F92856">
        <w:rPr>
          <w:rFonts w:eastAsia="Times New Roman" w:cs="Times New Roman"/>
          <w:color w:val="0D0D0D" w:themeColor="text1" w:themeTint="F2"/>
          <w:szCs w:val="20"/>
        </w:rPr>
        <w:t xml:space="preserve">[3] </w:t>
      </w:r>
      <w:r w:rsidRPr="00451634">
        <w:rPr>
          <w:rFonts w:eastAsia="Times New Roman" w:cs="Times New Roman"/>
          <w:color w:val="0D0D0D" w:themeColor="text1" w:themeTint="F2"/>
          <w:szCs w:val="20"/>
        </w:rPr>
        <w:t xml:space="preserve">con socios regulatorios globales de confianza. Desde la pandemia, la FDA ha utilizado estas herramientas </w:t>
      </w:r>
      <w:r>
        <w:rPr>
          <w:rFonts w:eastAsia="Times New Roman" w:cs="Times New Roman"/>
          <w:color w:val="0D0D0D" w:themeColor="text1" w:themeTint="F2"/>
          <w:szCs w:val="20"/>
        </w:rPr>
        <w:t>y</w:t>
      </w:r>
      <w:r w:rsidRPr="00451634">
        <w:rPr>
          <w:rFonts w:eastAsia="Times New Roman" w:cs="Times New Roman"/>
          <w:color w:val="0D0D0D" w:themeColor="text1" w:themeTint="F2"/>
          <w:szCs w:val="20"/>
        </w:rPr>
        <w:t xml:space="preserve"> un enfoque basado en el riesgo para priorizar las inspecciones d</w:t>
      </w:r>
      <w:r>
        <w:rPr>
          <w:rFonts w:eastAsia="Times New Roman" w:cs="Times New Roman"/>
          <w:color w:val="0D0D0D" w:themeColor="text1" w:themeTint="F2"/>
          <w:szCs w:val="20"/>
        </w:rPr>
        <w:t>e la</w:t>
      </w:r>
      <w:r w:rsidRPr="00451634">
        <w:rPr>
          <w:rFonts w:eastAsia="Times New Roman" w:cs="Times New Roman"/>
          <w:color w:val="0D0D0D" w:themeColor="text1" w:themeTint="F2"/>
          <w:szCs w:val="20"/>
        </w:rPr>
        <w:t xml:space="preserve"> calidad de los medicamentos, y a partir de 2025, la cobertura de inspecciones se acerca a los niveles previos </w:t>
      </w:r>
      <w:r w:rsidRPr="00451634">
        <w:rPr>
          <w:rFonts w:eastAsia="Times New Roman" w:cs="Times New Roman"/>
          <w:color w:val="0D0D0D" w:themeColor="text1" w:themeTint="F2"/>
          <w:szCs w:val="20"/>
        </w:rPr>
        <w:t xml:space="preserve">a la pandemia. La FDA también está aumentando las inspecciones </w:t>
      </w:r>
      <w:r>
        <w:rPr>
          <w:rFonts w:eastAsia="Times New Roman" w:cs="Times New Roman"/>
          <w:color w:val="0D0D0D" w:themeColor="text1" w:themeTint="F2"/>
          <w:szCs w:val="20"/>
        </w:rPr>
        <w:t>de</w:t>
      </w:r>
      <w:r w:rsidRPr="00451634">
        <w:rPr>
          <w:rFonts w:eastAsia="Times New Roman" w:cs="Times New Roman"/>
          <w:color w:val="0D0D0D" w:themeColor="text1" w:themeTint="F2"/>
          <w:szCs w:val="20"/>
        </w:rPr>
        <w:t xml:space="preserve"> fabricantes extranjeros sin previo aviso</w:t>
      </w:r>
      <w:r>
        <w:rPr>
          <w:rFonts w:eastAsia="Times New Roman" w:cs="Times New Roman"/>
          <w:color w:val="0D0D0D" w:themeColor="text1" w:themeTint="F2"/>
          <w:szCs w:val="20"/>
        </w:rPr>
        <w:t>,</w:t>
      </w:r>
      <w:r w:rsidRPr="00451634">
        <w:rPr>
          <w:rFonts w:eastAsia="Times New Roman" w:cs="Times New Roman"/>
          <w:color w:val="0D0D0D" w:themeColor="text1" w:themeTint="F2"/>
          <w:szCs w:val="20"/>
        </w:rPr>
        <w:t xml:space="preserve"> </w:t>
      </w:r>
      <w:r>
        <w:rPr>
          <w:rFonts w:eastAsia="Times New Roman" w:cs="Times New Roman"/>
          <w:color w:val="0D0D0D" w:themeColor="text1" w:themeTint="F2"/>
          <w:szCs w:val="20"/>
        </w:rPr>
        <w:t>para</w:t>
      </w:r>
      <w:r w:rsidRPr="00451634">
        <w:rPr>
          <w:rFonts w:eastAsia="Times New Roman" w:cs="Times New Roman"/>
          <w:color w:val="0D0D0D" w:themeColor="text1" w:themeTint="F2"/>
          <w:szCs w:val="20"/>
        </w:rPr>
        <w:t xml:space="preserve"> corregir </w:t>
      </w:r>
      <w:r>
        <w:rPr>
          <w:rFonts w:eastAsia="Times New Roman" w:cs="Times New Roman"/>
          <w:color w:val="0D0D0D" w:themeColor="text1" w:themeTint="F2"/>
          <w:szCs w:val="20"/>
        </w:rPr>
        <w:t>l</w:t>
      </w:r>
      <w:r w:rsidRPr="00451634">
        <w:rPr>
          <w:rFonts w:eastAsia="Times New Roman" w:cs="Times New Roman"/>
          <w:color w:val="0D0D0D" w:themeColor="text1" w:themeTint="F2"/>
          <w:szCs w:val="20"/>
        </w:rPr>
        <w:t>a discrepancia histórica entre las inspecciones nacionales y extranjeras.</w:t>
      </w:r>
    </w:p>
    <w:p w14:paraId="100E7A30" w14:textId="77777777" w:rsidR="008B7435" w:rsidRPr="00451634" w:rsidRDefault="008B7435" w:rsidP="008B7435">
      <w:pPr>
        <w:spacing w:after="225"/>
        <w:contextualSpacing/>
        <w:outlineLvl w:val="0"/>
        <w:rPr>
          <w:rFonts w:eastAsia="Times New Roman" w:cs="Times New Roman"/>
          <w:color w:val="EE0000"/>
          <w:szCs w:val="20"/>
        </w:rPr>
      </w:pPr>
    </w:p>
    <w:p w14:paraId="16722F80" w14:textId="77777777" w:rsidR="008B7435" w:rsidRPr="00935BB4" w:rsidRDefault="008B7435" w:rsidP="008B7435">
      <w:pPr>
        <w:spacing w:after="225"/>
        <w:contextualSpacing/>
        <w:outlineLvl w:val="0"/>
        <w:rPr>
          <w:rFonts w:eastAsia="Times New Roman" w:cs="Times New Roman"/>
          <w:b/>
          <w:bCs/>
          <w:color w:val="0D0D0D" w:themeColor="text1" w:themeTint="F2"/>
          <w:szCs w:val="20"/>
        </w:rPr>
      </w:pPr>
      <w:r w:rsidRPr="00935BB4">
        <w:rPr>
          <w:rFonts w:eastAsia="Times New Roman" w:cs="Times New Roman"/>
          <w:b/>
          <w:bCs/>
          <w:color w:val="0D0D0D" w:themeColor="text1" w:themeTint="F2"/>
          <w:szCs w:val="20"/>
        </w:rPr>
        <w:t>Reubicación de la fabricación farmacéutica en el país</w:t>
      </w:r>
    </w:p>
    <w:p w14:paraId="3594ED7C" w14:textId="77777777" w:rsidR="008B7435" w:rsidRDefault="008B7435" w:rsidP="008B7435">
      <w:pPr>
        <w:spacing w:after="225"/>
        <w:contextualSpacing/>
        <w:outlineLvl w:val="0"/>
        <w:rPr>
          <w:rFonts w:eastAsia="Times New Roman" w:cs="Times New Roman"/>
          <w:color w:val="0D0D0D" w:themeColor="text1" w:themeTint="F2"/>
          <w:szCs w:val="20"/>
        </w:rPr>
      </w:pPr>
      <w:r w:rsidRPr="00935BB4">
        <w:rPr>
          <w:rFonts w:eastAsia="Times New Roman" w:cs="Times New Roman"/>
          <w:color w:val="0D0D0D" w:themeColor="text1" w:themeTint="F2"/>
          <w:szCs w:val="20"/>
        </w:rPr>
        <w:t>La FDA apoya firmemente los esfuerzos para que la fabricación de productos farmacéuticos regrese a EE UU, ya que la capacidad de producción nacional es esencial para la seguridad y la resiliencia de la cadena de suministro.</w:t>
      </w:r>
    </w:p>
    <w:p w14:paraId="2D67796D" w14:textId="77777777" w:rsidR="008B7435" w:rsidRPr="00935BB4" w:rsidRDefault="008B7435" w:rsidP="008B7435">
      <w:pPr>
        <w:spacing w:after="225"/>
        <w:contextualSpacing/>
        <w:outlineLvl w:val="0"/>
        <w:rPr>
          <w:rFonts w:eastAsia="Times New Roman" w:cs="Times New Roman"/>
          <w:color w:val="0D0D0D" w:themeColor="text1" w:themeTint="F2"/>
          <w:szCs w:val="20"/>
        </w:rPr>
      </w:pPr>
    </w:p>
    <w:p w14:paraId="75AA1A18" w14:textId="77777777" w:rsidR="008B7435" w:rsidRDefault="008B7435" w:rsidP="008B7435">
      <w:pPr>
        <w:spacing w:after="225"/>
        <w:contextualSpacing/>
        <w:outlineLvl w:val="0"/>
        <w:rPr>
          <w:rFonts w:eastAsia="Times New Roman" w:cs="Times New Roman"/>
          <w:color w:val="0D0D0D" w:themeColor="text1" w:themeTint="F2"/>
          <w:szCs w:val="20"/>
        </w:rPr>
      </w:pPr>
      <w:r w:rsidRPr="00935BB4">
        <w:rPr>
          <w:rFonts w:eastAsia="Times New Roman" w:cs="Times New Roman"/>
          <w:color w:val="0D0D0D" w:themeColor="text1" w:themeTint="F2"/>
          <w:szCs w:val="20"/>
        </w:rPr>
        <w:t xml:space="preserve">La pandemia de </w:t>
      </w:r>
      <w:r>
        <w:rPr>
          <w:rFonts w:eastAsia="Times New Roman" w:cs="Times New Roman"/>
          <w:color w:val="0D0D0D" w:themeColor="text1" w:themeTint="F2"/>
          <w:szCs w:val="20"/>
        </w:rPr>
        <w:t>la covid</w:t>
      </w:r>
      <w:r w:rsidRPr="00935BB4">
        <w:rPr>
          <w:rFonts w:eastAsia="Times New Roman" w:cs="Times New Roman"/>
          <w:color w:val="0D0D0D" w:themeColor="text1" w:themeTint="F2"/>
          <w:szCs w:val="20"/>
        </w:rPr>
        <w:t xml:space="preserve">-19 puso de manifiesto la vulnerabilidad que supone depender excesivamente de una sola región geográfica para el suministro de medicamentos esenciales. La </w:t>
      </w:r>
      <w:r>
        <w:rPr>
          <w:rFonts w:eastAsia="Times New Roman" w:cs="Times New Roman"/>
          <w:color w:val="0D0D0D" w:themeColor="text1" w:themeTint="F2"/>
          <w:szCs w:val="20"/>
        </w:rPr>
        <w:t>migr</w:t>
      </w:r>
      <w:r w:rsidRPr="00935BB4">
        <w:rPr>
          <w:rFonts w:eastAsia="Times New Roman" w:cs="Times New Roman"/>
          <w:color w:val="0D0D0D" w:themeColor="text1" w:themeTint="F2"/>
          <w:szCs w:val="20"/>
        </w:rPr>
        <w:t xml:space="preserve">ación de la producción farmacéutica se produjo a lo largo de décadas, impulsada principalmente por factores económicos. Revertir esta tendencia requerirá </w:t>
      </w:r>
      <w:r>
        <w:rPr>
          <w:rFonts w:eastAsia="Times New Roman" w:cs="Times New Roman"/>
          <w:color w:val="0D0D0D" w:themeColor="text1" w:themeTint="F2"/>
          <w:szCs w:val="20"/>
        </w:rPr>
        <w:t>el</w:t>
      </w:r>
      <w:r w:rsidRPr="00935BB4">
        <w:rPr>
          <w:rFonts w:eastAsia="Times New Roman" w:cs="Times New Roman"/>
          <w:color w:val="0D0D0D" w:themeColor="text1" w:themeTint="F2"/>
          <w:szCs w:val="20"/>
        </w:rPr>
        <w:t xml:space="preserve"> compromiso </w:t>
      </w:r>
      <w:r>
        <w:rPr>
          <w:rFonts w:eastAsia="Times New Roman" w:cs="Times New Roman"/>
          <w:color w:val="0D0D0D" w:themeColor="text1" w:themeTint="F2"/>
          <w:szCs w:val="20"/>
        </w:rPr>
        <w:t>y la</w:t>
      </w:r>
      <w:r w:rsidRPr="00935BB4">
        <w:rPr>
          <w:rFonts w:eastAsia="Times New Roman" w:cs="Times New Roman"/>
          <w:color w:val="0D0D0D" w:themeColor="text1" w:themeTint="F2"/>
          <w:szCs w:val="20"/>
        </w:rPr>
        <w:t xml:space="preserve"> inversión sostenid</w:t>
      </w:r>
      <w:r>
        <w:rPr>
          <w:rFonts w:eastAsia="Times New Roman" w:cs="Times New Roman"/>
          <w:color w:val="0D0D0D" w:themeColor="text1" w:themeTint="F2"/>
          <w:szCs w:val="20"/>
        </w:rPr>
        <w:t>a</w:t>
      </w:r>
      <w:r w:rsidRPr="00935BB4">
        <w:rPr>
          <w:rFonts w:eastAsia="Times New Roman" w:cs="Times New Roman"/>
          <w:color w:val="0D0D0D" w:themeColor="text1" w:themeTint="F2"/>
          <w:szCs w:val="20"/>
        </w:rPr>
        <w:t xml:space="preserve"> por parte de la industria, los organismos reguladores gubernamentales y la </w:t>
      </w:r>
      <w:r>
        <w:rPr>
          <w:rFonts w:eastAsia="Times New Roman" w:cs="Times New Roman"/>
          <w:color w:val="0D0D0D" w:themeColor="text1" w:themeTint="F2"/>
          <w:szCs w:val="20"/>
        </w:rPr>
        <w:t>población</w:t>
      </w:r>
      <w:r w:rsidRPr="00935BB4">
        <w:rPr>
          <w:rFonts w:eastAsia="Times New Roman" w:cs="Times New Roman"/>
          <w:color w:val="0D0D0D" w:themeColor="text1" w:themeTint="F2"/>
          <w:szCs w:val="20"/>
        </w:rPr>
        <w:t>.</w:t>
      </w:r>
    </w:p>
    <w:p w14:paraId="19B80035" w14:textId="77777777" w:rsidR="008B7435" w:rsidRPr="00935BB4" w:rsidRDefault="008B7435" w:rsidP="008B7435">
      <w:pPr>
        <w:spacing w:after="225"/>
        <w:contextualSpacing/>
        <w:outlineLvl w:val="0"/>
        <w:rPr>
          <w:rFonts w:eastAsia="Times New Roman" w:cs="Times New Roman"/>
          <w:color w:val="0D0D0D" w:themeColor="text1" w:themeTint="F2"/>
          <w:szCs w:val="20"/>
        </w:rPr>
      </w:pPr>
    </w:p>
    <w:p w14:paraId="42ECC3E6" w14:textId="77777777" w:rsidR="008B7435" w:rsidRPr="00935BB4" w:rsidRDefault="008B7435" w:rsidP="008B7435">
      <w:pPr>
        <w:spacing w:after="225"/>
        <w:contextualSpacing/>
        <w:outlineLvl w:val="0"/>
        <w:rPr>
          <w:rFonts w:eastAsia="Times New Roman" w:cs="Times New Roman"/>
          <w:color w:val="0D0D0D" w:themeColor="text1" w:themeTint="F2"/>
          <w:szCs w:val="20"/>
        </w:rPr>
      </w:pPr>
      <w:r w:rsidRPr="00935BB4">
        <w:rPr>
          <w:rFonts w:eastAsia="Times New Roman" w:cs="Times New Roman"/>
          <w:color w:val="0D0D0D" w:themeColor="text1" w:themeTint="F2"/>
          <w:szCs w:val="20"/>
        </w:rPr>
        <w:t>La agencia está trabajando para facilitar la fabricación nacional a través de procesos regulatorios innovadores y proactivos. El</w:t>
      </w:r>
      <w:r>
        <w:rPr>
          <w:rFonts w:eastAsia="Times New Roman" w:cs="Times New Roman"/>
          <w:color w:val="0D0D0D" w:themeColor="text1" w:themeTint="F2"/>
          <w:szCs w:val="20"/>
        </w:rPr>
        <w:t xml:space="preserve"> objetivo del </w:t>
      </w:r>
      <w:hyperlink r:id="rId109" w:history="1">
        <w:r w:rsidRPr="00935BB4">
          <w:rPr>
            <w:rStyle w:val="Hipervnculo"/>
            <w:rFonts w:eastAsia="Times New Roman" w:cs="Times New Roman"/>
            <w:szCs w:val="20"/>
          </w:rPr>
          <w:t xml:space="preserve">programa piloto </w:t>
        </w:r>
        <w:proofErr w:type="spellStart"/>
        <w:r w:rsidRPr="00935BB4">
          <w:rPr>
            <w:rStyle w:val="Hipervnculo"/>
            <w:rFonts w:eastAsia="Times New Roman" w:cs="Times New Roman"/>
            <w:szCs w:val="20"/>
          </w:rPr>
          <w:t>PreCheck</w:t>
        </w:r>
        <w:proofErr w:type="spellEnd"/>
      </w:hyperlink>
      <w:r>
        <w:rPr>
          <w:rFonts w:eastAsia="Times New Roman" w:cs="Times New Roman"/>
          <w:color w:val="EE0000"/>
          <w:szCs w:val="20"/>
        </w:rPr>
        <w:t xml:space="preserve"> </w:t>
      </w:r>
      <w:r w:rsidRPr="00B67A4D">
        <w:rPr>
          <w:rFonts w:eastAsia="Times New Roman" w:cs="Times New Roman"/>
          <w:color w:val="0D0D0D" w:themeColor="text1" w:themeTint="F2"/>
          <w:szCs w:val="20"/>
        </w:rPr>
        <w:t xml:space="preserve">[4] </w:t>
      </w:r>
      <w:r w:rsidRPr="00935BB4">
        <w:rPr>
          <w:rFonts w:eastAsia="Times New Roman" w:cs="Times New Roman"/>
          <w:color w:val="0D0D0D" w:themeColor="text1" w:themeTint="F2"/>
          <w:szCs w:val="20"/>
        </w:rPr>
        <w:t xml:space="preserve">de la FDA </w:t>
      </w:r>
      <w:r>
        <w:rPr>
          <w:rFonts w:eastAsia="Times New Roman" w:cs="Times New Roman"/>
          <w:color w:val="0D0D0D" w:themeColor="text1" w:themeTint="F2"/>
          <w:szCs w:val="20"/>
        </w:rPr>
        <w:t xml:space="preserve">es apoyar </w:t>
      </w:r>
      <w:r w:rsidRPr="00935BB4">
        <w:rPr>
          <w:rFonts w:eastAsia="Times New Roman" w:cs="Times New Roman"/>
          <w:color w:val="0D0D0D" w:themeColor="text1" w:themeTint="F2"/>
          <w:szCs w:val="20"/>
        </w:rPr>
        <w:t xml:space="preserve">el </w:t>
      </w:r>
      <w:r>
        <w:rPr>
          <w:rFonts w:eastAsia="Times New Roman" w:cs="Times New Roman"/>
          <w:color w:val="0D0D0D" w:themeColor="text1" w:themeTint="F2"/>
          <w:szCs w:val="20"/>
        </w:rPr>
        <w:t>establecimiento de</w:t>
      </w:r>
      <w:r w:rsidRPr="00935BB4">
        <w:rPr>
          <w:rFonts w:eastAsia="Times New Roman" w:cs="Times New Roman"/>
          <w:color w:val="0D0D0D" w:themeColor="text1" w:themeTint="F2"/>
          <w:szCs w:val="20"/>
        </w:rPr>
        <w:t xml:space="preserve"> nuevas instalaciones de fabricación</w:t>
      </w:r>
      <w:r>
        <w:rPr>
          <w:rFonts w:eastAsia="Times New Roman" w:cs="Times New Roman"/>
          <w:color w:val="0D0D0D" w:themeColor="text1" w:themeTint="F2"/>
          <w:szCs w:val="20"/>
        </w:rPr>
        <w:t xml:space="preserve"> en territorio nacional</w:t>
      </w:r>
      <w:r w:rsidRPr="00935BB4">
        <w:rPr>
          <w:rFonts w:eastAsia="Times New Roman" w:cs="Times New Roman"/>
          <w:color w:val="0D0D0D" w:themeColor="text1" w:themeTint="F2"/>
          <w:szCs w:val="20"/>
        </w:rPr>
        <w:t>, y el nuevo programa piloto de priorización de ANDA de la FDA acelera las revisiones para las empresas de genéricos que prueban y fabrican sus productos en EE UU.</w:t>
      </w:r>
    </w:p>
    <w:p w14:paraId="102435CF" w14:textId="77777777" w:rsidR="008B7435" w:rsidRPr="00935BB4" w:rsidRDefault="008B7435" w:rsidP="008B7435">
      <w:pPr>
        <w:spacing w:after="225"/>
        <w:contextualSpacing/>
        <w:outlineLvl w:val="0"/>
        <w:rPr>
          <w:rFonts w:eastAsia="Times New Roman" w:cs="Times New Roman"/>
          <w:b/>
          <w:bCs/>
          <w:color w:val="EE0000"/>
          <w:szCs w:val="20"/>
        </w:rPr>
      </w:pPr>
    </w:p>
    <w:p w14:paraId="58310536" w14:textId="77777777" w:rsidR="008B7435" w:rsidRPr="002729EA" w:rsidRDefault="008B7435" w:rsidP="008B7435">
      <w:pPr>
        <w:spacing w:after="225"/>
        <w:contextualSpacing/>
        <w:outlineLvl w:val="0"/>
        <w:rPr>
          <w:rFonts w:eastAsia="Times New Roman" w:cs="Times New Roman"/>
          <w:b/>
          <w:bCs/>
          <w:color w:val="0D0D0D" w:themeColor="text1" w:themeTint="F2"/>
          <w:szCs w:val="20"/>
        </w:rPr>
      </w:pPr>
      <w:r w:rsidRPr="002729EA">
        <w:rPr>
          <w:rFonts w:eastAsia="Times New Roman" w:cs="Times New Roman"/>
          <w:b/>
          <w:bCs/>
          <w:color w:val="0D0D0D" w:themeColor="text1" w:themeTint="F2"/>
          <w:szCs w:val="20"/>
        </w:rPr>
        <w:t xml:space="preserve">Vigilancia posterior a la aprobación para </w:t>
      </w:r>
      <w:r>
        <w:rPr>
          <w:rFonts w:eastAsia="Times New Roman" w:cs="Times New Roman"/>
          <w:b/>
          <w:bCs/>
          <w:color w:val="0D0D0D" w:themeColor="text1" w:themeTint="F2"/>
          <w:szCs w:val="20"/>
        </w:rPr>
        <w:t>monitore</w:t>
      </w:r>
      <w:r w:rsidRPr="002729EA">
        <w:rPr>
          <w:rFonts w:eastAsia="Times New Roman" w:cs="Times New Roman"/>
          <w:b/>
          <w:bCs/>
          <w:color w:val="0D0D0D" w:themeColor="text1" w:themeTint="F2"/>
          <w:szCs w:val="20"/>
        </w:rPr>
        <w:t>ar la calidad del producto</w:t>
      </w:r>
    </w:p>
    <w:p w14:paraId="4D3BB39E" w14:textId="77777777" w:rsidR="00EA71DA" w:rsidRDefault="008B7435" w:rsidP="008B7435">
      <w:pPr>
        <w:spacing w:after="225"/>
        <w:contextualSpacing/>
        <w:outlineLvl w:val="0"/>
        <w:rPr>
          <w:rFonts w:eastAsia="Times New Roman" w:cs="Times New Roman"/>
          <w:color w:val="0D0D0D" w:themeColor="text1" w:themeTint="F2"/>
          <w:szCs w:val="20"/>
        </w:rPr>
      </w:pPr>
      <w:r w:rsidRPr="002729EA">
        <w:rPr>
          <w:rFonts w:eastAsia="Times New Roman" w:cs="Times New Roman"/>
          <w:color w:val="0D0D0D" w:themeColor="text1" w:themeTint="F2"/>
          <w:szCs w:val="20"/>
        </w:rPr>
        <w:t xml:space="preserve">La FDA utiliza un sistema de vigilancia integral que combina </w:t>
      </w:r>
      <w:r>
        <w:rPr>
          <w:rFonts w:eastAsia="Times New Roman" w:cs="Times New Roman"/>
          <w:color w:val="0D0D0D" w:themeColor="text1" w:themeTint="F2"/>
          <w:szCs w:val="20"/>
        </w:rPr>
        <w:t xml:space="preserve">los </w:t>
      </w:r>
      <w:r w:rsidRPr="002729EA">
        <w:rPr>
          <w:rFonts w:eastAsia="Times New Roman" w:cs="Times New Roman"/>
          <w:color w:val="0D0D0D" w:themeColor="text1" w:themeTint="F2"/>
          <w:szCs w:val="20"/>
        </w:rPr>
        <w:t>datos de calidad y</w:t>
      </w:r>
      <w:r>
        <w:rPr>
          <w:rFonts w:eastAsia="Times New Roman" w:cs="Times New Roman"/>
          <w:color w:val="0D0D0D" w:themeColor="text1" w:themeTint="F2"/>
          <w:szCs w:val="20"/>
        </w:rPr>
        <w:t xml:space="preserve"> de </w:t>
      </w:r>
      <w:r w:rsidRPr="002729EA">
        <w:rPr>
          <w:rFonts w:eastAsia="Times New Roman" w:cs="Times New Roman"/>
          <w:color w:val="0D0D0D" w:themeColor="text1" w:themeTint="F2"/>
          <w:szCs w:val="20"/>
        </w:rPr>
        <w:t xml:space="preserve">eventos adversos con </w:t>
      </w:r>
      <w:r>
        <w:rPr>
          <w:rFonts w:eastAsia="Times New Roman" w:cs="Times New Roman"/>
          <w:color w:val="0D0D0D" w:themeColor="text1" w:themeTint="F2"/>
          <w:szCs w:val="20"/>
        </w:rPr>
        <w:t>los report</w:t>
      </w:r>
      <w:r w:rsidRPr="002729EA">
        <w:rPr>
          <w:rFonts w:eastAsia="Times New Roman" w:cs="Times New Roman"/>
          <w:color w:val="0D0D0D" w:themeColor="text1" w:themeTint="F2"/>
          <w:szCs w:val="20"/>
        </w:rPr>
        <w:t xml:space="preserve">es de inspección, </w:t>
      </w:r>
      <w:r>
        <w:rPr>
          <w:rFonts w:eastAsia="Times New Roman" w:cs="Times New Roman"/>
          <w:color w:val="0D0D0D" w:themeColor="text1" w:themeTint="F2"/>
          <w:szCs w:val="20"/>
        </w:rPr>
        <w:t xml:space="preserve">las </w:t>
      </w:r>
      <w:r w:rsidRPr="002729EA">
        <w:rPr>
          <w:rFonts w:eastAsia="Times New Roman" w:cs="Times New Roman"/>
          <w:color w:val="0D0D0D" w:themeColor="text1" w:themeTint="F2"/>
          <w:szCs w:val="20"/>
        </w:rPr>
        <w:t xml:space="preserve">pruebas de laboratorio, </w:t>
      </w:r>
      <w:r>
        <w:rPr>
          <w:rFonts w:eastAsia="Times New Roman" w:cs="Times New Roman"/>
          <w:color w:val="0D0D0D" w:themeColor="text1" w:themeTint="F2"/>
          <w:szCs w:val="20"/>
        </w:rPr>
        <w:t xml:space="preserve">las </w:t>
      </w:r>
      <w:r w:rsidRPr="002729EA">
        <w:rPr>
          <w:rFonts w:eastAsia="Times New Roman" w:cs="Times New Roman"/>
          <w:color w:val="0D0D0D" w:themeColor="text1" w:themeTint="F2"/>
          <w:szCs w:val="20"/>
        </w:rPr>
        <w:t xml:space="preserve">métricas de fabricación </w:t>
      </w:r>
      <w:r>
        <w:rPr>
          <w:rFonts w:eastAsia="Times New Roman" w:cs="Times New Roman"/>
          <w:color w:val="0D0D0D" w:themeColor="text1" w:themeTint="F2"/>
          <w:szCs w:val="20"/>
        </w:rPr>
        <w:t>y la</w:t>
      </w:r>
      <w:r w:rsidRPr="002729EA">
        <w:rPr>
          <w:rFonts w:eastAsia="Times New Roman" w:cs="Times New Roman"/>
          <w:color w:val="0D0D0D" w:themeColor="text1" w:themeTint="F2"/>
          <w:szCs w:val="20"/>
        </w:rPr>
        <w:t xml:space="preserve"> información </w:t>
      </w:r>
      <w:r>
        <w:rPr>
          <w:rFonts w:eastAsia="Times New Roman" w:cs="Times New Roman"/>
          <w:color w:val="0D0D0D" w:themeColor="text1" w:themeTint="F2"/>
          <w:szCs w:val="20"/>
        </w:rPr>
        <w:t xml:space="preserve">sobre </w:t>
      </w:r>
      <w:r w:rsidRPr="002729EA">
        <w:rPr>
          <w:rFonts w:eastAsia="Times New Roman" w:cs="Times New Roman"/>
          <w:color w:val="0D0D0D" w:themeColor="text1" w:themeTint="F2"/>
          <w:szCs w:val="20"/>
        </w:rPr>
        <w:t xml:space="preserve">la cadena de suministro para monitorear la calidad del producto después de su aprobación. </w:t>
      </w:r>
      <w:r>
        <w:rPr>
          <w:rFonts w:eastAsia="Times New Roman" w:cs="Times New Roman"/>
          <w:color w:val="0D0D0D" w:themeColor="text1" w:themeTint="F2"/>
          <w:szCs w:val="20"/>
        </w:rPr>
        <w:t>Utilizando</w:t>
      </w:r>
      <w:r w:rsidRPr="002729EA">
        <w:rPr>
          <w:rFonts w:eastAsia="Times New Roman" w:cs="Times New Roman"/>
          <w:color w:val="0D0D0D" w:themeColor="text1" w:themeTint="F2"/>
          <w:szCs w:val="20"/>
        </w:rPr>
        <w:t xml:space="preserve"> estos datos, la agencia identifica e investiga posibles problemas de calidad. </w:t>
      </w:r>
    </w:p>
    <w:p w14:paraId="2A654990" w14:textId="77777777" w:rsidR="00EA71DA" w:rsidRDefault="00EA71DA" w:rsidP="008B7435">
      <w:pPr>
        <w:spacing w:after="225"/>
        <w:contextualSpacing/>
        <w:outlineLvl w:val="0"/>
        <w:rPr>
          <w:rFonts w:eastAsia="Times New Roman" w:cs="Times New Roman"/>
          <w:color w:val="0D0D0D" w:themeColor="text1" w:themeTint="F2"/>
          <w:szCs w:val="20"/>
        </w:rPr>
      </w:pPr>
    </w:p>
    <w:p w14:paraId="6BA1DF9A" w14:textId="0666A219" w:rsidR="008B7435" w:rsidRPr="002729EA" w:rsidRDefault="008B7435" w:rsidP="008B7435">
      <w:pPr>
        <w:spacing w:after="225"/>
        <w:contextualSpacing/>
        <w:outlineLvl w:val="0"/>
        <w:rPr>
          <w:rFonts w:eastAsia="Times New Roman" w:cs="Times New Roman"/>
          <w:color w:val="0D0D0D" w:themeColor="text1" w:themeTint="F2"/>
          <w:szCs w:val="20"/>
        </w:rPr>
      </w:pPr>
      <w:r w:rsidRPr="002729EA">
        <w:rPr>
          <w:rFonts w:eastAsia="Times New Roman" w:cs="Times New Roman"/>
          <w:color w:val="0D0D0D" w:themeColor="text1" w:themeTint="F2"/>
          <w:szCs w:val="20"/>
        </w:rPr>
        <w:t xml:space="preserve">Cuando se detectan patrones </w:t>
      </w:r>
      <w:r>
        <w:rPr>
          <w:rFonts w:eastAsia="Times New Roman" w:cs="Times New Roman"/>
          <w:color w:val="0D0D0D" w:themeColor="text1" w:themeTint="F2"/>
          <w:szCs w:val="20"/>
        </w:rPr>
        <w:t>qu</w:t>
      </w:r>
      <w:r w:rsidRPr="002729EA">
        <w:rPr>
          <w:rFonts w:eastAsia="Times New Roman" w:cs="Times New Roman"/>
          <w:color w:val="0D0D0D" w:themeColor="text1" w:themeTint="F2"/>
          <w:szCs w:val="20"/>
        </w:rPr>
        <w:t>e</w:t>
      </w:r>
      <w:r>
        <w:rPr>
          <w:rFonts w:eastAsia="Times New Roman" w:cs="Times New Roman"/>
          <w:color w:val="0D0D0D" w:themeColor="text1" w:themeTint="F2"/>
          <w:szCs w:val="20"/>
        </w:rPr>
        <w:t xml:space="preserve"> generan preocupación sobre</w:t>
      </w:r>
      <w:r w:rsidRPr="002729EA">
        <w:rPr>
          <w:rFonts w:eastAsia="Times New Roman" w:cs="Times New Roman"/>
          <w:color w:val="0D0D0D" w:themeColor="text1" w:themeTint="F2"/>
          <w:szCs w:val="20"/>
        </w:rPr>
        <w:t xml:space="preserve"> eventos adversos, la FDA </w:t>
      </w:r>
      <w:r>
        <w:rPr>
          <w:rFonts w:eastAsia="Times New Roman" w:cs="Times New Roman"/>
          <w:color w:val="0D0D0D" w:themeColor="text1" w:themeTint="F2"/>
          <w:szCs w:val="20"/>
        </w:rPr>
        <w:t>realiza</w:t>
      </w:r>
      <w:r w:rsidRPr="002729EA">
        <w:rPr>
          <w:rFonts w:eastAsia="Times New Roman" w:cs="Times New Roman"/>
          <w:color w:val="0D0D0D" w:themeColor="text1" w:themeTint="F2"/>
          <w:szCs w:val="20"/>
        </w:rPr>
        <w:t xml:space="preserve"> una investigación exhaustiva, que puede incluir </w:t>
      </w:r>
      <w:r>
        <w:rPr>
          <w:rFonts w:eastAsia="Times New Roman" w:cs="Times New Roman"/>
          <w:color w:val="0D0D0D" w:themeColor="text1" w:themeTint="F2"/>
          <w:szCs w:val="20"/>
        </w:rPr>
        <w:t>la realización de pruebas</w:t>
      </w:r>
      <w:r w:rsidRPr="002729EA">
        <w:rPr>
          <w:rFonts w:eastAsia="Times New Roman" w:cs="Times New Roman"/>
          <w:color w:val="0D0D0D" w:themeColor="text1" w:themeTint="F2"/>
          <w:szCs w:val="20"/>
        </w:rPr>
        <w:t xml:space="preserve"> del producto, inspecciones o análisis para </w:t>
      </w:r>
      <w:r>
        <w:rPr>
          <w:rFonts w:eastAsia="Times New Roman" w:cs="Times New Roman"/>
          <w:color w:val="0D0D0D" w:themeColor="text1" w:themeTint="F2"/>
          <w:szCs w:val="20"/>
        </w:rPr>
        <w:t>rastre</w:t>
      </w:r>
      <w:r w:rsidRPr="002729EA">
        <w:rPr>
          <w:rFonts w:eastAsia="Times New Roman" w:cs="Times New Roman"/>
          <w:color w:val="0D0D0D" w:themeColor="text1" w:themeTint="F2"/>
          <w:szCs w:val="20"/>
        </w:rPr>
        <w:t>ar qué pacientes utilizaron c</w:t>
      </w:r>
      <w:r>
        <w:rPr>
          <w:rFonts w:eastAsia="Times New Roman" w:cs="Times New Roman"/>
          <w:color w:val="0D0D0D" w:themeColor="text1" w:themeTint="F2"/>
          <w:szCs w:val="20"/>
        </w:rPr>
        <w:t>uál lote</w:t>
      </w:r>
      <w:r w:rsidRPr="002729EA">
        <w:rPr>
          <w:rFonts w:eastAsia="Times New Roman" w:cs="Times New Roman"/>
          <w:color w:val="0D0D0D" w:themeColor="text1" w:themeTint="F2"/>
          <w:szCs w:val="20"/>
        </w:rPr>
        <w:t xml:space="preserve"> del medicamento</w:t>
      </w:r>
      <w:r>
        <w:rPr>
          <w:rFonts w:eastAsia="Times New Roman" w:cs="Times New Roman"/>
          <w:color w:val="0D0D0D" w:themeColor="text1" w:themeTint="F2"/>
          <w:szCs w:val="20"/>
        </w:rPr>
        <w:t xml:space="preserve"> en cuestión</w:t>
      </w:r>
      <w:r w:rsidRPr="002729EA">
        <w:rPr>
          <w:rFonts w:eastAsia="Times New Roman" w:cs="Times New Roman"/>
          <w:color w:val="0D0D0D" w:themeColor="text1" w:themeTint="F2"/>
          <w:szCs w:val="20"/>
        </w:rPr>
        <w:t>.</w:t>
      </w:r>
    </w:p>
    <w:p w14:paraId="3C0C01DE" w14:textId="77777777" w:rsidR="008B7435" w:rsidRPr="002729EA" w:rsidRDefault="008B7435" w:rsidP="008B7435">
      <w:pPr>
        <w:spacing w:after="225"/>
        <w:contextualSpacing/>
        <w:outlineLvl w:val="0"/>
        <w:rPr>
          <w:rFonts w:eastAsia="Times New Roman" w:cs="Times New Roman"/>
          <w:color w:val="EE0000"/>
          <w:szCs w:val="20"/>
        </w:rPr>
      </w:pPr>
    </w:p>
    <w:p w14:paraId="33B08348" w14:textId="77777777" w:rsidR="008B7435" w:rsidRDefault="008B7435" w:rsidP="008B7435">
      <w:pPr>
        <w:spacing w:after="225"/>
        <w:contextualSpacing/>
        <w:outlineLvl w:val="0"/>
        <w:rPr>
          <w:rFonts w:eastAsia="Times New Roman" w:cs="Times New Roman"/>
          <w:color w:val="0D0D0D" w:themeColor="text1" w:themeTint="F2"/>
          <w:szCs w:val="20"/>
        </w:rPr>
      </w:pPr>
      <w:r w:rsidRPr="002E54BF">
        <w:rPr>
          <w:rFonts w:eastAsia="Times New Roman" w:cs="Times New Roman"/>
          <w:color w:val="0D0D0D" w:themeColor="text1" w:themeTint="F2"/>
          <w:szCs w:val="20"/>
        </w:rPr>
        <w:t xml:space="preserve">Además de las inspecciones de </w:t>
      </w:r>
      <w:r>
        <w:rPr>
          <w:rFonts w:eastAsia="Times New Roman" w:cs="Times New Roman"/>
          <w:color w:val="0D0D0D" w:themeColor="text1" w:themeTint="F2"/>
          <w:szCs w:val="20"/>
        </w:rPr>
        <w:t xml:space="preserve">las </w:t>
      </w:r>
      <w:r w:rsidRPr="002E54BF">
        <w:rPr>
          <w:rFonts w:eastAsia="Times New Roman" w:cs="Times New Roman"/>
          <w:color w:val="0D0D0D" w:themeColor="text1" w:themeTint="F2"/>
          <w:szCs w:val="20"/>
        </w:rPr>
        <w:t>instalaciones, la FDA realiza pruebas específicas de los medicamentos comercializados.</w:t>
      </w:r>
      <w:r>
        <w:rPr>
          <w:rFonts w:eastAsia="Times New Roman" w:cs="Times New Roman"/>
          <w:color w:val="0D0D0D" w:themeColor="text1" w:themeTint="F2"/>
          <w:szCs w:val="20"/>
        </w:rPr>
        <w:t xml:space="preserve"> Las restricciones presupuestales limitan el testeo</w:t>
      </w:r>
      <w:r w:rsidRPr="002E54BF">
        <w:rPr>
          <w:rFonts w:eastAsia="Times New Roman" w:cs="Times New Roman"/>
          <w:color w:val="0D0D0D" w:themeColor="text1" w:themeTint="F2"/>
          <w:szCs w:val="20"/>
        </w:rPr>
        <w:t xml:space="preserve"> rutinari</w:t>
      </w:r>
      <w:r>
        <w:rPr>
          <w:rFonts w:eastAsia="Times New Roman" w:cs="Times New Roman"/>
          <w:color w:val="0D0D0D" w:themeColor="text1" w:themeTint="F2"/>
          <w:szCs w:val="20"/>
        </w:rPr>
        <w:t>o</w:t>
      </w:r>
      <w:r w:rsidRPr="002E54BF">
        <w:rPr>
          <w:rFonts w:eastAsia="Times New Roman" w:cs="Times New Roman"/>
          <w:color w:val="0D0D0D" w:themeColor="text1" w:themeTint="F2"/>
          <w:szCs w:val="20"/>
        </w:rPr>
        <w:t xml:space="preserve"> </w:t>
      </w:r>
      <w:r>
        <w:rPr>
          <w:rFonts w:eastAsia="Times New Roman" w:cs="Times New Roman"/>
          <w:color w:val="0D0D0D" w:themeColor="text1" w:themeTint="F2"/>
          <w:szCs w:val="20"/>
        </w:rPr>
        <w:t>de</w:t>
      </w:r>
      <w:r w:rsidRPr="002E54BF">
        <w:rPr>
          <w:rFonts w:eastAsia="Times New Roman" w:cs="Times New Roman"/>
          <w:color w:val="0D0D0D" w:themeColor="text1" w:themeTint="F2"/>
          <w:szCs w:val="20"/>
        </w:rPr>
        <w:t xml:space="preserve"> todos los medicamentos, por lo que empleamos un enfoque basado en el riesgo</w:t>
      </w:r>
      <w:r>
        <w:rPr>
          <w:rFonts w:eastAsia="Times New Roman" w:cs="Times New Roman"/>
          <w:color w:val="0D0D0D" w:themeColor="text1" w:themeTint="F2"/>
          <w:szCs w:val="20"/>
        </w:rPr>
        <w:t>,</w:t>
      </w:r>
      <w:r w:rsidRPr="002E54BF">
        <w:rPr>
          <w:rFonts w:eastAsia="Times New Roman" w:cs="Times New Roman"/>
          <w:color w:val="0D0D0D" w:themeColor="text1" w:themeTint="F2"/>
          <w:szCs w:val="20"/>
        </w:rPr>
        <w:t xml:space="preserve"> que se centra en los medicamentos con perfiles de riesgo más elevados y en aquellos sobre los que recibimos informes de </w:t>
      </w:r>
      <w:r>
        <w:rPr>
          <w:rFonts w:eastAsia="Times New Roman" w:cs="Times New Roman"/>
          <w:color w:val="0D0D0D" w:themeColor="text1" w:themeTint="F2"/>
          <w:szCs w:val="20"/>
        </w:rPr>
        <w:t xml:space="preserve">preocupaciones de </w:t>
      </w:r>
      <w:r w:rsidRPr="002E54BF">
        <w:rPr>
          <w:rFonts w:eastAsia="Times New Roman" w:cs="Times New Roman"/>
          <w:color w:val="0D0D0D" w:themeColor="text1" w:themeTint="F2"/>
          <w:szCs w:val="20"/>
        </w:rPr>
        <w:t xml:space="preserve">calidad </w:t>
      </w:r>
      <w:r>
        <w:rPr>
          <w:rFonts w:eastAsia="Times New Roman" w:cs="Times New Roman"/>
          <w:color w:val="0D0D0D" w:themeColor="text1" w:themeTint="F2"/>
          <w:szCs w:val="20"/>
        </w:rPr>
        <w:t>con</w:t>
      </w:r>
      <w:r w:rsidRPr="002E54BF">
        <w:rPr>
          <w:rFonts w:eastAsia="Times New Roman" w:cs="Times New Roman"/>
          <w:color w:val="0D0D0D" w:themeColor="text1" w:themeTint="F2"/>
          <w:szCs w:val="20"/>
        </w:rPr>
        <w:t>fiables a través de nuestros sistemas de vigilancia. Asimismo, contamos con sistemas s</w:t>
      </w:r>
      <w:r>
        <w:rPr>
          <w:rFonts w:eastAsia="Times New Roman" w:cs="Times New Roman"/>
          <w:color w:val="0D0D0D" w:themeColor="text1" w:themeTint="F2"/>
          <w:szCs w:val="20"/>
        </w:rPr>
        <w:t>ólidos</w:t>
      </w:r>
      <w:r w:rsidRPr="002E54BF">
        <w:rPr>
          <w:rFonts w:eastAsia="Times New Roman" w:cs="Times New Roman"/>
          <w:color w:val="0D0D0D" w:themeColor="text1" w:themeTint="F2"/>
          <w:szCs w:val="20"/>
        </w:rPr>
        <w:t xml:space="preserve"> de monitoreo de eventos adversos que pueden detectar señales o problemas </w:t>
      </w:r>
      <w:r>
        <w:rPr>
          <w:rFonts w:eastAsia="Times New Roman" w:cs="Times New Roman"/>
          <w:color w:val="0D0D0D" w:themeColor="text1" w:themeTint="F2"/>
          <w:szCs w:val="20"/>
        </w:rPr>
        <w:t xml:space="preserve">potenciales </w:t>
      </w:r>
      <w:r w:rsidRPr="002E54BF">
        <w:rPr>
          <w:rFonts w:eastAsia="Times New Roman" w:cs="Times New Roman"/>
          <w:color w:val="0D0D0D" w:themeColor="text1" w:themeTint="F2"/>
          <w:szCs w:val="20"/>
        </w:rPr>
        <w:t>de equivalencia o de seguridad, lo que nos permite investigar y actuar cuando surgen problemas.</w:t>
      </w:r>
    </w:p>
    <w:p w14:paraId="15A92EA3" w14:textId="77777777" w:rsidR="008B7435" w:rsidRPr="002E54BF" w:rsidRDefault="008B7435" w:rsidP="008B7435">
      <w:pPr>
        <w:spacing w:after="225"/>
        <w:contextualSpacing/>
        <w:outlineLvl w:val="0"/>
        <w:rPr>
          <w:rFonts w:eastAsia="Times New Roman" w:cs="Times New Roman"/>
          <w:color w:val="0D0D0D" w:themeColor="text1" w:themeTint="F2"/>
          <w:szCs w:val="20"/>
        </w:rPr>
      </w:pPr>
    </w:p>
    <w:p w14:paraId="166ECFA6" w14:textId="77777777" w:rsidR="008B7435" w:rsidRDefault="008B7435" w:rsidP="008B7435">
      <w:pPr>
        <w:spacing w:after="225"/>
        <w:contextualSpacing/>
        <w:outlineLvl w:val="0"/>
        <w:rPr>
          <w:rFonts w:eastAsia="Times New Roman" w:cs="Times New Roman"/>
          <w:color w:val="0D0D0D" w:themeColor="text1" w:themeTint="F2"/>
          <w:szCs w:val="20"/>
        </w:rPr>
      </w:pPr>
      <w:r w:rsidRPr="00840D3D">
        <w:rPr>
          <w:rFonts w:eastAsia="Times New Roman" w:cs="Times New Roman"/>
          <w:color w:val="0D0D0D" w:themeColor="text1" w:themeTint="F2"/>
          <w:szCs w:val="20"/>
        </w:rPr>
        <w:t xml:space="preserve">El auge de los laboratorios de análisis de terceros [externos] adicionó complejidad al panorama de la calidad farmacéutica. La agencia está abierta a los análisis de terceros cuando éstos se realizan con métodos apropiados y validados. Sin embargo, nos preocupan considerablemente los análisis que utilizan </w:t>
      </w:r>
      <w:r w:rsidRPr="00840D3D">
        <w:rPr>
          <w:rFonts w:eastAsia="Times New Roman" w:cs="Times New Roman"/>
          <w:color w:val="0D0D0D" w:themeColor="text1" w:themeTint="F2"/>
          <w:szCs w:val="20"/>
        </w:rPr>
        <w:lastRenderedPageBreak/>
        <w:t xml:space="preserve">metodologías cuestionables y que, en ocasiones han arrojado resultados erróneos de gran magnitud y han generado alarma sin que hubiera una base científica. </w:t>
      </w:r>
    </w:p>
    <w:p w14:paraId="3420E221" w14:textId="77777777" w:rsidR="008B7435" w:rsidRDefault="008B7435" w:rsidP="008B7435">
      <w:pPr>
        <w:spacing w:after="225"/>
        <w:contextualSpacing/>
        <w:outlineLvl w:val="0"/>
        <w:rPr>
          <w:rFonts w:eastAsia="Times New Roman" w:cs="Times New Roman"/>
          <w:color w:val="0D0D0D" w:themeColor="text1" w:themeTint="F2"/>
          <w:szCs w:val="20"/>
        </w:rPr>
      </w:pPr>
    </w:p>
    <w:p w14:paraId="6C8FE91F" w14:textId="77777777" w:rsidR="008B7435" w:rsidRPr="007D7A84" w:rsidRDefault="008B7435" w:rsidP="008B7435">
      <w:pPr>
        <w:spacing w:after="225"/>
        <w:contextualSpacing/>
        <w:outlineLvl w:val="0"/>
        <w:rPr>
          <w:rFonts w:eastAsia="Times New Roman" w:cs="Times New Roman"/>
          <w:color w:val="EE0000"/>
          <w:szCs w:val="20"/>
        </w:rPr>
      </w:pPr>
      <w:r w:rsidRPr="00840D3D">
        <w:rPr>
          <w:rFonts w:eastAsia="Times New Roman" w:cs="Times New Roman"/>
          <w:color w:val="0D0D0D" w:themeColor="text1" w:themeTint="F2"/>
          <w:szCs w:val="20"/>
        </w:rPr>
        <w:t xml:space="preserve">Cuando se sospecha que los medicamentos genéricos tienen problemas de calidad o seguridad se deben notificar al </w:t>
      </w:r>
      <w:hyperlink r:id="rId110" w:anchor="/drugs/human" w:history="1">
        <w:proofErr w:type="spellStart"/>
        <w:r w:rsidRPr="00840D3D">
          <w:rPr>
            <w:rStyle w:val="Hipervnculo"/>
            <w:rFonts w:eastAsia="Times New Roman" w:cs="Times New Roman"/>
            <w:szCs w:val="20"/>
          </w:rPr>
          <w:t>SmartHub</w:t>
        </w:r>
        <w:proofErr w:type="spellEnd"/>
      </w:hyperlink>
      <w:r w:rsidRPr="00840D3D">
        <w:rPr>
          <w:rFonts w:eastAsia="Times New Roman" w:cs="Times New Roman"/>
          <w:color w:val="EE0000"/>
          <w:szCs w:val="20"/>
        </w:rPr>
        <w:t xml:space="preserve"> </w:t>
      </w:r>
      <w:r w:rsidRPr="00840D3D">
        <w:rPr>
          <w:rFonts w:eastAsia="Times New Roman" w:cs="Times New Roman"/>
          <w:color w:val="0D0D0D" w:themeColor="text1" w:themeTint="F2"/>
          <w:szCs w:val="20"/>
        </w:rPr>
        <w:t>[5] de la FDA, para que vigilancia regulatoria sea eficaz. Si bien los medicamentos genéricos representan el 90% de todas las recetas, hasta la fecha han representado solo el 40% de los reportes por problemas de calidad que ha recibido la FDA.</w:t>
      </w:r>
    </w:p>
    <w:p w14:paraId="67EF41FF" w14:textId="77777777" w:rsidR="008B7435" w:rsidRPr="007D7A84" w:rsidRDefault="008B7435" w:rsidP="008B7435">
      <w:pPr>
        <w:spacing w:after="225"/>
        <w:contextualSpacing/>
        <w:outlineLvl w:val="0"/>
        <w:rPr>
          <w:rFonts w:eastAsia="Times New Roman" w:cs="Times New Roman"/>
          <w:b/>
          <w:bCs/>
          <w:color w:val="EE0000"/>
          <w:szCs w:val="20"/>
        </w:rPr>
      </w:pPr>
    </w:p>
    <w:p w14:paraId="60C3B7AA" w14:textId="77777777" w:rsidR="008B7435" w:rsidRPr="00781BFA" w:rsidRDefault="008B7435" w:rsidP="008B7435">
      <w:pPr>
        <w:spacing w:after="225"/>
        <w:contextualSpacing/>
        <w:outlineLvl w:val="0"/>
        <w:rPr>
          <w:rFonts w:eastAsia="Times New Roman" w:cs="Times New Roman"/>
          <w:b/>
          <w:bCs/>
          <w:color w:val="0D0D0D" w:themeColor="text1" w:themeTint="F2"/>
          <w:szCs w:val="20"/>
        </w:rPr>
      </w:pPr>
      <w:r w:rsidRPr="00781BFA">
        <w:rPr>
          <w:rFonts w:eastAsia="Times New Roman" w:cs="Times New Roman"/>
          <w:b/>
          <w:bCs/>
          <w:color w:val="0D0D0D" w:themeColor="text1" w:themeTint="F2"/>
          <w:szCs w:val="20"/>
        </w:rPr>
        <w:t>Perspectivas futuras para el programa de medicamentos genéricos</w:t>
      </w:r>
    </w:p>
    <w:p w14:paraId="4F69E167" w14:textId="77777777" w:rsidR="008B7435" w:rsidRDefault="008B7435" w:rsidP="008B7435">
      <w:pPr>
        <w:spacing w:after="225"/>
        <w:contextualSpacing/>
        <w:outlineLvl w:val="0"/>
        <w:rPr>
          <w:rFonts w:eastAsia="Times New Roman" w:cs="Times New Roman"/>
          <w:color w:val="0D0D0D" w:themeColor="text1" w:themeTint="F2"/>
          <w:szCs w:val="20"/>
        </w:rPr>
      </w:pPr>
      <w:r w:rsidRPr="00781BFA">
        <w:rPr>
          <w:rFonts w:eastAsia="Times New Roman" w:cs="Times New Roman"/>
          <w:color w:val="0D0D0D" w:themeColor="text1" w:themeTint="F2"/>
          <w:szCs w:val="20"/>
        </w:rPr>
        <w:t>El programa de medicamentos genéricos es un esfuerzo colabora</w:t>
      </w:r>
      <w:r>
        <w:rPr>
          <w:rFonts w:eastAsia="Times New Roman" w:cs="Times New Roman"/>
          <w:color w:val="0D0D0D" w:themeColor="text1" w:themeTint="F2"/>
          <w:szCs w:val="20"/>
        </w:rPr>
        <w:t>tivo</w:t>
      </w:r>
      <w:r w:rsidRPr="00781BFA">
        <w:rPr>
          <w:rFonts w:eastAsia="Times New Roman" w:cs="Times New Roman"/>
          <w:color w:val="0D0D0D" w:themeColor="text1" w:themeTint="F2"/>
          <w:szCs w:val="20"/>
        </w:rPr>
        <w:t xml:space="preserve"> en</w:t>
      </w:r>
      <w:r>
        <w:rPr>
          <w:rFonts w:eastAsia="Times New Roman" w:cs="Times New Roman"/>
          <w:color w:val="0D0D0D" w:themeColor="text1" w:themeTint="F2"/>
          <w:szCs w:val="20"/>
        </w:rPr>
        <w:t xml:space="preserve">tre </w:t>
      </w:r>
      <w:proofErr w:type="spellStart"/>
      <w:r>
        <w:rPr>
          <w:rFonts w:eastAsia="Times New Roman" w:cs="Times New Roman"/>
          <w:color w:val="0D0D0D" w:themeColor="text1" w:themeTint="F2"/>
          <w:szCs w:val="20"/>
        </w:rPr>
        <w:t>multiples</w:t>
      </w:r>
      <w:proofErr w:type="spellEnd"/>
      <w:r>
        <w:rPr>
          <w:rFonts w:eastAsia="Times New Roman" w:cs="Times New Roman"/>
          <w:color w:val="0D0D0D" w:themeColor="text1" w:themeTint="F2"/>
          <w:szCs w:val="20"/>
        </w:rPr>
        <w:t xml:space="preserve"> oficinas de</w:t>
      </w:r>
      <w:r w:rsidRPr="00781BFA">
        <w:rPr>
          <w:rFonts w:eastAsia="Times New Roman" w:cs="Times New Roman"/>
          <w:color w:val="0D0D0D" w:themeColor="text1" w:themeTint="F2"/>
          <w:szCs w:val="20"/>
        </w:rPr>
        <w:t xml:space="preserve"> la FDA, incluye</w:t>
      </w:r>
      <w:r>
        <w:rPr>
          <w:rFonts w:eastAsia="Times New Roman" w:cs="Times New Roman"/>
          <w:color w:val="0D0D0D" w:themeColor="text1" w:themeTint="F2"/>
          <w:szCs w:val="20"/>
        </w:rPr>
        <w:t>ndo (pero sin restringirse)</w:t>
      </w:r>
      <w:r w:rsidRPr="00781BFA">
        <w:rPr>
          <w:rFonts w:eastAsia="Times New Roman" w:cs="Times New Roman"/>
          <w:color w:val="0D0D0D" w:themeColor="text1" w:themeTint="F2"/>
          <w:szCs w:val="20"/>
        </w:rPr>
        <w:t xml:space="preserve"> las Oficinas de Medicamentos Genéricos, Calidad Farmacéutica, Cumplimiento Normativo y Vigilancia y Epidemiología: un </w:t>
      </w:r>
      <w:r>
        <w:rPr>
          <w:rFonts w:eastAsia="Times New Roman" w:cs="Times New Roman"/>
          <w:color w:val="0D0D0D" w:themeColor="text1" w:themeTint="F2"/>
          <w:szCs w:val="20"/>
        </w:rPr>
        <w:t>testimonio</w:t>
      </w:r>
      <w:r w:rsidRPr="00781BFA">
        <w:rPr>
          <w:rFonts w:eastAsia="Times New Roman" w:cs="Times New Roman"/>
          <w:color w:val="0D0D0D" w:themeColor="text1" w:themeTint="F2"/>
          <w:szCs w:val="20"/>
        </w:rPr>
        <w:t xml:space="preserve"> del amplio compromiso de la FDA para garantizar la calidad de los medicamentos genéricos para los estadounidenses.</w:t>
      </w:r>
    </w:p>
    <w:p w14:paraId="2BF914CB" w14:textId="77777777" w:rsidR="008B7435" w:rsidRPr="00781BFA" w:rsidRDefault="008B7435" w:rsidP="008B7435">
      <w:pPr>
        <w:spacing w:after="225"/>
        <w:contextualSpacing/>
        <w:outlineLvl w:val="0"/>
        <w:rPr>
          <w:rFonts w:eastAsia="Times New Roman" w:cs="Times New Roman"/>
          <w:color w:val="0D0D0D" w:themeColor="text1" w:themeTint="F2"/>
          <w:szCs w:val="20"/>
        </w:rPr>
      </w:pPr>
    </w:p>
    <w:p w14:paraId="0D9F8A90" w14:textId="77777777" w:rsidR="008B7435" w:rsidRDefault="008B7435" w:rsidP="008B7435">
      <w:pPr>
        <w:spacing w:after="225"/>
        <w:contextualSpacing/>
        <w:outlineLvl w:val="0"/>
        <w:rPr>
          <w:rFonts w:eastAsia="Times New Roman" w:cs="Times New Roman"/>
          <w:color w:val="0D0D0D" w:themeColor="text1" w:themeTint="F2"/>
          <w:szCs w:val="20"/>
        </w:rPr>
      </w:pPr>
      <w:r w:rsidRPr="00781BFA">
        <w:rPr>
          <w:rFonts w:eastAsia="Times New Roman" w:cs="Times New Roman"/>
          <w:color w:val="0D0D0D" w:themeColor="text1" w:themeTint="F2"/>
          <w:szCs w:val="20"/>
        </w:rPr>
        <w:t xml:space="preserve">La revisión acelerada de solicitudes de medicamentos genéricos por parte de la FDA para mitigar la escasez de fármacos ha sido eficaz. En 2025, solo se registraron cuatro nuevos casos de escasez, una cifra muy inferior al pico de 251 alcanzado en 2011. </w:t>
      </w:r>
    </w:p>
    <w:p w14:paraId="3C936F7C" w14:textId="77777777" w:rsidR="008B7435" w:rsidRDefault="008B7435" w:rsidP="008B7435">
      <w:pPr>
        <w:spacing w:after="225"/>
        <w:contextualSpacing/>
        <w:outlineLvl w:val="0"/>
        <w:rPr>
          <w:rFonts w:eastAsia="Times New Roman" w:cs="Times New Roman"/>
          <w:color w:val="0D0D0D" w:themeColor="text1" w:themeTint="F2"/>
          <w:szCs w:val="20"/>
        </w:rPr>
      </w:pPr>
    </w:p>
    <w:p w14:paraId="7F28B239" w14:textId="77777777" w:rsidR="008B7435" w:rsidRPr="00781BFA" w:rsidRDefault="008B7435" w:rsidP="008B7435">
      <w:pPr>
        <w:spacing w:after="225"/>
        <w:contextualSpacing/>
        <w:outlineLvl w:val="0"/>
        <w:rPr>
          <w:rFonts w:eastAsia="Times New Roman" w:cs="Times New Roman"/>
          <w:color w:val="0D0D0D" w:themeColor="text1" w:themeTint="F2"/>
          <w:szCs w:val="20"/>
        </w:rPr>
      </w:pPr>
      <w:r w:rsidRPr="00781BFA">
        <w:rPr>
          <w:rFonts w:eastAsia="Times New Roman" w:cs="Times New Roman"/>
          <w:color w:val="0D0D0D" w:themeColor="text1" w:themeTint="F2"/>
          <w:szCs w:val="20"/>
        </w:rPr>
        <w:t>La agencia mantiene su compromiso de garantizar que todos los medicamentos comercializados en E</w:t>
      </w:r>
      <w:r>
        <w:rPr>
          <w:rFonts w:eastAsia="Times New Roman" w:cs="Times New Roman"/>
          <w:color w:val="0D0D0D" w:themeColor="text1" w:themeTint="F2"/>
          <w:szCs w:val="20"/>
        </w:rPr>
        <w:t>E</w:t>
      </w:r>
      <w:r w:rsidRPr="00781BFA">
        <w:rPr>
          <w:rFonts w:eastAsia="Times New Roman" w:cs="Times New Roman"/>
          <w:color w:val="0D0D0D" w:themeColor="text1" w:themeTint="F2"/>
          <w:szCs w:val="20"/>
        </w:rPr>
        <w:t xml:space="preserve"> U</w:t>
      </w:r>
      <w:r>
        <w:rPr>
          <w:rFonts w:eastAsia="Times New Roman" w:cs="Times New Roman"/>
          <w:color w:val="0D0D0D" w:themeColor="text1" w:themeTint="F2"/>
          <w:szCs w:val="20"/>
        </w:rPr>
        <w:t>U</w:t>
      </w:r>
      <w:r w:rsidRPr="00781BFA">
        <w:rPr>
          <w:rFonts w:eastAsia="Times New Roman" w:cs="Times New Roman"/>
          <w:color w:val="0D0D0D" w:themeColor="text1" w:themeTint="F2"/>
          <w:szCs w:val="20"/>
        </w:rPr>
        <w:t xml:space="preserve">, ya sean de marca o genéricos, de fabricación nacional o importados, cumplan con rigurosos estándares de calidad. La FDA seguirá impulsando los procesos regulatorios y actuando cuando surjan </w:t>
      </w:r>
      <w:r>
        <w:rPr>
          <w:rFonts w:eastAsia="Times New Roman" w:cs="Times New Roman"/>
          <w:color w:val="0D0D0D" w:themeColor="text1" w:themeTint="F2"/>
          <w:szCs w:val="20"/>
        </w:rPr>
        <w:t xml:space="preserve">y se documenten </w:t>
      </w:r>
      <w:r w:rsidRPr="00781BFA">
        <w:rPr>
          <w:rFonts w:eastAsia="Times New Roman" w:cs="Times New Roman"/>
          <w:color w:val="0D0D0D" w:themeColor="text1" w:themeTint="F2"/>
          <w:szCs w:val="20"/>
        </w:rPr>
        <w:t>problemas de calidad. Esperamos colaborar con todas las partes interesadas para fortalecer el programa de medicamentos genéricos mediante políticas y acciones basadas en la evidencia que garanticen la calidad y el acceso para todos los estadounidenses.</w:t>
      </w:r>
    </w:p>
    <w:p w14:paraId="574A2E2A" w14:textId="77777777" w:rsidR="008B7435" w:rsidRPr="00781BFA" w:rsidRDefault="008B7435" w:rsidP="008B7435">
      <w:pPr>
        <w:spacing w:after="225"/>
        <w:contextualSpacing/>
        <w:outlineLvl w:val="0"/>
        <w:rPr>
          <w:rFonts w:eastAsia="Times New Roman" w:cs="Times New Roman"/>
          <w:color w:val="0D0D0D" w:themeColor="text1" w:themeTint="F2"/>
          <w:szCs w:val="20"/>
        </w:rPr>
      </w:pPr>
    </w:p>
    <w:p w14:paraId="53D9EC08" w14:textId="77777777" w:rsidR="008B7435" w:rsidRPr="00451634" w:rsidRDefault="008B7435" w:rsidP="008B7435">
      <w:pPr>
        <w:contextualSpacing/>
        <w:rPr>
          <w:rFonts w:eastAsia="Times New Roman" w:cs="Times New Roman"/>
          <w:b/>
          <w:bCs/>
          <w:color w:val="0D0D0D" w:themeColor="text1" w:themeTint="F2"/>
          <w:sz w:val="18"/>
          <w:szCs w:val="18"/>
          <w:lang w:val="en-US"/>
        </w:rPr>
      </w:pPr>
      <w:proofErr w:type="spellStart"/>
      <w:r w:rsidRPr="00451634">
        <w:rPr>
          <w:rFonts w:eastAsia="Times New Roman" w:cs="Times New Roman"/>
          <w:b/>
          <w:bCs/>
          <w:color w:val="0D0D0D" w:themeColor="text1" w:themeTint="F2"/>
          <w:sz w:val="18"/>
          <w:szCs w:val="18"/>
          <w:lang w:val="en-US"/>
        </w:rPr>
        <w:t>Referencias</w:t>
      </w:r>
      <w:proofErr w:type="spellEnd"/>
      <w:r w:rsidRPr="00451634">
        <w:rPr>
          <w:rFonts w:eastAsia="Times New Roman" w:cs="Times New Roman"/>
          <w:b/>
          <w:bCs/>
          <w:color w:val="0D0D0D" w:themeColor="text1" w:themeTint="F2"/>
          <w:sz w:val="18"/>
          <w:szCs w:val="18"/>
          <w:lang w:val="en-US"/>
        </w:rPr>
        <w:t>:</w:t>
      </w:r>
    </w:p>
    <w:p w14:paraId="6A40C286" w14:textId="77777777" w:rsidR="008B7435" w:rsidRPr="00451634" w:rsidRDefault="008B7435" w:rsidP="008B7435">
      <w:pPr>
        <w:ind w:left="180" w:hanging="180"/>
        <w:rPr>
          <w:sz w:val="18"/>
          <w:szCs w:val="22"/>
          <w:lang w:val="en-US"/>
        </w:rPr>
      </w:pPr>
      <w:r w:rsidRPr="00451634">
        <w:rPr>
          <w:sz w:val="18"/>
          <w:szCs w:val="22"/>
          <w:lang w:val="en-US"/>
        </w:rPr>
        <w:t xml:space="preserve">1.FDA. Product-Specific </w:t>
      </w:r>
      <w:proofErr w:type="spellStart"/>
      <w:r w:rsidRPr="00451634">
        <w:rPr>
          <w:sz w:val="18"/>
          <w:szCs w:val="22"/>
          <w:lang w:val="en-US"/>
        </w:rPr>
        <w:t>Guidances</w:t>
      </w:r>
      <w:proofErr w:type="spellEnd"/>
      <w:r w:rsidRPr="00451634">
        <w:rPr>
          <w:sz w:val="18"/>
          <w:szCs w:val="22"/>
          <w:lang w:val="en-US"/>
        </w:rPr>
        <w:t xml:space="preserve"> for Generic Drug Development</w:t>
      </w:r>
      <w:r w:rsidRPr="00451634">
        <w:rPr>
          <w:rFonts w:eastAsia="Times New Roman" w:cs="Times New Roman"/>
          <w:color w:val="0D0D0D" w:themeColor="text1" w:themeTint="F2"/>
          <w:sz w:val="18"/>
          <w:szCs w:val="18"/>
          <w:lang w:val="en-US"/>
        </w:rPr>
        <w:t xml:space="preserve"> </w:t>
      </w:r>
      <w:hyperlink r:id="rId111" w:history="1">
        <w:r w:rsidRPr="00451634">
          <w:rPr>
            <w:rStyle w:val="Hipervnculo"/>
            <w:rFonts w:eastAsia="Times New Roman" w:cs="Times New Roman"/>
            <w:sz w:val="18"/>
            <w:szCs w:val="18"/>
            <w:lang w:val="en-US"/>
          </w:rPr>
          <w:t>https://www.accessdata.fda.gov/scripts/cder/psg/index.cfm</w:t>
        </w:r>
      </w:hyperlink>
    </w:p>
    <w:p w14:paraId="517383CB" w14:textId="77777777" w:rsidR="008B7435" w:rsidRPr="00564D6D" w:rsidRDefault="008B7435" w:rsidP="008B7435">
      <w:pPr>
        <w:ind w:left="180" w:hanging="180"/>
        <w:contextualSpacing/>
        <w:rPr>
          <w:rFonts w:eastAsia="Times New Roman" w:cs="Times New Roman"/>
          <w:color w:val="0D0D0D" w:themeColor="text1" w:themeTint="F2"/>
          <w:sz w:val="18"/>
          <w:szCs w:val="18"/>
          <w:lang w:val="en-US"/>
        </w:rPr>
      </w:pPr>
      <w:r w:rsidRPr="00451634">
        <w:rPr>
          <w:rFonts w:eastAsia="Times New Roman" w:cs="Times New Roman"/>
          <w:color w:val="0D0D0D" w:themeColor="text1" w:themeTint="F2"/>
          <w:sz w:val="18"/>
          <w:szCs w:val="18"/>
          <w:lang w:val="en-US"/>
        </w:rPr>
        <w:t xml:space="preserve">2.FDA. CDER Quality Management Maturity </w:t>
      </w:r>
      <w:hyperlink r:id="rId112" w:history="1">
        <w:r w:rsidRPr="00451634">
          <w:rPr>
            <w:rStyle w:val="Hipervnculo"/>
            <w:rFonts w:eastAsia="Times New Roman" w:cs="Times New Roman"/>
            <w:sz w:val="18"/>
            <w:szCs w:val="18"/>
            <w:lang w:val="en-US"/>
          </w:rPr>
          <w:t>https://www.fda.gov/drugs/pharmaceutical-quality-resources/cder-quality-management-maturity</w:t>
        </w:r>
      </w:hyperlink>
    </w:p>
    <w:p w14:paraId="5793D8EA" w14:textId="77777777" w:rsidR="008B7435" w:rsidRPr="00564D6D" w:rsidRDefault="008B7435" w:rsidP="008B7435">
      <w:pPr>
        <w:ind w:left="180" w:hanging="180"/>
        <w:contextualSpacing/>
        <w:rPr>
          <w:rFonts w:eastAsia="Times New Roman" w:cs="Times New Roman"/>
          <w:color w:val="0D0D0D" w:themeColor="text1" w:themeTint="F2"/>
          <w:sz w:val="18"/>
          <w:szCs w:val="18"/>
          <w:lang w:val="en-US"/>
        </w:rPr>
      </w:pPr>
      <w:r w:rsidRPr="00F92856">
        <w:rPr>
          <w:rFonts w:eastAsia="Times New Roman" w:cs="Times New Roman"/>
          <w:color w:val="0D0D0D" w:themeColor="text1" w:themeTint="F2"/>
          <w:sz w:val="18"/>
          <w:szCs w:val="18"/>
          <w:lang w:val="en-US"/>
        </w:rPr>
        <w:t>3.FDA. Mutual recognition agreem</w:t>
      </w:r>
      <w:r>
        <w:rPr>
          <w:rFonts w:eastAsia="Times New Roman" w:cs="Times New Roman"/>
          <w:color w:val="0D0D0D" w:themeColor="text1" w:themeTint="F2"/>
          <w:sz w:val="18"/>
          <w:szCs w:val="18"/>
          <w:lang w:val="en-US"/>
        </w:rPr>
        <w:t>ents</w:t>
      </w:r>
      <w:r w:rsidRPr="00F92856">
        <w:rPr>
          <w:rFonts w:eastAsia="Times New Roman" w:cs="Times New Roman"/>
          <w:color w:val="0D0D0D" w:themeColor="text1" w:themeTint="F2"/>
          <w:sz w:val="18"/>
          <w:szCs w:val="18"/>
          <w:lang w:val="en-US"/>
        </w:rPr>
        <w:t xml:space="preserve"> </w:t>
      </w:r>
      <w:hyperlink r:id="rId113" w:history="1">
        <w:r w:rsidRPr="00F92856">
          <w:rPr>
            <w:rStyle w:val="Hipervnculo"/>
            <w:rFonts w:eastAsia="Times New Roman" w:cs="Times New Roman"/>
            <w:sz w:val="18"/>
            <w:szCs w:val="18"/>
            <w:lang w:val="en-US"/>
          </w:rPr>
          <w:t>https://www.fda.gov/international-programs/international-arrangements/mutual-recognition-agreements-mra</w:t>
        </w:r>
      </w:hyperlink>
    </w:p>
    <w:p w14:paraId="5DF55E80" w14:textId="77777777" w:rsidR="008B7435" w:rsidRPr="00564D6D" w:rsidRDefault="008B7435" w:rsidP="008B7435">
      <w:pPr>
        <w:ind w:left="180" w:hanging="180"/>
        <w:contextualSpacing/>
        <w:rPr>
          <w:rFonts w:eastAsia="Times New Roman" w:cs="Times New Roman"/>
          <w:color w:val="0D0D0D" w:themeColor="text1" w:themeTint="F2"/>
          <w:sz w:val="18"/>
          <w:szCs w:val="18"/>
          <w:lang w:val="en-US"/>
        </w:rPr>
      </w:pPr>
      <w:r w:rsidRPr="00B67A4D">
        <w:rPr>
          <w:rFonts w:eastAsia="Times New Roman" w:cs="Times New Roman"/>
          <w:color w:val="0D0D0D" w:themeColor="text1" w:themeTint="F2"/>
          <w:sz w:val="18"/>
          <w:szCs w:val="18"/>
          <w:lang w:val="en-US"/>
        </w:rPr>
        <w:t xml:space="preserve">4.FDA. FDA Launches </w:t>
      </w:r>
      <w:proofErr w:type="spellStart"/>
      <w:r w:rsidRPr="00B67A4D">
        <w:rPr>
          <w:rFonts w:eastAsia="Times New Roman" w:cs="Times New Roman"/>
          <w:color w:val="0D0D0D" w:themeColor="text1" w:themeTint="F2"/>
          <w:sz w:val="18"/>
          <w:szCs w:val="18"/>
          <w:lang w:val="en-US"/>
        </w:rPr>
        <w:t>PreCheck</w:t>
      </w:r>
      <w:proofErr w:type="spellEnd"/>
      <w:r w:rsidRPr="00B67A4D">
        <w:rPr>
          <w:rFonts w:eastAsia="Times New Roman" w:cs="Times New Roman"/>
          <w:color w:val="0D0D0D" w:themeColor="text1" w:themeTint="F2"/>
          <w:sz w:val="18"/>
          <w:szCs w:val="18"/>
          <w:lang w:val="en-US"/>
        </w:rPr>
        <w:t xml:space="preserve"> Pilot Program to Strengthen Domestic Pharmaceutical Manufacturing</w:t>
      </w:r>
      <w:r>
        <w:rPr>
          <w:rFonts w:eastAsia="Times New Roman" w:cs="Times New Roman"/>
          <w:color w:val="0D0D0D" w:themeColor="text1" w:themeTint="F2"/>
          <w:sz w:val="18"/>
          <w:szCs w:val="18"/>
          <w:lang w:val="en-US"/>
        </w:rPr>
        <w:t xml:space="preserve">, 2 de </w:t>
      </w:r>
      <w:proofErr w:type="spellStart"/>
      <w:r>
        <w:rPr>
          <w:rFonts w:eastAsia="Times New Roman" w:cs="Times New Roman"/>
          <w:color w:val="0D0D0D" w:themeColor="text1" w:themeTint="F2"/>
          <w:sz w:val="18"/>
          <w:szCs w:val="18"/>
          <w:lang w:val="en-US"/>
        </w:rPr>
        <w:t>enero</w:t>
      </w:r>
      <w:proofErr w:type="spellEnd"/>
      <w:r>
        <w:rPr>
          <w:rFonts w:eastAsia="Times New Roman" w:cs="Times New Roman"/>
          <w:color w:val="0D0D0D" w:themeColor="text1" w:themeTint="F2"/>
          <w:sz w:val="18"/>
          <w:szCs w:val="18"/>
          <w:lang w:val="en-US"/>
        </w:rPr>
        <w:t xml:space="preserve"> de 2026 </w:t>
      </w:r>
      <w:hyperlink r:id="rId114" w:history="1">
        <w:r w:rsidRPr="0020343D">
          <w:rPr>
            <w:rStyle w:val="Hipervnculo"/>
            <w:rFonts w:eastAsia="Times New Roman" w:cs="Times New Roman"/>
            <w:sz w:val="18"/>
            <w:szCs w:val="18"/>
            <w:lang w:val="en-US"/>
          </w:rPr>
          <w:t>https://www.fda.gov/news-events/press-announcements/fda-launches-precheck-pilot-program-strengthen-domestic-pharmaceutical-manufacturing</w:t>
        </w:r>
      </w:hyperlink>
    </w:p>
    <w:p w14:paraId="2C7CA8F8" w14:textId="466C6098" w:rsidR="008B7435" w:rsidRDefault="008B7435" w:rsidP="008B7435">
      <w:pPr>
        <w:rPr>
          <w:rStyle w:val="Hipervnculo"/>
          <w:rFonts w:eastAsia="Times New Roman" w:cs="Times New Roman"/>
          <w:sz w:val="18"/>
          <w:szCs w:val="18"/>
        </w:rPr>
      </w:pPr>
      <w:r w:rsidRPr="0027497C">
        <w:rPr>
          <w:rFonts w:eastAsia="Times New Roman" w:cs="Times New Roman"/>
          <w:color w:val="0D0D0D" w:themeColor="text1" w:themeTint="F2"/>
          <w:sz w:val="18"/>
          <w:szCs w:val="18"/>
          <w:lang w:val="en-US"/>
        </w:rPr>
        <w:t xml:space="preserve">5.FDA. Report a </w:t>
      </w:r>
      <w:proofErr w:type="spellStart"/>
      <w:r w:rsidRPr="0027497C">
        <w:rPr>
          <w:rFonts w:eastAsia="Times New Roman" w:cs="Times New Roman"/>
          <w:color w:val="0D0D0D" w:themeColor="text1" w:themeTint="F2"/>
          <w:sz w:val="18"/>
          <w:szCs w:val="18"/>
          <w:lang w:val="en-US"/>
        </w:rPr>
        <w:t>problema</w:t>
      </w:r>
      <w:proofErr w:type="spellEnd"/>
      <w:r w:rsidRPr="0027497C">
        <w:rPr>
          <w:rFonts w:eastAsia="Times New Roman" w:cs="Times New Roman"/>
          <w:color w:val="0D0D0D" w:themeColor="text1" w:themeTint="F2"/>
          <w:sz w:val="18"/>
          <w:szCs w:val="18"/>
          <w:lang w:val="en-US"/>
        </w:rPr>
        <w:t xml:space="preserve"> to th</w:t>
      </w:r>
      <w:r>
        <w:rPr>
          <w:rFonts w:eastAsia="Times New Roman" w:cs="Times New Roman"/>
          <w:color w:val="0D0D0D" w:themeColor="text1" w:themeTint="F2"/>
          <w:sz w:val="18"/>
          <w:szCs w:val="18"/>
          <w:lang w:val="en-US"/>
        </w:rPr>
        <w:t xml:space="preserve">e FDA. </w:t>
      </w:r>
      <w:hyperlink r:id="rId115" w:history="1">
        <w:r w:rsidRPr="00564D6D">
          <w:rPr>
            <w:rStyle w:val="Hipervnculo"/>
            <w:rFonts w:eastAsia="Times New Roman" w:cs="Times New Roman"/>
            <w:sz w:val="18"/>
            <w:szCs w:val="18"/>
          </w:rPr>
          <w:t>https://contact.fda.gov/report-problem</w:t>
        </w:r>
      </w:hyperlink>
    </w:p>
    <w:p w14:paraId="24FD5857" w14:textId="77777777" w:rsidR="00421B71" w:rsidRDefault="00421B71" w:rsidP="008B7435">
      <w:pPr>
        <w:jc w:val="center"/>
        <w:rPr>
          <w:rFonts w:eastAsia="Times New Roman" w:cs="Times New Roman"/>
          <w:color w:val="0D0D0D" w:themeColor="text1" w:themeTint="F2"/>
          <w:szCs w:val="20"/>
        </w:rPr>
        <w:sectPr w:rsidR="00421B71" w:rsidSect="00421B71">
          <w:type w:val="continuous"/>
          <w:pgSz w:w="12240" w:h="15840" w:code="1"/>
          <w:pgMar w:top="720" w:right="720" w:bottom="720" w:left="720" w:header="288" w:footer="288" w:gutter="0"/>
          <w:cols w:num="2" w:space="288"/>
          <w:docGrid w:linePitch="360"/>
        </w:sectPr>
      </w:pPr>
    </w:p>
    <w:p w14:paraId="46C28614" w14:textId="072EAF07" w:rsidR="008B7435" w:rsidRDefault="008B7435" w:rsidP="008B7435">
      <w:pPr>
        <w:jc w:val="center"/>
        <w:rPr>
          <w:rFonts w:eastAsia="Times New Roman" w:cs="Times New Roman"/>
          <w:color w:val="0D0D0D" w:themeColor="text1" w:themeTint="F2"/>
          <w:szCs w:val="20"/>
        </w:rPr>
      </w:pPr>
    </w:p>
    <w:p w14:paraId="36EC3F0A" w14:textId="77777777" w:rsidR="008B7435" w:rsidRDefault="008B7435" w:rsidP="004D63D3">
      <w:pPr>
        <w:jc w:val="center"/>
        <w:rPr>
          <w:rFonts w:eastAsia="Times New Roman" w:cs="Times New Roman"/>
          <w:color w:val="0D0D0D" w:themeColor="text1" w:themeTint="F2"/>
          <w:szCs w:val="20"/>
        </w:rPr>
      </w:pPr>
    </w:p>
    <w:p w14:paraId="7EBD086A" w14:textId="77777777" w:rsidR="00261692" w:rsidRDefault="00261692" w:rsidP="00261692">
      <w:pPr>
        <w:contextualSpacing/>
        <w:jc w:val="center"/>
        <w:rPr>
          <w:rFonts w:eastAsia="Times New Roman" w:cs="Times New Roman"/>
          <w:i/>
          <w:iCs/>
          <w:color w:val="0D0D0D" w:themeColor="text1" w:themeTint="F2"/>
          <w:szCs w:val="20"/>
        </w:rPr>
      </w:pPr>
      <w:bookmarkStart w:id="7" w:name="_Hlk238566403"/>
      <w:r>
        <w:rPr>
          <w:rFonts w:eastAsia="Times New Roman" w:cs="Times New Roman"/>
          <w:color w:val="0D0D0D" w:themeColor="text1" w:themeTint="F2"/>
          <w:szCs w:val="20"/>
        </w:rPr>
        <w:t xml:space="preserve">EE UU. </w:t>
      </w:r>
      <w:r w:rsidRPr="00EA71DA">
        <w:rPr>
          <w:rFonts w:eastAsia="Times New Roman" w:cs="Times New Roman"/>
          <w:b/>
          <w:bCs/>
          <w:color w:val="0D0D0D" w:themeColor="text1" w:themeTint="F2"/>
          <w:szCs w:val="20"/>
        </w:rPr>
        <w:t>Riesgo de sesgo y beneficio clínico de los ensayos de fase III que respaldan los medicamentos contra el cáncer aprobados por la FDA, 2018-2025: Un análisis transversal</w:t>
      </w:r>
      <w:r>
        <w:rPr>
          <w:rFonts w:eastAsia="Times New Roman" w:cs="Times New Roman"/>
          <w:color w:val="0D0D0D" w:themeColor="text1" w:themeTint="F2"/>
          <w:szCs w:val="20"/>
        </w:rPr>
        <w:t xml:space="preserve"> </w:t>
      </w:r>
      <w:r w:rsidRPr="008F4508">
        <w:rPr>
          <w:rFonts w:eastAsia="Times New Roman" w:cs="Times New Roman"/>
          <w:i/>
          <w:iCs/>
          <w:color w:val="0D0D0D" w:themeColor="text1" w:themeTint="F2"/>
          <w:szCs w:val="20"/>
        </w:rPr>
        <w:t>(</w:t>
      </w:r>
      <w:proofErr w:type="spellStart"/>
      <w:r w:rsidRPr="008F4508">
        <w:rPr>
          <w:rFonts w:eastAsia="Times New Roman" w:cs="Times New Roman"/>
          <w:i/>
          <w:iCs/>
          <w:color w:val="0D0D0D" w:themeColor="text1" w:themeTint="F2"/>
          <w:szCs w:val="20"/>
        </w:rPr>
        <w:t>Risk</w:t>
      </w:r>
      <w:proofErr w:type="spellEnd"/>
      <w:r w:rsidRPr="008F4508">
        <w:rPr>
          <w:rFonts w:eastAsia="Times New Roman" w:cs="Times New Roman"/>
          <w:i/>
          <w:iCs/>
          <w:color w:val="0D0D0D" w:themeColor="text1" w:themeTint="F2"/>
          <w:szCs w:val="20"/>
        </w:rPr>
        <w:t xml:space="preserve"> of </w:t>
      </w:r>
      <w:proofErr w:type="spellStart"/>
      <w:r w:rsidRPr="008F4508">
        <w:rPr>
          <w:rFonts w:eastAsia="Times New Roman" w:cs="Times New Roman"/>
          <w:i/>
          <w:iCs/>
          <w:color w:val="0D0D0D" w:themeColor="text1" w:themeTint="F2"/>
          <w:szCs w:val="20"/>
        </w:rPr>
        <w:t>bias</w:t>
      </w:r>
      <w:proofErr w:type="spellEnd"/>
      <w:r w:rsidRPr="008F4508">
        <w:rPr>
          <w:rFonts w:eastAsia="Times New Roman" w:cs="Times New Roman"/>
          <w:i/>
          <w:iCs/>
          <w:color w:val="0D0D0D" w:themeColor="text1" w:themeTint="F2"/>
          <w:szCs w:val="20"/>
        </w:rPr>
        <w:t xml:space="preserve"> and </w:t>
      </w:r>
      <w:proofErr w:type="spellStart"/>
      <w:r w:rsidRPr="008F4508">
        <w:rPr>
          <w:rFonts w:eastAsia="Times New Roman" w:cs="Times New Roman"/>
          <w:i/>
          <w:iCs/>
          <w:color w:val="0D0D0D" w:themeColor="text1" w:themeTint="F2"/>
          <w:szCs w:val="20"/>
        </w:rPr>
        <w:t>clinical</w:t>
      </w:r>
      <w:proofErr w:type="spellEnd"/>
      <w:r w:rsidRPr="008F4508">
        <w:rPr>
          <w:rFonts w:eastAsia="Times New Roman" w:cs="Times New Roman"/>
          <w:i/>
          <w:iCs/>
          <w:color w:val="0D0D0D" w:themeColor="text1" w:themeTint="F2"/>
          <w:szCs w:val="20"/>
        </w:rPr>
        <w:t xml:space="preserve"> </w:t>
      </w:r>
      <w:proofErr w:type="spellStart"/>
      <w:r w:rsidRPr="008F4508">
        <w:rPr>
          <w:rFonts w:eastAsia="Times New Roman" w:cs="Times New Roman"/>
          <w:i/>
          <w:iCs/>
          <w:color w:val="0D0D0D" w:themeColor="text1" w:themeTint="F2"/>
          <w:szCs w:val="20"/>
        </w:rPr>
        <w:t>benefit</w:t>
      </w:r>
      <w:proofErr w:type="spellEnd"/>
      <w:r w:rsidRPr="008F4508">
        <w:rPr>
          <w:rFonts w:eastAsia="Times New Roman" w:cs="Times New Roman"/>
          <w:i/>
          <w:iCs/>
          <w:color w:val="0D0D0D" w:themeColor="text1" w:themeTint="F2"/>
          <w:szCs w:val="20"/>
        </w:rPr>
        <w:t xml:space="preserve"> of </w:t>
      </w:r>
      <w:proofErr w:type="spellStart"/>
      <w:r w:rsidRPr="008F4508">
        <w:rPr>
          <w:rFonts w:eastAsia="Times New Roman" w:cs="Times New Roman"/>
          <w:i/>
          <w:iCs/>
          <w:color w:val="0D0D0D" w:themeColor="text1" w:themeTint="F2"/>
          <w:szCs w:val="20"/>
        </w:rPr>
        <w:t>phase</w:t>
      </w:r>
      <w:proofErr w:type="spellEnd"/>
      <w:r w:rsidRPr="008F4508">
        <w:rPr>
          <w:rFonts w:eastAsia="Times New Roman" w:cs="Times New Roman"/>
          <w:i/>
          <w:iCs/>
          <w:color w:val="0D0D0D" w:themeColor="text1" w:themeTint="F2"/>
          <w:szCs w:val="20"/>
        </w:rPr>
        <w:t xml:space="preserve"> III </w:t>
      </w:r>
      <w:proofErr w:type="spellStart"/>
      <w:r w:rsidRPr="008F4508">
        <w:rPr>
          <w:rFonts w:eastAsia="Times New Roman" w:cs="Times New Roman"/>
          <w:i/>
          <w:iCs/>
          <w:color w:val="0D0D0D" w:themeColor="text1" w:themeTint="F2"/>
          <w:szCs w:val="20"/>
        </w:rPr>
        <w:t>trials</w:t>
      </w:r>
      <w:proofErr w:type="spellEnd"/>
      <w:r w:rsidRPr="008F4508">
        <w:rPr>
          <w:rFonts w:eastAsia="Times New Roman" w:cs="Times New Roman"/>
          <w:i/>
          <w:iCs/>
          <w:color w:val="0D0D0D" w:themeColor="text1" w:themeTint="F2"/>
          <w:szCs w:val="20"/>
        </w:rPr>
        <w:t xml:space="preserve"> </w:t>
      </w:r>
      <w:proofErr w:type="spellStart"/>
      <w:r w:rsidRPr="008F4508">
        <w:rPr>
          <w:rFonts w:eastAsia="Times New Roman" w:cs="Times New Roman"/>
          <w:i/>
          <w:iCs/>
          <w:color w:val="0D0D0D" w:themeColor="text1" w:themeTint="F2"/>
          <w:szCs w:val="20"/>
        </w:rPr>
        <w:t>supporting</w:t>
      </w:r>
      <w:proofErr w:type="spellEnd"/>
      <w:r w:rsidRPr="008F4508">
        <w:rPr>
          <w:rFonts w:eastAsia="Times New Roman" w:cs="Times New Roman"/>
          <w:i/>
          <w:iCs/>
          <w:color w:val="0D0D0D" w:themeColor="text1" w:themeTint="F2"/>
          <w:szCs w:val="20"/>
        </w:rPr>
        <w:t xml:space="preserve"> FDA-</w:t>
      </w:r>
      <w:proofErr w:type="spellStart"/>
      <w:r w:rsidRPr="008F4508">
        <w:rPr>
          <w:rFonts w:eastAsia="Times New Roman" w:cs="Times New Roman"/>
          <w:i/>
          <w:iCs/>
          <w:color w:val="0D0D0D" w:themeColor="text1" w:themeTint="F2"/>
          <w:szCs w:val="20"/>
        </w:rPr>
        <w:t>approved</w:t>
      </w:r>
      <w:proofErr w:type="spellEnd"/>
      <w:r w:rsidRPr="008F4508">
        <w:rPr>
          <w:rFonts w:eastAsia="Times New Roman" w:cs="Times New Roman"/>
          <w:i/>
          <w:iCs/>
          <w:color w:val="0D0D0D" w:themeColor="text1" w:themeTint="F2"/>
          <w:szCs w:val="20"/>
        </w:rPr>
        <w:t xml:space="preserve"> </w:t>
      </w:r>
      <w:proofErr w:type="spellStart"/>
      <w:r w:rsidRPr="008F4508">
        <w:rPr>
          <w:rFonts w:eastAsia="Times New Roman" w:cs="Times New Roman"/>
          <w:i/>
          <w:iCs/>
          <w:color w:val="0D0D0D" w:themeColor="text1" w:themeTint="F2"/>
          <w:szCs w:val="20"/>
        </w:rPr>
        <w:t>anticancer</w:t>
      </w:r>
      <w:proofErr w:type="spellEnd"/>
      <w:r w:rsidRPr="008F4508">
        <w:rPr>
          <w:rFonts w:eastAsia="Times New Roman" w:cs="Times New Roman"/>
          <w:i/>
          <w:iCs/>
          <w:color w:val="0D0D0D" w:themeColor="text1" w:themeTint="F2"/>
          <w:szCs w:val="20"/>
        </w:rPr>
        <w:t xml:space="preserve"> medicines, 2018–2025: A </w:t>
      </w:r>
      <w:proofErr w:type="spellStart"/>
      <w:r w:rsidRPr="008F4508">
        <w:rPr>
          <w:rFonts w:eastAsia="Times New Roman" w:cs="Times New Roman"/>
          <w:i/>
          <w:iCs/>
          <w:color w:val="0D0D0D" w:themeColor="text1" w:themeTint="F2"/>
          <w:szCs w:val="20"/>
        </w:rPr>
        <w:t>cross-sectional</w:t>
      </w:r>
      <w:proofErr w:type="spellEnd"/>
      <w:r w:rsidRPr="008F4508">
        <w:rPr>
          <w:rFonts w:eastAsia="Times New Roman" w:cs="Times New Roman"/>
          <w:i/>
          <w:iCs/>
          <w:color w:val="0D0D0D" w:themeColor="text1" w:themeTint="F2"/>
          <w:szCs w:val="20"/>
        </w:rPr>
        <w:t xml:space="preserve"> </w:t>
      </w:r>
      <w:proofErr w:type="spellStart"/>
      <w:r w:rsidRPr="008F4508">
        <w:rPr>
          <w:rFonts w:eastAsia="Times New Roman" w:cs="Times New Roman"/>
          <w:i/>
          <w:iCs/>
          <w:color w:val="0D0D0D" w:themeColor="text1" w:themeTint="F2"/>
          <w:szCs w:val="20"/>
        </w:rPr>
        <w:t>analysis</w:t>
      </w:r>
      <w:proofErr w:type="spellEnd"/>
      <w:r w:rsidRPr="008F4508">
        <w:rPr>
          <w:rFonts w:eastAsia="Times New Roman" w:cs="Times New Roman"/>
          <w:i/>
          <w:iCs/>
          <w:color w:val="0D0D0D" w:themeColor="text1" w:themeTint="F2"/>
          <w:szCs w:val="20"/>
        </w:rPr>
        <w:t>)</w:t>
      </w:r>
    </w:p>
    <w:p w14:paraId="34F8BDD3" w14:textId="5C5E7EC6" w:rsidR="00261692" w:rsidRPr="00F25512" w:rsidRDefault="00261692" w:rsidP="00261692">
      <w:pPr>
        <w:contextualSpacing/>
        <w:jc w:val="center"/>
        <w:rPr>
          <w:rFonts w:eastAsia="Times New Roman" w:cs="Times New Roman"/>
          <w:color w:val="FF0000"/>
          <w:szCs w:val="20"/>
          <w:lang w:val="en-US"/>
        </w:rPr>
      </w:pPr>
      <w:r w:rsidRPr="00F25512">
        <w:rPr>
          <w:rFonts w:eastAsia="Times New Roman" w:cs="Times New Roman"/>
          <w:color w:val="0D0D0D" w:themeColor="text1" w:themeTint="F2"/>
          <w:szCs w:val="20"/>
          <w:lang w:val="en-US"/>
        </w:rPr>
        <w:t xml:space="preserve">G Li, Y Pu, C Chen, AS </w:t>
      </w:r>
      <w:proofErr w:type="spellStart"/>
      <w:r w:rsidRPr="00F25512">
        <w:rPr>
          <w:rFonts w:eastAsia="Times New Roman" w:cs="Times New Roman"/>
          <w:color w:val="0D0D0D" w:themeColor="text1" w:themeTint="F2"/>
          <w:szCs w:val="20"/>
          <w:lang w:val="en-US"/>
        </w:rPr>
        <w:t>Keselheim</w:t>
      </w:r>
      <w:proofErr w:type="spellEnd"/>
      <w:r w:rsidRPr="00F25512">
        <w:rPr>
          <w:rFonts w:eastAsia="Times New Roman" w:cs="Times New Roman"/>
          <w:color w:val="0D0D0D" w:themeColor="text1" w:themeTint="F2"/>
          <w:szCs w:val="20"/>
          <w:lang w:val="en-US"/>
        </w:rPr>
        <w:t xml:space="preserve"> y A </w:t>
      </w:r>
      <w:proofErr w:type="spellStart"/>
      <w:r w:rsidRPr="00F25512">
        <w:rPr>
          <w:rFonts w:eastAsia="Times New Roman" w:cs="Times New Roman"/>
          <w:color w:val="0D0D0D" w:themeColor="text1" w:themeTint="F2"/>
          <w:szCs w:val="20"/>
          <w:lang w:val="en-US"/>
        </w:rPr>
        <w:t>Tibau</w:t>
      </w:r>
      <w:proofErr w:type="spellEnd"/>
    </w:p>
    <w:p w14:paraId="4597101C" w14:textId="77777777" w:rsidR="00261692" w:rsidRPr="0002036E" w:rsidRDefault="00261692" w:rsidP="00261692">
      <w:pPr>
        <w:contextualSpacing/>
        <w:jc w:val="center"/>
        <w:rPr>
          <w:rFonts w:eastAsia="Times New Roman" w:cs="Times New Roman"/>
          <w:color w:val="0D0D0D" w:themeColor="text1" w:themeTint="F2"/>
          <w:szCs w:val="20"/>
          <w:lang w:val="en-US"/>
        </w:rPr>
      </w:pPr>
      <w:r w:rsidRPr="0002036E">
        <w:rPr>
          <w:rFonts w:eastAsia="Times New Roman" w:cs="Times New Roman"/>
          <w:i/>
          <w:iCs/>
          <w:color w:val="0D0D0D" w:themeColor="text1" w:themeTint="F2"/>
          <w:szCs w:val="20"/>
          <w:lang w:val="en-US"/>
        </w:rPr>
        <w:t>European Journal of Cancer</w:t>
      </w:r>
      <w:r w:rsidRPr="0002036E">
        <w:rPr>
          <w:rFonts w:eastAsia="Times New Roman" w:cs="Times New Roman"/>
          <w:color w:val="0D0D0D" w:themeColor="text1" w:themeTint="F2"/>
          <w:szCs w:val="20"/>
          <w:lang w:val="en-US"/>
        </w:rPr>
        <w:t xml:space="preserve"> 2026; 244, 116907</w:t>
      </w:r>
    </w:p>
    <w:p w14:paraId="4F51CE73" w14:textId="77777777" w:rsidR="00261692" w:rsidRDefault="00B00DA4" w:rsidP="00261692">
      <w:pPr>
        <w:contextualSpacing/>
        <w:jc w:val="center"/>
        <w:rPr>
          <w:rFonts w:eastAsia="Times New Roman" w:cs="Times New Roman"/>
          <w:color w:val="0D0D0D" w:themeColor="text1" w:themeTint="F2"/>
          <w:szCs w:val="20"/>
          <w:lang w:val="en-US"/>
        </w:rPr>
      </w:pPr>
      <w:hyperlink r:id="rId116" w:history="1">
        <w:r w:rsidR="00261692" w:rsidRPr="001F29B1">
          <w:rPr>
            <w:rStyle w:val="Hipervnculo"/>
            <w:rFonts w:eastAsia="Times New Roman" w:cs="Times New Roman"/>
            <w:szCs w:val="20"/>
            <w:lang w:val="en-US"/>
          </w:rPr>
          <w:t>https://www.ejcancer.com/article/S0959-8049(26)00688-X/abstract</w:t>
        </w:r>
      </w:hyperlink>
    </w:p>
    <w:p w14:paraId="1069E82C" w14:textId="77777777" w:rsidR="00261692" w:rsidRPr="009A671C" w:rsidRDefault="00261692" w:rsidP="00261692">
      <w:pPr>
        <w:jc w:val="center"/>
        <w:rPr>
          <w:rFonts w:cs="Times New Roman"/>
          <w:szCs w:val="20"/>
          <w:lang w:val="es-ES"/>
        </w:rPr>
      </w:pPr>
      <w:r w:rsidRPr="009A671C">
        <w:rPr>
          <w:rFonts w:eastAsia="Times New Roman" w:cs="Times New Roman"/>
          <w:szCs w:val="20"/>
          <w:lang w:val="es-ES"/>
        </w:rPr>
        <w:t xml:space="preserve">Traducido por Salud y Fármacos, publicado en </w:t>
      </w:r>
      <w:r w:rsidRPr="009A671C">
        <w:rPr>
          <w:rFonts w:cs="Times New Roman"/>
          <w:i/>
          <w:iCs/>
          <w:szCs w:val="20"/>
          <w:lang w:val="es-ES"/>
        </w:rPr>
        <w:t xml:space="preserve">Boletín Fármacos: </w:t>
      </w:r>
      <w:r>
        <w:rPr>
          <w:rFonts w:eastAsia="Times New Roman" w:cs="Times New Roman"/>
          <w:bCs/>
          <w:i/>
          <w:iCs/>
          <w:color w:val="000000" w:themeColor="text1"/>
          <w:szCs w:val="20"/>
          <w:lang w:val="es-ES"/>
        </w:rPr>
        <w:t>Agencias Regulador</w:t>
      </w:r>
      <w:r w:rsidRPr="009A671C">
        <w:rPr>
          <w:rFonts w:eastAsia="Times New Roman" w:cs="Times New Roman"/>
          <w:bCs/>
          <w:i/>
          <w:iCs/>
          <w:color w:val="000000" w:themeColor="text1"/>
          <w:szCs w:val="20"/>
          <w:lang w:val="es-ES"/>
        </w:rPr>
        <w:t>as 2026; 29(3)</w:t>
      </w:r>
    </w:p>
    <w:p w14:paraId="49FCA405" w14:textId="77777777" w:rsidR="00261692" w:rsidRDefault="00261692" w:rsidP="00261692">
      <w:pPr>
        <w:contextualSpacing/>
        <w:jc w:val="center"/>
        <w:rPr>
          <w:rFonts w:eastAsia="Times New Roman" w:cs="Times New Roman"/>
          <w:color w:val="0D0D0D" w:themeColor="text1" w:themeTint="F2"/>
          <w:szCs w:val="20"/>
          <w:lang w:val="es-ES"/>
        </w:rPr>
      </w:pPr>
    </w:p>
    <w:p w14:paraId="173237FB" w14:textId="77777777" w:rsidR="00421B71" w:rsidRDefault="00421B71" w:rsidP="00261692">
      <w:pPr>
        <w:contextualSpacing/>
        <w:rPr>
          <w:rFonts w:eastAsia="Times New Roman" w:cs="Times New Roman"/>
          <w:b/>
          <w:bCs/>
          <w:color w:val="0D0D0D" w:themeColor="text1" w:themeTint="F2"/>
          <w:sz w:val="18"/>
          <w:szCs w:val="18"/>
          <w:lang w:val="es-ES"/>
        </w:rPr>
        <w:sectPr w:rsidR="00421B71" w:rsidSect="00F25512">
          <w:type w:val="continuous"/>
          <w:pgSz w:w="12240" w:h="15840" w:code="1"/>
          <w:pgMar w:top="720" w:right="720" w:bottom="720" w:left="720" w:header="288" w:footer="288" w:gutter="0"/>
          <w:cols w:space="288"/>
          <w:docGrid w:linePitch="360"/>
        </w:sectPr>
      </w:pPr>
    </w:p>
    <w:p w14:paraId="7C2D2AF4" w14:textId="30325D4E" w:rsidR="00261692" w:rsidRPr="0002036E" w:rsidRDefault="00261692" w:rsidP="00261692">
      <w:pPr>
        <w:contextualSpacing/>
        <w:rPr>
          <w:rFonts w:eastAsia="Times New Roman" w:cs="Times New Roman"/>
          <w:b/>
          <w:bCs/>
          <w:color w:val="0D0D0D" w:themeColor="text1" w:themeTint="F2"/>
          <w:sz w:val="18"/>
          <w:szCs w:val="18"/>
          <w:lang w:val="es-ES"/>
        </w:rPr>
      </w:pPr>
      <w:r w:rsidRPr="0002036E">
        <w:rPr>
          <w:rFonts w:eastAsia="Times New Roman" w:cs="Times New Roman"/>
          <w:b/>
          <w:bCs/>
          <w:color w:val="0D0D0D" w:themeColor="text1" w:themeTint="F2"/>
          <w:sz w:val="18"/>
          <w:szCs w:val="18"/>
          <w:lang w:val="es-ES"/>
        </w:rPr>
        <w:t xml:space="preserve">Tags: </w:t>
      </w:r>
      <w:r w:rsidRPr="0002036E">
        <w:rPr>
          <w:rFonts w:eastAsia="Times New Roman" w:cs="Times New Roman"/>
          <w:b/>
          <w:bCs/>
          <w:color w:val="0D0D0D" w:themeColor="text1" w:themeTint="F2"/>
          <w:sz w:val="18"/>
          <w:szCs w:val="18"/>
        </w:rPr>
        <w:t>Riesgo de sesgo, beneficio clínico de ensayos, ensayos fase III y sesgos, medicamentos contra el cáncer, aprobación FDA</w:t>
      </w:r>
    </w:p>
    <w:p w14:paraId="6BD5DC5B" w14:textId="77777777" w:rsidR="00261692" w:rsidRDefault="00261692" w:rsidP="00261692">
      <w:pPr>
        <w:contextualSpacing/>
        <w:jc w:val="center"/>
        <w:rPr>
          <w:rFonts w:eastAsia="Times New Roman" w:cs="Times New Roman"/>
          <w:color w:val="0D0D0D" w:themeColor="text1" w:themeTint="F2"/>
          <w:szCs w:val="20"/>
        </w:rPr>
      </w:pPr>
    </w:p>
    <w:p w14:paraId="067389DF" w14:textId="77777777" w:rsidR="00261692" w:rsidRPr="00311973" w:rsidRDefault="00261692" w:rsidP="00261692">
      <w:pPr>
        <w:contextualSpacing/>
        <w:rPr>
          <w:rFonts w:eastAsia="Times New Roman" w:cs="Times New Roman"/>
          <w:b/>
          <w:bCs/>
          <w:szCs w:val="20"/>
        </w:rPr>
      </w:pPr>
      <w:r w:rsidRPr="00311973">
        <w:rPr>
          <w:rFonts w:eastAsia="Times New Roman" w:cs="Times New Roman"/>
          <w:b/>
          <w:bCs/>
          <w:szCs w:val="20"/>
        </w:rPr>
        <w:t>Resumen</w:t>
      </w:r>
    </w:p>
    <w:p w14:paraId="197CD867" w14:textId="77777777" w:rsidR="00261692" w:rsidRPr="00311973" w:rsidRDefault="00261692" w:rsidP="00261692">
      <w:pPr>
        <w:contextualSpacing/>
        <w:rPr>
          <w:rFonts w:eastAsia="Times New Roman" w:cs="Times New Roman"/>
          <w:szCs w:val="20"/>
        </w:rPr>
      </w:pPr>
      <w:r w:rsidRPr="00311973">
        <w:rPr>
          <w:rFonts w:eastAsia="Times New Roman" w:cs="Times New Roman"/>
          <w:b/>
          <w:bCs/>
          <w:szCs w:val="20"/>
        </w:rPr>
        <w:t>Introducción</w:t>
      </w:r>
      <w:r>
        <w:rPr>
          <w:rFonts w:eastAsia="Times New Roman" w:cs="Times New Roman"/>
          <w:b/>
          <w:bCs/>
          <w:szCs w:val="20"/>
        </w:rPr>
        <w:t xml:space="preserve">. </w:t>
      </w:r>
      <w:r w:rsidRPr="00311973">
        <w:rPr>
          <w:rFonts w:eastAsia="Times New Roman" w:cs="Times New Roman"/>
          <w:szCs w:val="20"/>
        </w:rPr>
        <w:t xml:space="preserve">Los ensayos clínicos aleatorizados de fase III suelen respaldar la aprobación de </w:t>
      </w:r>
      <w:r>
        <w:rPr>
          <w:rFonts w:eastAsia="Times New Roman" w:cs="Times New Roman"/>
          <w:szCs w:val="20"/>
        </w:rPr>
        <w:t xml:space="preserve">los </w:t>
      </w:r>
      <w:r w:rsidRPr="00311973">
        <w:rPr>
          <w:rFonts w:eastAsia="Times New Roman" w:cs="Times New Roman"/>
          <w:szCs w:val="20"/>
        </w:rPr>
        <w:t>nuevos fármacos anticancerígenos</w:t>
      </w:r>
      <w:r w:rsidRPr="00840D3D">
        <w:rPr>
          <w:rFonts w:eastAsia="Times New Roman" w:cs="Times New Roman"/>
          <w:szCs w:val="20"/>
        </w:rPr>
        <w:t xml:space="preserve"> </w:t>
      </w:r>
      <w:r w:rsidRPr="00311973">
        <w:rPr>
          <w:rFonts w:eastAsia="Times New Roman" w:cs="Times New Roman"/>
          <w:szCs w:val="20"/>
        </w:rPr>
        <w:t xml:space="preserve">por </w:t>
      </w:r>
      <w:r>
        <w:rPr>
          <w:rFonts w:eastAsia="Times New Roman" w:cs="Times New Roman"/>
          <w:szCs w:val="20"/>
        </w:rPr>
        <w:t xml:space="preserve">parte de </w:t>
      </w:r>
      <w:r w:rsidRPr="00311973">
        <w:rPr>
          <w:rFonts w:eastAsia="Times New Roman" w:cs="Times New Roman"/>
          <w:szCs w:val="20"/>
        </w:rPr>
        <w:t>la FDA, pero la calidad de l</w:t>
      </w:r>
      <w:r>
        <w:rPr>
          <w:rFonts w:eastAsia="Times New Roman" w:cs="Times New Roman"/>
          <w:szCs w:val="20"/>
        </w:rPr>
        <w:t>os datos de</w:t>
      </w:r>
      <w:r w:rsidRPr="00311973">
        <w:rPr>
          <w:rFonts w:eastAsia="Times New Roman" w:cs="Times New Roman"/>
          <w:szCs w:val="20"/>
        </w:rPr>
        <w:t xml:space="preserve"> los ensayos y su relevancia clínica varían. Evaluamos el riesgo de sesgo y el beneficio clínico de</w:t>
      </w:r>
      <w:r>
        <w:rPr>
          <w:rFonts w:eastAsia="Times New Roman" w:cs="Times New Roman"/>
          <w:szCs w:val="20"/>
        </w:rPr>
        <w:t xml:space="preserve"> los medicamentos según los resultados de</w:t>
      </w:r>
      <w:r w:rsidRPr="00311973">
        <w:rPr>
          <w:rFonts w:eastAsia="Times New Roman" w:cs="Times New Roman"/>
          <w:szCs w:val="20"/>
        </w:rPr>
        <w:t xml:space="preserve"> los ensayos clínicos aleatorizados de fase III que respaldan las aprobaciones </w:t>
      </w:r>
      <w:r>
        <w:rPr>
          <w:rFonts w:eastAsia="Times New Roman" w:cs="Times New Roman"/>
          <w:szCs w:val="20"/>
        </w:rPr>
        <w:t xml:space="preserve">otorgadas por la FDA a los </w:t>
      </w:r>
      <w:r w:rsidRPr="00311973">
        <w:rPr>
          <w:rFonts w:eastAsia="Times New Roman" w:cs="Times New Roman"/>
          <w:szCs w:val="20"/>
        </w:rPr>
        <w:t>nuevos fármacos anticancerígenos.</w:t>
      </w:r>
    </w:p>
    <w:p w14:paraId="65869738" w14:textId="77777777" w:rsidR="00261692" w:rsidRPr="00311973" w:rsidRDefault="00261692" w:rsidP="00261692">
      <w:pPr>
        <w:contextualSpacing/>
        <w:rPr>
          <w:rFonts w:eastAsia="Times New Roman" w:cs="Times New Roman"/>
          <w:color w:val="EE0000"/>
          <w:szCs w:val="20"/>
        </w:rPr>
      </w:pPr>
    </w:p>
    <w:p w14:paraId="77643B32" w14:textId="77777777" w:rsidR="00261692" w:rsidRPr="00311973" w:rsidRDefault="00261692" w:rsidP="00261692">
      <w:pPr>
        <w:contextualSpacing/>
        <w:rPr>
          <w:rFonts w:eastAsia="Times New Roman" w:cs="Times New Roman"/>
          <w:szCs w:val="20"/>
        </w:rPr>
      </w:pPr>
      <w:r w:rsidRPr="00311973">
        <w:rPr>
          <w:rFonts w:eastAsia="Times New Roman" w:cs="Times New Roman"/>
          <w:b/>
          <w:bCs/>
          <w:szCs w:val="20"/>
        </w:rPr>
        <w:t>Materiales y métodos</w:t>
      </w:r>
      <w:r>
        <w:rPr>
          <w:rFonts w:eastAsia="Times New Roman" w:cs="Times New Roman"/>
          <w:b/>
          <w:bCs/>
          <w:szCs w:val="20"/>
        </w:rPr>
        <w:t xml:space="preserve">. </w:t>
      </w:r>
      <w:r w:rsidRPr="00311973">
        <w:rPr>
          <w:rFonts w:eastAsia="Times New Roman" w:cs="Times New Roman"/>
          <w:szCs w:val="20"/>
        </w:rPr>
        <w:t xml:space="preserve">Estudio transversal de </w:t>
      </w:r>
      <w:r>
        <w:rPr>
          <w:rFonts w:eastAsia="Times New Roman" w:cs="Times New Roman"/>
          <w:szCs w:val="20"/>
        </w:rPr>
        <w:t xml:space="preserve">los </w:t>
      </w:r>
      <w:r w:rsidRPr="00311973">
        <w:rPr>
          <w:rFonts w:eastAsia="Times New Roman" w:cs="Times New Roman"/>
          <w:szCs w:val="20"/>
        </w:rPr>
        <w:t xml:space="preserve">ensayos clínicos </w:t>
      </w:r>
      <w:proofErr w:type="spellStart"/>
      <w:r>
        <w:rPr>
          <w:rFonts w:eastAsia="Times New Roman" w:cs="Times New Roman"/>
          <w:szCs w:val="20"/>
        </w:rPr>
        <w:t>pivotales</w:t>
      </w:r>
      <w:proofErr w:type="spellEnd"/>
      <w:r>
        <w:rPr>
          <w:rFonts w:eastAsia="Times New Roman" w:cs="Times New Roman"/>
          <w:szCs w:val="20"/>
        </w:rPr>
        <w:t xml:space="preserve">, </w:t>
      </w:r>
      <w:r w:rsidRPr="00311973">
        <w:rPr>
          <w:rFonts w:eastAsia="Times New Roman" w:cs="Times New Roman"/>
          <w:szCs w:val="20"/>
        </w:rPr>
        <w:t xml:space="preserve">aleatorizados </w:t>
      </w:r>
      <w:r>
        <w:rPr>
          <w:rFonts w:eastAsia="Times New Roman" w:cs="Times New Roman"/>
          <w:szCs w:val="20"/>
        </w:rPr>
        <w:t xml:space="preserve">y </w:t>
      </w:r>
      <w:r w:rsidRPr="00311973">
        <w:rPr>
          <w:rFonts w:eastAsia="Times New Roman" w:cs="Times New Roman"/>
          <w:szCs w:val="20"/>
        </w:rPr>
        <w:t xml:space="preserve">de </w:t>
      </w:r>
      <w:r>
        <w:rPr>
          <w:rFonts w:eastAsia="Times New Roman" w:cs="Times New Roman"/>
          <w:szCs w:val="20"/>
        </w:rPr>
        <w:t>F</w:t>
      </w:r>
      <w:r w:rsidRPr="00311973">
        <w:rPr>
          <w:rFonts w:eastAsia="Times New Roman" w:cs="Times New Roman"/>
          <w:szCs w:val="20"/>
        </w:rPr>
        <w:t xml:space="preserve">ase III que respaldan las aprobaciones iniciales de la FDA de </w:t>
      </w:r>
      <w:r>
        <w:rPr>
          <w:rFonts w:eastAsia="Times New Roman" w:cs="Times New Roman"/>
          <w:szCs w:val="20"/>
        </w:rPr>
        <w:t xml:space="preserve">los </w:t>
      </w:r>
      <w:r w:rsidRPr="00311973">
        <w:rPr>
          <w:rFonts w:eastAsia="Times New Roman" w:cs="Times New Roman"/>
          <w:szCs w:val="20"/>
        </w:rPr>
        <w:t>fármacos anticancerígenos (1 de enero de 2018 - 15 de mayo de 2025). El riesgo de sesgo se evaluó mediante la herramienta Cochrane de riesgo de sesgo 2.0 (bajo, alguna preocupaci</w:t>
      </w:r>
      <w:r>
        <w:rPr>
          <w:rFonts w:eastAsia="Times New Roman" w:cs="Times New Roman"/>
          <w:szCs w:val="20"/>
        </w:rPr>
        <w:t>ón</w:t>
      </w:r>
      <w:r w:rsidRPr="00311973">
        <w:rPr>
          <w:rFonts w:eastAsia="Times New Roman" w:cs="Times New Roman"/>
          <w:szCs w:val="20"/>
        </w:rPr>
        <w:t>, alto), y el beneficio clínico con la escala de magnitud del beneficio clínico de la Sociedad Europea de Oncología Médica (sustancial, intermedio, bajo).</w:t>
      </w:r>
    </w:p>
    <w:p w14:paraId="5B3FF708" w14:textId="77777777" w:rsidR="00261692" w:rsidRPr="00311973" w:rsidRDefault="00261692" w:rsidP="00261692">
      <w:pPr>
        <w:contextualSpacing/>
        <w:rPr>
          <w:rFonts w:eastAsia="Times New Roman" w:cs="Times New Roman"/>
          <w:color w:val="EE0000"/>
          <w:szCs w:val="20"/>
        </w:rPr>
      </w:pPr>
    </w:p>
    <w:p w14:paraId="3FF4D023" w14:textId="77777777" w:rsidR="00261692" w:rsidRDefault="00261692" w:rsidP="00261692">
      <w:pPr>
        <w:contextualSpacing/>
        <w:rPr>
          <w:rFonts w:eastAsia="Times New Roman" w:cs="Times New Roman"/>
          <w:szCs w:val="20"/>
        </w:rPr>
      </w:pPr>
      <w:r w:rsidRPr="003A153E">
        <w:rPr>
          <w:rFonts w:eastAsia="Times New Roman" w:cs="Times New Roman"/>
          <w:b/>
          <w:bCs/>
          <w:szCs w:val="20"/>
        </w:rPr>
        <w:t>Resultados</w:t>
      </w:r>
      <w:r>
        <w:rPr>
          <w:rFonts w:eastAsia="Times New Roman" w:cs="Times New Roman"/>
          <w:b/>
          <w:bCs/>
          <w:szCs w:val="20"/>
        </w:rPr>
        <w:t xml:space="preserve">. </w:t>
      </w:r>
      <w:r w:rsidRPr="003A153E">
        <w:rPr>
          <w:rFonts w:eastAsia="Times New Roman" w:cs="Times New Roman"/>
          <w:szCs w:val="20"/>
        </w:rPr>
        <w:t xml:space="preserve">De las 43 indicaciones respaldadas por ensayos aleatorizados, 21 (51%) </w:t>
      </w:r>
      <w:r>
        <w:rPr>
          <w:rFonts w:eastAsia="Times New Roman" w:cs="Times New Roman"/>
          <w:szCs w:val="20"/>
        </w:rPr>
        <w:t>se basaron en</w:t>
      </w:r>
      <w:r w:rsidRPr="003A153E">
        <w:rPr>
          <w:rFonts w:eastAsia="Times New Roman" w:cs="Times New Roman"/>
          <w:szCs w:val="20"/>
        </w:rPr>
        <w:t xml:space="preserve"> </w:t>
      </w:r>
      <w:r>
        <w:rPr>
          <w:rFonts w:eastAsia="Times New Roman" w:cs="Times New Roman"/>
          <w:szCs w:val="20"/>
        </w:rPr>
        <w:t>estudios</w:t>
      </w:r>
      <w:r w:rsidRPr="003A153E">
        <w:rPr>
          <w:rFonts w:eastAsia="Times New Roman" w:cs="Times New Roman"/>
          <w:szCs w:val="20"/>
        </w:rPr>
        <w:t xml:space="preserve"> abiert</w:t>
      </w:r>
      <w:r>
        <w:rPr>
          <w:rFonts w:eastAsia="Times New Roman" w:cs="Times New Roman"/>
          <w:szCs w:val="20"/>
        </w:rPr>
        <w:t>os</w:t>
      </w:r>
      <w:r w:rsidRPr="003A153E">
        <w:rPr>
          <w:rFonts w:eastAsia="Times New Roman" w:cs="Times New Roman"/>
          <w:szCs w:val="20"/>
        </w:rPr>
        <w:t xml:space="preserve">. Se </w:t>
      </w:r>
      <w:r w:rsidRPr="003A153E">
        <w:rPr>
          <w:rFonts w:eastAsia="Times New Roman" w:cs="Times New Roman"/>
          <w:szCs w:val="20"/>
        </w:rPr>
        <w:t xml:space="preserve">demostró un beneficio en la supervivencia global en 10 (23%) estudios y una mejora en la calidad de vida en 6 (14%). </w:t>
      </w:r>
    </w:p>
    <w:p w14:paraId="2DE1AD93" w14:textId="77777777" w:rsidR="00261692" w:rsidRDefault="00261692" w:rsidP="00261692">
      <w:pPr>
        <w:contextualSpacing/>
        <w:rPr>
          <w:rFonts w:eastAsia="Times New Roman" w:cs="Times New Roman"/>
          <w:szCs w:val="20"/>
        </w:rPr>
      </w:pPr>
    </w:p>
    <w:p w14:paraId="45CCB898" w14:textId="77777777" w:rsidR="00261692" w:rsidRDefault="00261692" w:rsidP="00261692">
      <w:pPr>
        <w:contextualSpacing/>
        <w:rPr>
          <w:rFonts w:eastAsia="Times New Roman" w:cs="Times New Roman"/>
          <w:szCs w:val="20"/>
        </w:rPr>
      </w:pPr>
      <w:r>
        <w:rPr>
          <w:rFonts w:eastAsia="Times New Roman" w:cs="Times New Roman"/>
          <w:szCs w:val="20"/>
        </w:rPr>
        <w:t>Al hacer una</w:t>
      </w:r>
      <w:r w:rsidRPr="003A153E">
        <w:rPr>
          <w:rFonts w:eastAsia="Times New Roman" w:cs="Times New Roman"/>
          <w:szCs w:val="20"/>
        </w:rPr>
        <w:t xml:space="preserve"> evaluación combinada</w:t>
      </w:r>
      <w:r>
        <w:rPr>
          <w:rFonts w:eastAsia="Times New Roman" w:cs="Times New Roman"/>
          <w:szCs w:val="20"/>
        </w:rPr>
        <w:t>,</w:t>
      </w:r>
      <w:r w:rsidRPr="003A153E">
        <w:rPr>
          <w:rFonts w:eastAsia="Times New Roman" w:cs="Times New Roman"/>
          <w:szCs w:val="20"/>
        </w:rPr>
        <w:t xml:space="preserve"> que incluyó publicaciones y documentos regulatorios de la FDA, </w:t>
      </w:r>
      <w:r>
        <w:rPr>
          <w:rFonts w:eastAsia="Times New Roman" w:cs="Times New Roman"/>
          <w:szCs w:val="20"/>
        </w:rPr>
        <w:t xml:space="preserve">se consideró que </w:t>
      </w:r>
      <w:r w:rsidRPr="003A153E">
        <w:rPr>
          <w:rFonts w:eastAsia="Times New Roman" w:cs="Times New Roman"/>
          <w:szCs w:val="20"/>
        </w:rPr>
        <w:t xml:space="preserve">13 ensayos (30%) </w:t>
      </w:r>
      <w:r>
        <w:rPr>
          <w:rFonts w:eastAsia="Times New Roman" w:cs="Times New Roman"/>
          <w:szCs w:val="20"/>
        </w:rPr>
        <w:t xml:space="preserve">tenían </w:t>
      </w:r>
      <w:r w:rsidRPr="003A153E">
        <w:rPr>
          <w:rFonts w:eastAsia="Times New Roman" w:cs="Times New Roman"/>
          <w:szCs w:val="20"/>
        </w:rPr>
        <w:t xml:space="preserve">bajo riesgo de sesgo, 24 (56%) plantearon algunas dudas y 6 (14%) presentaron un alto riesgo de sesgo. </w:t>
      </w:r>
    </w:p>
    <w:p w14:paraId="59D2710A" w14:textId="77777777" w:rsidR="00261692" w:rsidRDefault="00261692" w:rsidP="00261692">
      <w:pPr>
        <w:contextualSpacing/>
        <w:rPr>
          <w:rFonts w:eastAsia="Times New Roman" w:cs="Times New Roman"/>
          <w:szCs w:val="20"/>
        </w:rPr>
      </w:pPr>
    </w:p>
    <w:p w14:paraId="794773F5" w14:textId="77777777" w:rsidR="00261692" w:rsidRDefault="00261692" w:rsidP="00261692">
      <w:pPr>
        <w:contextualSpacing/>
        <w:rPr>
          <w:rFonts w:eastAsia="Times New Roman" w:cs="Times New Roman"/>
          <w:szCs w:val="20"/>
        </w:rPr>
      </w:pPr>
      <w:r w:rsidRPr="003A153E">
        <w:rPr>
          <w:rFonts w:eastAsia="Times New Roman" w:cs="Times New Roman"/>
          <w:szCs w:val="20"/>
        </w:rPr>
        <w:t xml:space="preserve">Las evaluaciones específicas de </w:t>
      </w:r>
      <w:r>
        <w:rPr>
          <w:rFonts w:eastAsia="Times New Roman" w:cs="Times New Roman"/>
          <w:szCs w:val="20"/>
        </w:rPr>
        <w:t xml:space="preserve">los ensayos fueren diferentes según la </w:t>
      </w:r>
      <w:r w:rsidRPr="003A153E">
        <w:rPr>
          <w:rFonts w:eastAsia="Times New Roman" w:cs="Times New Roman"/>
          <w:szCs w:val="20"/>
        </w:rPr>
        <w:t xml:space="preserve">fuente </w:t>
      </w:r>
      <w:r>
        <w:rPr>
          <w:rFonts w:eastAsia="Times New Roman" w:cs="Times New Roman"/>
          <w:szCs w:val="20"/>
        </w:rPr>
        <w:t>utilizada</w:t>
      </w:r>
      <w:r w:rsidRPr="003A153E">
        <w:rPr>
          <w:rFonts w:eastAsia="Times New Roman" w:cs="Times New Roman"/>
          <w:szCs w:val="20"/>
        </w:rPr>
        <w:t xml:space="preserve">: </w:t>
      </w:r>
      <w:r>
        <w:rPr>
          <w:rFonts w:eastAsia="Times New Roman" w:cs="Times New Roman"/>
          <w:szCs w:val="20"/>
        </w:rPr>
        <w:t xml:space="preserve">cuando solo se utilizaron los informes publicados, </w:t>
      </w:r>
      <w:r w:rsidRPr="003A153E">
        <w:rPr>
          <w:rFonts w:eastAsia="Times New Roman" w:cs="Times New Roman"/>
          <w:szCs w:val="20"/>
        </w:rPr>
        <w:t>19 de 42 ensayos (45%) se clasificaron como de alto riesgo, frente a 7 de 43 (17%) cuando s</w:t>
      </w:r>
      <w:r>
        <w:rPr>
          <w:rFonts w:eastAsia="Times New Roman" w:cs="Times New Roman"/>
          <w:szCs w:val="20"/>
        </w:rPr>
        <w:t>olo se utilizaron</w:t>
      </w:r>
      <w:r w:rsidRPr="003A153E">
        <w:rPr>
          <w:rFonts w:eastAsia="Times New Roman" w:cs="Times New Roman"/>
          <w:szCs w:val="20"/>
        </w:rPr>
        <w:t xml:space="preserve"> los documentos de revisión de la FDA. </w:t>
      </w:r>
    </w:p>
    <w:p w14:paraId="45386A5A" w14:textId="77777777" w:rsidR="00261692" w:rsidRDefault="00261692" w:rsidP="00261692">
      <w:pPr>
        <w:contextualSpacing/>
        <w:rPr>
          <w:rFonts w:eastAsia="Times New Roman" w:cs="Times New Roman"/>
          <w:szCs w:val="20"/>
        </w:rPr>
      </w:pPr>
    </w:p>
    <w:p w14:paraId="2054CB59" w14:textId="77777777" w:rsidR="00261692" w:rsidRDefault="00261692" w:rsidP="00261692">
      <w:pPr>
        <w:contextualSpacing/>
        <w:rPr>
          <w:rFonts w:eastAsia="Times New Roman" w:cs="Times New Roman"/>
          <w:szCs w:val="20"/>
        </w:rPr>
      </w:pPr>
      <w:r w:rsidRPr="003A153E">
        <w:rPr>
          <w:rFonts w:eastAsia="Times New Roman" w:cs="Times New Roman"/>
          <w:szCs w:val="20"/>
        </w:rPr>
        <w:t xml:space="preserve">Se observó un beneficio clínico sustancial en 14 de 43 (33%), pero solo 4 (9%) combinaron un bajo riesgo de sesgo con un beneficio sustancial. </w:t>
      </w:r>
    </w:p>
    <w:p w14:paraId="7009E833" w14:textId="77777777" w:rsidR="00261692" w:rsidRDefault="00261692" w:rsidP="00261692">
      <w:pPr>
        <w:contextualSpacing/>
        <w:rPr>
          <w:rFonts w:eastAsia="Times New Roman" w:cs="Times New Roman"/>
          <w:szCs w:val="20"/>
        </w:rPr>
      </w:pPr>
    </w:p>
    <w:p w14:paraId="471DE8AF" w14:textId="77777777" w:rsidR="00261692" w:rsidRPr="003A153E" w:rsidRDefault="00261692" w:rsidP="00261692">
      <w:pPr>
        <w:contextualSpacing/>
        <w:rPr>
          <w:rFonts w:eastAsia="Times New Roman" w:cs="Times New Roman"/>
          <w:szCs w:val="20"/>
        </w:rPr>
      </w:pPr>
      <w:r w:rsidRPr="003A153E">
        <w:rPr>
          <w:rFonts w:eastAsia="Times New Roman" w:cs="Times New Roman"/>
          <w:szCs w:val="20"/>
        </w:rPr>
        <w:t xml:space="preserve">Entre los 16 ensayos (37%) </w:t>
      </w:r>
      <w:r>
        <w:rPr>
          <w:rFonts w:eastAsia="Times New Roman" w:cs="Times New Roman"/>
          <w:szCs w:val="20"/>
        </w:rPr>
        <w:t>en que se detectó</w:t>
      </w:r>
      <w:r w:rsidRPr="003A153E">
        <w:rPr>
          <w:rFonts w:eastAsia="Times New Roman" w:cs="Times New Roman"/>
          <w:szCs w:val="20"/>
        </w:rPr>
        <w:t xml:space="preserve"> bajo beneficio clínico, 12 (75%) presentaron problemas metodológicos o un alto riesgo de sesgo. El riesgo de sesgo se asoció de forma inconsistente con el beneficio clínico, la supervivencia global o los resultados </w:t>
      </w:r>
      <w:r>
        <w:rPr>
          <w:rFonts w:eastAsia="Times New Roman" w:cs="Times New Roman"/>
          <w:szCs w:val="20"/>
        </w:rPr>
        <w:t xml:space="preserve">en la </w:t>
      </w:r>
      <w:r w:rsidRPr="003A153E">
        <w:rPr>
          <w:rFonts w:eastAsia="Times New Roman" w:cs="Times New Roman"/>
          <w:szCs w:val="20"/>
        </w:rPr>
        <w:t>calidad de vida.</w:t>
      </w:r>
    </w:p>
    <w:p w14:paraId="61745AAA" w14:textId="77777777" w:rsidR="00261692" w:rsidRPr="003A153E" w:rsidRDefault="00261692" w:rsidP="00261692">
      <w:pPr>
        <w:contextualSpacing/>
        <w:rPr>
          <w:rFonts w:eastAsia="Times New Roman" w:cs="Times New Roman"/>
          <w:color w:val="EE0000"/>
          <w:szCs w:val="20"/>
        </w:rPr>
      </w:pPr>
    </w:p>
    <w:p w14:paraId="47C70479" w14:textId="77777777" w:rsidR="00261692" w:rsidRDefault="00261692" w:rsidP="00261692">
      <w:pPr>
        <w:contextualSpacing/>
        <w:rPr>
          <w:rFonts w:eastAsia="Times New Roman" w:cs="Times New Roman"/>
          <w:szCs w:val="20"/>
        </w:rPr>
      </w:pPr>
      <w:r w:rsidRPr="0044780B">
        <w:rPr>
          <w:rFonts w:eastAsia="Times New Roman" w:cs="Times New Roman"/>
          <w:b/>
          <w:bCs/>
          <w:szCs w:val="20"/>
        </w:rPr>
        <w:t>Conclusión</w:t>
      </w:r>
      <w:r>
        <w:rPr>
          <w:rFonts w:eastAsia="Times New Roman" w:cs="Times New Roman"/>
          <w:b/>
          <w:bCs/>
          <w:szCs w:val="20"/>
        </w:rPr>
        <w:t xml:space="preserve">. </w:t>
      </w:r>
      <w:r w:rsidRPr="0044780B">
        <w:rPr>
          <w:rFonts w:eastAsia="Times New Roman" w:cs="Times New Roman"/>
          <w:szCs w:val="20"/>
        </w:rPr>
        <w:t xml:space="preserve">Las recientes aprobaciones de fármacos anticancerígenos por parte de la FDA se basan con frecuencia en </w:t>
      </w:r>
      <w:r w:rsidRPr="0044780B">
        <w:rPr>
          <w:rFonts w:eastAsia="Times New Roman" w:cs="Times New Roman"/>
          <w:szCs w:val="20"/>
        </w:rPr>
        <w:lastRenderedPageBreak/>
        <w:t xml:space="preserve">ensayos con limitaciones metodológicas y </w:t>
      </w:r>
      <w:r>
        <w:rPr>
          <w:rFonts w:eastAsia="Times New Roman" w:cs="Times New Roman"/>
          <w:szCs w:val="20"/>
        </w:rPr>
        <w:t xml:space="preserve">que aportan un </w:t>
      </w:r>
      <w:r w:rsidRPr="0044780B">
        <w:rPr>
          <w:rFonts w:eastAsia="Times New Roman" w:cs="Times New Roman"/>
          <w:szCs w:val="20"/>
        </w:rPr>
        <w:t xml:space="preserve">beneficio clínico limitado. </w:t>
      </w:r>
      <w:r>
        <w:rPr>
          <w:rFonts w:eastAsia="Times New Roman" w:cs="Times New Roman"/>
          <w:szCs w:val="20"/>
        </w:rPr>
        <w:t>Integrar</w:t>
      </w:r>
      <w:r w:rsidRPr="0044780B">
        <w:rPr>
          <w:rFonts w:eastAsia="Times New Roman" w:cs="Times New Roman"/>
          <w:szCs w:val="20"/>
        </w:rPr>
        <w:t xml:space="preserve"> las evaluaciones del riesgo de sesgo y del beneficio clínico puede fortalecer la evaluación </w:t>
      </w:r>
      <w:r w:rsidRPr="0044780B">
        <w:rPr>
          <w:rFonts w:eastAsia="Times New Roman" w:cs="Times New Roman"/>
          <w:szCs w:val="20"/>
        </w:rPr>
        <w:t xml:space="preserve">previa a la aprobación y </w:t>
      </w:r>
      <w:r>
        <w:rPr>
          <w:rFonts w:eastAsia="Times New Roman" w:cs="Times New Roman"/>
          <w:szCs w:val="20"/>
        </w:rPr>
        <w:t>el monitoreo</w:t>
      </w:r>
      <w:r w:rsidRPr="0044780B">
        <w:rPr>
          <w:rFonts w:eastAsia="Times New Roman" w:cs="Times New Roman"/>
          <w:szCs w:val="20"/>
        </w:rPr>
        <w:t xml:space="preserve"> posterior a la aprobación, respaldar la comunicación con el paciente e informar las decisiones </w:t>
      </w:r>
      <w:r>
        <w:rPr>
          <w:rFonts w:eastAsia="Times New Roman" w:cs="Times New Roman"/>
          <w:szCs w:val="20"/>
        </w:rPr>
        <w:t>sobre los</w:t>
      </w:r>
      <w:r w:rsidRPr="0044780B">
        <w:rPr>
          <w:rFonts w:eastAsia="Times New Roman" w:cs="Times New Roman"/>
          <w:szCs w:val="20"/>
        </w:rPr>
        <w:t xml:space="preserve"> precios basadas en </w:t>
      </w:r>
      <w:r>
        <w:rPr>
          <w:rFonts w:eastAsia="Times New Roman" w:cs="Times New Roman"/>
          <w:szCs w:val="20"/>
        </w:rPr>
        <w:t>su</w:t>
      </w:r>
      <w:r w:rsidRPr="0044780B">
        <w:rPr>
          <w:rFonts w:eastAsia="Times New Roman" w:cs="Times New Roman"/>
          <w:szCs w:val="20"/>
        </w:rPr>
        <w:t xml:space="preserve"> valor.</w:t>
      </w:r>
      <w:bookmarkEnd w:id="7"/>
    </w:p>
    <w:p w14:paraId="457AEDE5" w14:textId="77777777" w:rsidR="00421B71" w:rsidRDefault="00421B71" w:rsidP="004D63D3">
      <w:pPr>
        <w:jc w:val="center"/>
        <w:rPr>
          <w:rFonts w:eastAsia="Times New Roman" w:cs="Times New Roman"/>
          <w:color w:val="0D0D0D" w:themeColor="text1" w:themeTint="F2"/>
          <w:szCs w:val="20"/>
        </w:rPr>
        <w:sectPr w:rsidR="00421B71" w:rsidSect="00421B71">
          <w:type w:val="continuous"/>
          <w:pgSz w:w="12240" w:h="15840" w:code="1"/>
          <w:pgMar w:top="720" w:right="720" w:bottom="720" w:left="720" w:header="288" w:footer="288" w:gutter="0"/>
          <w:cols w:num="2" w:space="288"/>
          <w:docGrid w:linePitch="360"/>
        </w:sectPr>
      </w:pPr>
    </w:p>
    <w:p w14:paraId="6CC02494" w14:textId="7C9A45F6" w:rsidR="00261692" w:rsidRDefault="00261692" w:rsidP="004D63D3">
      <w:pPr>
        <w:jc w:val="center"/>
        <w:rPr>
          <w:rFonts w:eastAsia="Times New Roman" w:cs="Times New Roman"/>
          <w:color w:val="0D0D0D" w:themeColor="text1" w:themeTint="F2"/>
          <w:szCs w:val="20"/>
        </w:rPr>
      </w:pPr>
    </w:p>
    <w:p w14:paraId="44940CD4" w14:textId="2A190730" w:rsidR="00261692" w:rsidRDefault="00261692" w:rsidP="004D63D3">
      <w:pPr>
        <w:jc w:val="center"/>
        <w:rPr>
          <w:rFonts w:eastAsia="Times New Roman" w:cs="Times New Roman"/>
          <w:color w:val="0D0D0D" w:themeColor="text1" w:themeTint="F2"/>
          <w:szCs w:val="20"/>
        </w:rPr>
      </w:pPr>
    </w:p>
    <w:p w14:paraId="6EA30417" w14:textId="77777777" w:rsidR="00261692" w:rsidRPr="00EA71DA" w:rsidRDefault="00261692" w:rsidP="00261692">
      <w:pPr>
        <w:jc w:val="center"/>
        <w:rPr>
          <w:rFonts w:eastAsia="Times New Roman" w:cs="Times New Roman"/>
          <w:b/>
          <w:bCs/>
          <w:color w:val="0D0D0D" w:themeColor="text1" w:themeTint="F2"/>
          <w:szCs w:val="20"/>
        </w:rPr>
      </w:pPr>
      <w:bookmarkStart w:id="8" w:name="_Hlk238555718"/>
      <w:r>
        <w:rPr>
          <w:rFonts w:eastAsia="Times New Roman" w:cs="Times New Roman"/>
          <w:color w:val="0D0D0D" w:themeColor="text1" w:themeTint="F2"/>
          <w:szCs w:val="20"/>
        </w:rPr>
        <w:t xml:space="preserve">EE UU. </w:t>
      </w:r>
      <w:r w:rsidRPr="00EA71DA">
        <w:rPr>
          <w:rFonts w:eastAsia="Times New Roman" w:cs="Times New Roman"/>
          <w:b/>
          <w:bCs/>
          <w:color w:val="0D0D0D" w:themeColor="text1" w:themeTint="F2"/>
          <w:szCs w:val="20"/>
        </w:rPr>
        <w:t xml:space="preserve">Los estándares vigentes sobre la evidencia que se requiere para aprobar nuevos fármacos oncológicos </w:t>
      </w:r>
    </w:p>
    <w:p w14:paraId="7EE0D6F8" w14:textId="77777777" w:rsidR="00261692" w:rsidRPr="00F3234D" w:rsidRDefault="00261692" w:rsidP="00261692">
      <w:pPr>
        <w:jc w:val="center"/>
        <w:rPr>
          <w:rFonts w:eastAsia="Times New Roman" w:cs="Times New Roman"/>
          <w:b/>
          <w:bCs/>
          <w:color w:val="0D0D0D" w:themeColor="text1" w:themeTint="F2"/>
          <w:szCs w:val="20"/>
        </w:rPr>
      </w:pPr>
      <w:r w:rsidRPr="00EA71DA">
        <w:rPr>
          <w:rFonts w:eastAsia="Times New Roman" w:cs="Times New Roman"/>
          <w:b/>
          <w:bCs/>
          <w:color w:val="0D0D0D" w:themeColor="text1" w:themeTint="F2"/>
          <w:szCs w:val="20"/>
        </w:rPr>
        <w:t>¿son adecuados y suficientes?</w:t>
      </w:r>
    </w:p>
    <w:p w14:paraId="12A3E899" w14:textId="77777777" w:rsidR="00261692" w:rsidRDefault="00261692" w:rsidP="00261692">
      <w:pPr>
        <w:jc w:val="center"/>
        <w:rPr>
          <w:rFonts w:eastAsia="Times New Roman" w:cs="Times New Roman"/>
          <w:color w:val="0D0D0D" w:themeColor="text1" w:themeTint="F2"/>
          <w:szCs w:val="20"/>
        </w:rPr>
      </w:pPr>
      <w:r>
        <w:rPr>
          <w:rFonts w:eastAsia="Times New Roman" w:cs="Times New Roman"/>
          <w:color w:val="0D0D0D" w:themeColor="text1" w:themeTint="F2"/>
          <w:szCs w:val="20"/>
        </w:rPr>
        <w:t>Salud y Fármacos</w:t>
      </w:r>
    </w:p>
    <w:p w14:paraId="351EFCD7" w14:textId="77777777" w:rsidR="00261692" w:rsidRPr="00EB773A" w:rsidRDefault="00261692" w:rsidP="00261692">
      <w:pPr>
        <w:jc w:val="center"/>
      </w:pPr>
      <w:r w:rsidRPr="00CA5ACC">
        <w:rPr>
          <w:rFonts w:cs="Times New Roman"/>
          <w:i/>
          <w:iCs/>
          <w:szCs w:val="20"/>
        </w:rPr>
        <w:t>Boletín Fármacos:</w:t>
      </w:r>
      <w:r>
        <w:rPr>
          <w:rFonts w:cs="Times New Roman"/>
          <w:i/>
          <w:iCs/>
          <w:szCs w:val="20"/>
        </w:rPr>
        <w:t xml:space="preserve"> </w:t>
      </w:r>
      <w:r>
        <w:rPr>
          <w:i/>
          <w:iCs/>
          <w:szCs w:val="20"/>
        </w:rPr>
        <w:t>Agen</w:t>
      </w:r>
      <w:r w:rsidRPr="001900D6">
        <w:rPr>
          <w:i/>
          <w:iCs/>
          <w:szCs w:val="20"/>
        </w:rPr>
        <w:t xml:space="preserve">cias </w:t>
      </w:r>
      <w:r>
        <w:rPr>
          <w:i/>
          <w:iCs/>
          <w:szCs w:val="20"/>
        </w:rPr>
        <w:t>Reguladoras</w:t>
      </w:r>
      <w:r w:rsidRPr="001900D6">
        <w:rPr>
          <w:i/>
          <w:iCs/>
          <w:szCs w:val="20"/>
        </w:rPr>
        <w:t xml:space="preserve"> 2026; 29(</w:t>
      </w:r>
      <w:r>
        <w:rPr>
          <w:i/>
          <w:iCs/>
          <w:szCs w:val="20"/>
        </w:rPr>
        <w:t>3</w:t>
      </w:r>
      <w:r w:rsidRPr="001900D6">
        <w:rPr>
          <w:i/>
          <w:iCs/>
          <w:szCs w:val="20"/>
        </w:rPr>
        <w:t>)</w:t>
      </w:r>
    </w:p>
    <w:p w14:paraId="00D693FC" w14:textId="77777777" w:rsidR="00261692" w:rsidRPr="00FD0655" w:rsidRDefault="00261692" w:rsidP="00261692">
      <w:pPr>
        <w:rPr>
          <w:szCs w:val="20"/>
        </w:rPr>
      </w:pPr>
    </w:p>
    <w:p w14:paraId="1DF5AE3C" w14:textId="77777777" w:rsidR="00421B71" w:rsidRDefault="00421B71" w:rsidP="00261692">
      <w:pPr>
        <w:rPr>
          <w:b/>
          <w:bCs/>
          <w:sz w:val="18"/>
          <w:szCs w:val="18"/>
        </w:rPr>
        <w:sectPr w:rsidR="00421B71" w:rsidSect="00F25512">
          <w:type w:val="continuous"/>
          <w:pgSz w:w="12240" w:h="15840" w:code="1"/>
          <w:pgMar w:top="720" w:right="720" w:bottom="720" w:left="720" w:header="288" w:footer="288" w:gutter="0"/>
          <w:cols w:space="288"/>
          <w:docGrid w:linePitch="360"/>
        </w:sectPr>
      </w:pPr>
    </w:p>
    <w:p w14:paraId="42F7CFC9" w14:textId="18054A07" w:rsidR="00261692" w:rsidRDefault="00261692" w:rsidP="00261692">
      <w:pPr>
        <w:rPr>
          <w:rFonts w:eastAsia="Times New Roman" w:cs="Times New Roman"/>
          <w:color w:val="0D0D0D" w:themeColor="text1" w:themeTint="F2"/>
          <w:szCs w:val="20"/>
        </w:rPr>
      </w:pPr>
      <w:r w:rsidRPr="00FD0655">
        <w:rPr>
          <w:b/>
          <w:bCs/>
          <w:sz w:val="18"/>
          <w:szCs w:val="18"/>
        </w:rPr>
        <w:t>Tags:</w:t>
      </w:r>
      <w:r>
        <w:rPr>
          <w:b/>
          <w:bCs/>
          <w:sz w:val="18"/>
          <w:szCs w:val="18"/>
        </w:rPr>
        <w:t xml:space="preserve"> </w:t>
      </w:r>
      <w:r w:rsidRPr="00D14E78">
        <w:rPr>
          <w:rFonts w:eastAsia="Times New Roman" w:cs="Times New Roman"/>
          <w:b/>
          <w:bCs/>
          <w:color w:val="0D0D0D" w:themeColor="text1" w:themeTint="F2"/>
          <w:sz w:val="18"/>
          <w:szCs w:val="18"/>
        </w:rPr>
        <w:t>estándares de evidencia</w:t>
      </w:r>
      <w:r>
        <w:rPr>
          <w:rFonts w:eastAsia="Times New Roman" w:cs="Times New Roman"/>
          <w:b/>
          <w:bCs/>
          <w:color w:val="0D0D0D" w:themeColor="text1" w:themeTint="F2"/>
          <w:sz w:val="18"/>
          <w:szCs w:val="18"/>
        </w:rPr>
        <w:t>, innovación en oncología, terapias antineoplásicas,</w:t>
      </w:r>
      <w:r w:rsidRPr="00D14E78">
        <w:rPr>
          <w:rFonts w:eastAsia="Times New Roman" w:cs="Times New Roman"/>
          <w:b/>
          <w:bCs/>
          <w:color w:val="0D0D0D" w:themeColor="text1" w:themeTint="F2"/>
          <w:sz w:val="18"/>
          <w:szCs w:val="18"/>
        </w:rPr>
        <w:t xml:space="preserve"> aproba</w:t>
      </w:r>
      <w:r>
        <w:rPr>
          <w:rFonts w:eastAsia="Times New Roman" w:cs="Times New Roman"/>
          <w:b/>
          <w:bCs/>
          <w:color w:val="0D0D0D" w:themeColor="text1" w:themeTint="F2"/>
          <w:sz w:val="18"/>
          <w:szCs w:val="18"/>
        </w:rPr>
        <w:t>ción de</w:t>
      </w:r>
      <w:r w:rsidRPr="00D14E78">
        <w:rPr>
          <w:rFonts w:eastAsia="Times New Roman" w:cs="Times New Roman"/>
          <w:b/>
          <w:bCs/>
          <w:color w:val="0D0D0D" w:themeColor="text1" w:themeTint="F2"/>
          <w:sz w:val="18"/>
          <w:szCs w:val="18"/>
        </w:rPr>
        <w:t xml:space="preserve"> nuevos fármacos</w:t>
      </w:r>
      <w:r>
        <w:rPr>
          <w:rFonts w:eastAsia="Times New Roman" w:cs="Times New Roman"/>
          <w:b/>
          <w:bCs/>
          <w:color w:val="0D0D0D" w:themeColor="text1" w:themeTint="F2"/>
          <w:sz w:val="18"/>
          <w:szCs w:val="18"/>
        </w:rPr>
        <w:t>, fármacos</w:t>
      </w:r>
      <w:r w:rsidRPr="00D14E78">
        <w:rPr>
          <w:rFonts w:eastAsia="Times New Roman" w:cs="Times New Roman"/>
          <w:b/>
          <w:bCs/>
          <w:color w:val="0D0D0D" w:themeColor="text1" w:themeTint="F2"/>
          <w:sz w:val="18"/>
          <w:szCs w:val="18"/>
        </w:rPr>
        <w:t xml:space="preserve"> oncológicos</w:t>
      </w:r>
    </w:p>
    <w:p w14:paraId="37EB366D" w14:textId="77777777" w:rsidR="00261692" w:rsidRDefault="00261692" w:rsidP="00261692">
      <w:pPr>
        <w:jc w:val="center"/>
        <w:rPr>
          <w:rFonts w:eastAsia="Times New Roman" w:cs="Times New Roman"/>
          <w:color w:val="0D0D0D" w:themeColor="text1" w:themeTint="F2"/>
          <w:szCs w:val="20"/>
        </w:rPr>
      </w:pPr>
    </w:p>
    <w:p w14:paraId="5593C1D2" w14:textId="77777777" w:rsidR="00261692" w:rsidRDefault="00261692" w:rsidP="00261692">
      <w:pPr>
        <w:rPr>
          <w:rFonts w:eastAsia="Times New Roman" w:cs="Times New Roman"/>
          <w:color w:val="0D0D0D" w:themeColor="text1" w:themeTint="F2"/>
          <w:szCs w:val="20"/>
        </w:rPr>
      </w:pPr>
      <w:proofErr w:type="spellStart"/>
      <w:r w:rsidRPr="00D14E78">
        <w:rPr>
          <w:rFonts w:eastAsia="Times New Roman" w:cs="Times New Roman"/>
          <w:color w:val="0D0D0D" w:themeColor="text1" w:themeTint="F2"/>
          <w:szCs w:val="20"/>
        </w:rPr>
        <w:t>Dusetzina</w:t>
      </w:r>
      <w:proofErr w:type="spellEnd"/>
      <w:r w:rsidRPr="00D14E78">
        <w:rPr>
          <w:rFonts w:eastAsia="Times New Roman" w:cs="Times New Roman"/>
          <w:color w:val="0D0D0D" w:themeColor="text1" w:themeTint="F2"/>
          <w:szCs w:val="20"/>
        </w:rPr>
        <w:t xml:space="preserve"> </w:t>
      </w:r>
      <w:r>
        <w:rPr>
          <w:rFonts w:eastAsia="Times New Roman" w:cs="Times New Roman"/>
          <w:color w:val="0D0D0D" w:themeColor="text1" w:themeTint="F2"/>
          <w:szCs w:val="20"/>
        </w:rPr>
        <w:t xml:space="preserve">y </w:t>
      </w:r>
      <w:proofErr w:type="spellStart"/>
      <w:r w:rsidRPr="00D14E78">
        <w:rPr>
          <w:rFonts w:eastAsia="Times New Roman" w:cs="Times New Roman"/>
          <w:color w:val="0D0D0D" w:themeColor="text1" w:themeTint="F2"/>
          <w:szCs w:val="20"/>
        </w:rPr>
        <w:t>Jazowski</w:t>
      </w:r>
      <w:proofErr w:type="spellEnd"/>
      <w:r w:rsidRPr="00D14E78">
        <w:rPr>
          <w:rFonts w:eastAsia="Times New Roman" w:cs="Times New Roman"/>
          <w:color w:val="0D0D0D" w:themeColor="text1" w:themeTint="F2"/>
          <w:szCs w:val="20"/>
        </w:rPr>
        <w:t xml:space="preserve"> </w:t>
      </w:r>
      <w:r>
        <w:rPr>
          <w:rFonts w:eastAsia="Times New Roman" w:cs="Times New Roman"/>
          <w:color w:val="0D0D0D" w:themeColor="text1" w:themeTint="F2"/>
          <w:szCs w:val="20"/>
        </w:rPr>
        <w:t xml:space="preserve">se preguntan </w:t>
      </w:r>
      <w:r w:rsidRPr="00A7491E">
        <w:rPr>
          <w:rFonts w:eastAsia="Times New Roman" w:cs="Times New Roman"/>
          <w:color w:val="0D0D0D" w:themeColor="text1" w:themeTint="F2"/>
          <w:szCs w:val="20"/>
        </w:rPr>
        <w:t>¿</w:t>
      </w:r>
      <w:r>
        <w:rPr>
          <w:rFonts w:eastAsia="Times New Roman" w:cs="Times New Roman"/>
          <w:color w:val="0D0D0D" w:themeColor="text1" w:themeTint="F2"/>
          <w:szCs w:val="20"/>
        </w:rPr>
        <w:t>c</w:t>
      </w:r>
      <w:r w:rsidRPr="00A7491E">
        <w:rPr>
          <w:rFonts w:eastAsia="Times New Roman" w:cs="Times New Roman"/>
          <w:color w:val="0D0D0D" w:themeColor="text1" w:themeTint="F2"/>
          <w:szCs w:val="20"/>
        </w:rPr>
        <w:t xml:space="preserve">uánta </w:t>
      </w:r>
      <w:r>
        <w:rPr>
          <w:rFonts w:eastAsia="Times New Roman" w:cs="Times New Roman"/>
          <w:color w:val="0D0D0D" w:themeColor="text1" w:themeTint="F2"/>
          <w:szCs w:val="20"/>
        </w:rPr>
        <w:t>información hay que tener</w:t>
      </w:r>
      <w:r w:rsidRPr="00A7491E">
        <w:rPr>
          <w:rFonts w:eastAsia="Times New Roman" w:cs="Times New Roman"/>
          <w:color w:val="0D0D0D" w:themeColor="text1" w:themeTint="F2"/>
          <w:szCs w:val="20"/>
        </w:rPr>
        <w:t xml:space="preserve"> para </w:t>
      </w:r>
      <w:r>
        <w:rPr>
          <w:rFonts w:eastAsia="Times New Roman" w:cs="Times New Roman"/>
          <w:color w:val="0D0D0D" w:themeColor="text1" w:themeTint="F2"/>
          <w:szCs w:val="20"/>
        </w:rPr>
        <w:t>escoger un tratamiento oncológico</w:t>
      </w:r>
      <w:r w:rsidRPr="00A7491E">
        <w:rPr>
          <w:rFonts w:eastAsia="Times New Roman" w:cs="Times New Roman"/>
          <w:color w:val="0D0D0D" w:themeColor="text1" w:themeTint="F2"/>
          <w:szCs w:val="20"/>
        </w:rPr>
        <w:t>?</w:t>
      </w:r>
      <w:r>
        <w:rPr>
          <w:rFonts w:eastAsia="Times New Roman" w:cs="Times New Roman"/>
          <w:color w:val="0D0D0D" w:themeColor="text1" w:themeTint="F2"/>
          <w:szCs w:val="20"/>
        </w:rPr>
        <w:t xml:space="preserve"> [1], a continuación, resumimos los puntos más importantes. </w:t>
      </w:r>
    </w:p>
    <w:p w14:paraId="207F8768" w14:textId="77777777" w:rsidR="00261692" w:rsidRDefault="00261692" w:rsidP="00261692">
      <w:pPr>
        <w:rPr>
          <w:rFonts w:eastAsia="Times New Roman" w:cs="Times New Roman"/>
          <w:color w:val="0D0D0D" w:themeColor="text1" w:themeTint="F2"/>
          <w:szCs w:val="20"/>
        </w:rPr>
      </w:pPr>
    </w:p>
    <w:p w14:paraId="1793B087" w14:textId="77777777" w:rsidR="00EA71DA" w:rsidRDefault="00261692" w:rsidP="00261692">
      <w:pPr>
        <w:rPr>
          <w:rFonts w:eastAsia="Times New Roman" w:cs="Times New Roman"/>
          <w:color w:val="0D0D0D" w:themeColor="text1" w:themeTint="F2"/>
          <w:szCs w:val="20"/>
        </w:rPr>
      </w:pPr>
      <w:r>
        <w:rPr>
          <w:rFonts w:eastAsia="Times New Roman" w:cs="Times New Roman"/>
          <w:color w:val="0D0D0D" w:themeColor="text1" w:themeTint="F2"/>
          <w:szCs w:val="20"/>
        </w:rPr>
        <w:t xml:space="preserve">La FDA suele aprobar los fármacos oncológicos a través de la </w:t>
      </w:r>
      <w:proofErr w:type="spellStart"/>
      <w:r>
        <w:rPr>
          <w:rFonts w:eastAsia="Times New Roman" w:cs="Times New Roman"/>
          <w:color w:val="0D0D0D" w:themeColor="text1" w:themeTint="F2"/>
          <w:szCs w:val="20"/>
        </w:rPr>
        <w:t>via</w:t>
      </w:r>
      <w:proofErr w:type="spellEnd"/>
      <w:r>
        <w:rPr>
          <w:rFonts w:eastAsia="Times New Roman" w:cs="Times New Roman"/>
          <w:color w:val="0D0D0D" w:themeColor="text1" w:themeTint="F2"/>
          <w:szCs w:val="20"/>
        </w:rPr>
        <w:t xml:space="preserve"> acelerada, por lo que, en el momento de su comercialización, la agencia reguladora, los médicos y los pacientes solo cuentan con indicadores de eficacia sobre criterios de valoración indirectos o </w:t>
      </w:r>
      <w:proofErr w:type="spellStart"/>
      <w:r>
        <w:rPr>
          <w:rFonts w:eastAsia="Times New Roman" w:cs="Times New Roman"/>
          <w:color w:val="0D0D0D" w:themeColor="text1" w:themeTint="F2"/>
          <w:szCs w:val="20"/>
        </w:rPr>
        <w:t>subrojados</w:t>
      </w:r>
      <w:proofErr w:type="spellEnd"/>
      <w:r>
        <w:rPr>
          <w:rFonts w:eastAsia="Times New Roman" w:cs="Times New Roman"/>
          <w:color w:val="0D0D0D" w:themeColor="text1" w:themeTint="F2"/>
          <w:szCs w:val="20"/>
        </w:rPr>
        <w:t xml:space="preserve">, como por ejemplo la supervivencia libre de progresión. </w:t>
      </w:r>
    </w:p>
    <w:p w14:paraId="3713B1AF" w14:textId="77777777" w:rsidR="00EA71DA" w:rsidRDefault="00EA71DA" w:rsidP="00261692">
      <w:pPr>
        <w:rPr>
          <w:rFonts w:eastAsia="Times New Roman" w:cs="Times New Roman"/>
          <w:color w:val="0D0D0D" w:themeColor="text1" w:themeTint="F2"/>
          <w:szCs w:val="20"/>
        </w:rPr>
      </w:pPr>
    </w:p>
    <w:p w14:paraId="577A6CC2" w14:textId="17E7EA49" w:rsidR="00261692" w:rsidRDefault="00261692" w:rsidP="00261692">
      <w:pPr>
        <w:rPr>
          <w:rFonts w:eastAsia="Times New Roman" w:cs="Times New Roman"/>
          <w:color w:val="0D0D0D" w:themeColor="text1" w:themeTint="F2"/>
          <w:szCs w:val="20"/>
        </w:rPr>
      </w:pPr>
      <w:r>
        <w:rPr>
          <w:rFonts w:eastAsia="Times New Roman" w:cs="Times New Roman"/>
          <w:color w:val="0D0D0D" w:themeColor="text1" w:themeTint="F2"/>
          <w:szCs w:val="20"/>
        </w:rPr>
        <w:t xml:space="preserve">La supervivencia libre de progresión es el tiempo que transcurre desde </w:t>
      </w:r>
      <w:r w:rsidRPr="00A7491E">
        <w:rPr>
          <w:rFonts w:eastAsia="Times New Roman" w:cs="Times New Roman"/>
          <w:color w:val="0D0D0D" w:themeColor="text1" w:themeTint="F2"/>
          <w:szCs w:val="20"/>
        </w:rPr>
        <w:t>el inicio del tratamiento</w:t>
      </w:r>
      <w:r>
        <w:rPr>
          <w:rFonts w:eastAsia="Times New Roman" w:cs="Times New Roman"/>
          <w:color w:val="0D0D0D" w:themeColor="text1" w:themeTint="F2"/>
          <w:szCs w:val="20"/>
        </w:rPr>
        <w:t xml:space="preserve"> experimental</w:t>
      </w:r>
      <w:r w:rsidRPr="00A7491E">
        <w:rPr>
          <w:rFonts w:eastAsia="Times New Roman" w:cs="Times New Roman"/>
          <w:color w:val="0D0D0D" w:themeColor="text1" w:themeTint="F2"/>
          <w:szCs w:val="20"/>
        </w:rPr>
        <w:t xml:space="preserve"> hasta </w:t>
      </w:r>
      <w:r>
        <w:rPr>
          <w:rFonts w:eastAsia="Times New Roman" w:cs="Times New Roman"/>
          <w:color w:val="0D0D0D" w:themeColor="text1" w:themeTint="F2"/>
          <w:szCs w:val="20"/>
        </w:rPr>
        <w:t>que el cáncer progresa o empeora [sea cual sea la definición de ´progresión´ que se haya aprobado en el protocolo de investigación]. Se considera que la supervivencia libre de progresión es un indicador indirecto de supervivencia global, pero eso no siempre ocurre.</w:t>
      </w:r>
    </w:p>
    <w:p w14:paraId="0EAB2F5D" w14:textId="77777777" w:rsidR="00261692" w:rsidRDefault="00261692" w:rsidP="00261692">
      <w:pPr>
        <w:rPr>
          <w:rFonts w:eastAsia="Times New Roman" w:cs="Times New Roman"/>
          <w:color w:val="0D0D0D" w:themeColor="text1" w:themeTint="F2"/>
          <w:szCs w:val="20"/>
        </w:rPr>
      </w:pPr>
    </w:p>
    <w:p w14:paraId="5844B0F1" w14:textId="77777777" w:rsidR="00261692" w:rsidRDefault="00261692" w:rsidP="00261692">
      <w:pPr>
        <w:rPr>
          <w:rFonts w:eastAsia="Times New Roman" w:cs="Times New Roman"/>
          <w:color w:val="0D0D0D" w:themeColor="text1" w:themeTint="F2"/>
          <w:szCs w:val="20"/>
        </w:rPr>
      </w:pPr>
      <w:r>
        <w:rPr>
          <w:rFonts w:eastAsia="Times New Roman" w:cs="Times New Roman"/>
          <w:color w:val="0D0D0D" w:themeColor="text1" w:themeTint="F2"/>
          <w:szCs w:val="20"/>
        </w:rPr>
        <w:t>Hay evidencia de que, cinco</w:t>
      </w:r>
      <w:r w:rsidRPr="00A7491E">
        <w:rPr>
          <w:rFonts w:eastAsia="Times New Roman" w:cs="Times New Roman"/>
          <w:color w:val="0D0D0D" w:themeColor="text1" w:themeTint="F2"/>
          <w:szCs w:val="20"/>
        </w:rPr>
        <w:t xml:space="preserve"> años </w:t>
      </w:r>
      <w:r>
        <w:rPr>
          <w:rFonts w:eastAsia="Times New Roman" w:cs="Times New Roman"/>
          <w:color w:val="0D0D0D" w:themeColor="text1" w:themeTint="F2"/>
          <w:szCs w:val="20"/>
        </w:rPr>
        <w:t>después de que un oncológico haya recibido la aprobación acelerada, una buena parte</w:t>
      </w:r>
      <w:r w:rsidRPr="00A7491E">
        <w:rPr>
          <w:rFonts w:eastAsia="Times New Roman" w:cs="Times New Roman"/>
          <w:color w:val="0D0D0D" w:themeColor="text1" w:themeTint="F2"/>
          <w:szCs w:val="20"/>
        </w:rPr>
        <w:t xml:space="preserve"> de </w:t>
      </w:r>
      <w:r>
        <w:rPr>
          <w:rFonts w:eastAsia="Times New Roman" w:cs="Times New Roman"/>
          <w:color w:val="0D0D0D" w:themeColor="text1" w:themeTint="F2"/>
          <w:szCs w:val="20"/>
        </w:rPr>
        <w:t>estas</w:t>
      </w:r>
      <w:r w:rsidRPr="00A7491E">
        <w:rPr>
          <w:rFonts w:eastAsia="Times New Roman" w:cs="Times New Roman"/>
          <w:color w:val="0D0D0D" w:themeColor="text1" w:themeTint="F2"/>
          <w:szCs w:val="20"/>
        </w:rPr>
        <w:t xml:space="preserve"> terapias no </w:t>
      </w:r>
      <w:r>
        <w:rPr>
          <w:rFonts w:eastAsia="Times New Roman" w:cs="Times New Roman"/>
          <w:color w:val="0D0D0D" w:themeColor="text1" w:themeTint="F2"/>
          <w:szCs w:val="20"/>
        </w:rPr>
        <w:t xml:space="preserve">han demostrado aportar </w:t>
      </w:r>
      <w:r w:rsidRPr="00A7491E">
        <w:rPr>
          <w:rFonts w:eastAsia="Times New Roman" w:cs="Times New Roman"/>
          <w:color w:val="0D0D0D" w:themeColor="text1" w:themeTint="F2"/>
          <w:szCs w:val="20"/>
        </w:rPr>
        <w:t>beneficios en supervivencia g</w:t>
      </w:r>
      <w:r>
        <w:rPr>
          <w:rFonts w:eastAsia="Times New Roman" w:cs="Times New Roman"/>
          <w:color w:val="0D0D0D" w:themeColor="text1" w:themeTint="F2"/>
          <w:szCs w:val="20"/>
        </w:rPr>
        <w:t>lob</w:t>
      </w:r>
      <w:r w:rsidRPr="00A7491E">
        <w:rPr>
          <w:rFonts w:eastAsia="Times New Roman" w:cs="Times New Roman"/>
          <w:color w:val="0D0D0D" w:themeColor="text1" w:themeTint="F2"/>
          <w:szCs w:val="20"/>
        </w:rPr>
        <w:t>al ni en la calidad de vida</w:t>
      </w:r>
      <w:r>
        <w:rPr>
          <w:rFonts w:eastAsia="Times New Roman" w:cs="Times New Roman"/>
          <w:color w:val="0D0D0D" w:themeColor="text1" w:themeTint="F2"/>
          <w:szCs w:val="20"/>
        </w:rPr>
        <w:t>, que son las variables que interesan a los pacientes</w:t>
      </w:r>
      <w:r w:rsidRPr="00A7491E">
        <w:rPr>
          <w:rFonts w:eastAsia="Times New Roman" w:cs="Times New Roman"/>
          <w:color w:val="0D0D0D" w:themeColor="text1" w:themeTint="F2"/>
          <w:szCs w:val="20"/>
        </w:rPr>
        <w:t xml:space="preserve"> </w:t>
      </w:r>
      <w:r>
        <w:rPr>
          <w:rFonts w:eastAsia="Times New Roman" w:cs="Times New Roman"/>
          <w:color w:val="0D0D0D" w:themeColor="text1" w:themeTint="F2"/>
          <w:szCs w:val="20"/>
        </w:rPr>
        <w:t>[2].</w:t>
      </w:r>
    </w:p>
    <w:p w14:paraId="5E44E331" w14:textId="77777777" w:rsidR="00261692" w:rsidRDefault="00261692" w:rsidP="00261692">
      <w:pPr>
        <w:rPr>
          <w:rFonts w:eastAsia="Times New Roman" w:cs="Times New Roman"/>
          <w:color w:val="0D0D0D" w:themeColor="text1" w:themeTint="F2"/>
          <w:szCs w:val="20"/>
        </w:rPr>
      </w:pPr>
    </w:p>
    <w:p w14:paraId="13CCC03F" w14:textId="77777777" w:rsidR="00261692" w:rsidRDefault="00261692" w:rsidP="00261692">
      <w:pPr>
        <w:rPr>
          <w:rFonts w:eastAsia="Times New Roman" w:cs="Times New Roman"/>
          <w:color w:val="0D0D0D" w:themeColor="text1" w:themeTint="F2"/>
          <w:szCs w:val="20"/>
        </w:rPr>
      </w:pPr>
      <w:r>
        <w:rPr>
          <w:rFonts w:eastAsia="Times New Roman" w:cs="Times New Roman"/>
          <w:color w:val="0D0D0D" w:themeColor="text1" w:themeTint="F2"/>
          <w:szCs w:val="20"/>
        </w:rPr>
        <w:t xml:space="preserve">En el caso de los tratamientos oncológicos, contar con información sobre la supervivencia global o la calidad de vida es especialmente importante porque, de lo contrario, los </w:t>
      </w:r>
      <w:r w:rsidRPr="00A7491E">
        <w:rPr>
          <w:rFonts w:eastAsia="Times New Roman" w:cs="Times New Roman"/>
          <w:color w:val="0D0D0D" w:themeColor="text1" w:themeTint="F2"/>
          <w:szCs w:val="20"/>
        </w:rPr>
        <w:t xml:space="preserve">pacientes que se someten a tratamientos con beneficios clínicos inciertos </w:t>
      </w:r>
      <w:r>
        <w:rPr>
          <w:rFonts w:eastAsia="Times New Roman" w:cs="Times New Roman"/>
          <w:color w:val="0D0D0D" w:themeColor="text1" w:themeTint="F2"/>
          <w:szCs w:val="20"/>
        </w:rPr>
        <w:t>[muchas veces marginales frente a las terapias estándar] que conllevan efectos adversos, pueden dejar secuelas, requieren tiempo y pueden tener un impacto financiero importante.</w:t>
      </w:r>
    </w:p>
    <w:p w14:paraId="30F7E483" w14:textId="77777777" w:rsidR="00261692" w:rsidRDefault="00261692" w:rsidP="00261692">
      <w:pPr>
        <w:rPr>
          <w:rFonts w:eastAsia="Times New Roman" w:cs="Times New Roman"/>
          <w:color w:val="0D0D0D" w:themeColor="text1" w:themeTint="F2"/>
          <w:szCs w:val="20"/>
        </w:rPr>
      </w:pPr>
    </w:p>
    <w:p w14:paraId="31065533" w14:textId="77777777" w:rsidR="00261692" w:rsidRDefault="00261692" w:rsidP="00261692">
      <w:pPr>
        <w:rPr>
          <w:rFonts w:eastAsia="Times New Roman" w:cs="Times New Roman"/>
          <w:color w:val="0D0D0D" w:themeColor="text1" w:themeTint="F2"/>
          <w:szCs w:val="20"/>
        </w:rPr>
      </w:pPr>
      <w:proofErr w:type="spellStart"/>
      <w:r w:rsidRPr="00D14E78">
        <w:rPr>
          <w:rFonts w:eastAsia="Times New Roman" w:cs="Times New Roman"/>
          <w:color w:val="0D0D0D" w:themeColor="text1" w:themeTint="F2"/>
          <w:szCs w:val="20"/>
        </w:rPr>
        <w:t>Dusetzina</w:t>
      </w:r>
      <w:proofErr w:type="spellEnd"/>
      <w:r w:rsidRPr="00D14E78">
        <w:rPr>
          <w:rFonts w:eastAsia="Times New Roman" w:cs="Times New Roman"/>
          <w:color w:val="0D0D0D" w:themeColor="text1" w:themeTint="F2"/>
          <w:szCs w:val="20"/>
        </w:rPr>
        <w:t xml:space="preserve"> </w:t>
      </w:r>
      <w:r>
        <w:rPr>
          <w:rFonts w:eastAsia="Times New Roman" w:cs="Times New Roman"/>
          <w:color w:val="0D0D0D" w:themeColor="text1" w:themeTint="F2"/>
          <w:szCs w:val="20"/>
        </w:rPr>
        <w:t xml:space="preserve">y </w:t>
      </w:r>
      <w:proofErr w:type="spellStart"/>
      <w:r w:rsidRPr="00D14E78">
        <w:rPr>
          <w:rFonts w:eastAsia="Times New Roman" w:cs="Times New Roman"/>
          <w:color w:val="0D0D0D" w:themeColor="text1" w:themeTint="F2"/>
          <w:szCs w:val="20"/>
        </w:rPr>
        <w:t>Jazowski</w:t>
      </w:r>
      <w:proofErr w:type="spellEnd"/>
      <w:r>
        <w:rPr>
          <w:rFonts w:eastAsia="Times New Roman" w:cs="Times New Roman"/>
          <w:color w:val="0D0D0D" w:themeColor="text1" w:themeTint="F2"/>
          <w:szCs w:val="20"/>
        </w:rPr>
        <w:t xml:space="preserve"> citan el trabajo de Forrest et al [3], quienes recabaron las </w:t>
      </w:r>
      <w:proofErr w:type="spellStart"/>
      <w:r>
        <w:rPr>
          <w:rFonts w:eastAsia="Times New Roman" w:cs="Times New Roman"/>
          <w:color w:val="0D0D0D" w:themeColor="text1" w:themeTint="F2"/>
          <w:szCs w:val="20"/>
        </w:rPr>
        <w:t>opinioes</w:t>
      </w:r>
      <w:proofErr w:type="spellEnd"/>
      <w:r>
        <w:rPr>
          <w:rFonts w:eastAsia="Times New Roman" w:cs="Times New Roman"/>
          <w:color w:val="0D0D0D" w:themeColor="text1" w:themeTint="F2"/>
          <w:szCs w:val="20"/>
        </w:rPr>
        <w:t xml:space="preserve"> de pacientes con cáncer de mama en estadios iniciales y avanzados sobre sus preferencias en relación a acceder rápidamente a los tratamientos o esperar a contar con mejor evidencia sobre su eficacia y seguridad.</w:t>
      </w:r>
      <w:r w:rsidRPr="0042686B">
        <w:rPr>
          <w:rFonts w:eastAsia="Times New Roman" w:cs="Times New Roman"/>
          <w:color w:val="0D0D0D" w:themeColor="text1" w:themeTint="F2"/>
          <w:szCs w:val="20"/>
        </w:rPr>
        <w:t xml:space="preserve"> </w:t>
      </w:r>
      <w:r>
        <w:rPr>
          <w:rFonts w:eastAsia="Times New Roman" w:cs="Times New Roman"/>
          <w:color w:val="0D0D0D" w:themeColor="text1" w:themeTint="F2"/>
          <w:szCs w:val="20"/>
        </w:rPr>
        <w:t xml:space="preserve">Los pacientes con </w:t>
      </w:r>
      <w:proofErr w:type="spellStart"/>
      <w:r>
        <w:rPr>
          <w:rFonts w:eastAsia="Times New Roman" w:cs="Times New Roman"/>
          <w:color w:val="0D0D0D" w:themeColor="text1" w:themeTint="F2"/>
          <w:szCs w:val="20"/>
        </w:rPr>
        <w:t>cancer</w:t>
      </w:r>
      <w:proofErr w:type="spellEnd"/>
      <w:r>
        <w:rPr>
          <w:rFonts w:eastAsia="Times New Roman" w:cs="Times New Roman"/>
          <w:color w:val="0D0D0D" w:themeColor="text1" w:themeTint="F2"/>
          <w:szCs w:val="20"/>
        </w:rPr>
        <w:t xml:space="preserve"> inicial esperaban curarse, aquellos con </w:t>
      </w:r>
      <w:proofErr w:type="spellStart"/>
      <w:r>
        <w:rPr>
          <w:rFonts w:eastAsia="Times New Roman" w:cs="Times New Roman"/>
          <w:color w:val="0D0D0D" w:themeColor="text1" w:themeTint="F2"/>
          <w:szCs w:val="20"/>
        </w:rPr>
        <w:t>cancer</w:t>
      </w:r>
      <w:proofErr w:type="spellEnd"/>
      <w:r>
        <w:rPr>
          <w:rFonts w:eastAsia="Times New Roman" w:cs="Times New Roman"/>
          <w:color w:val="0D0D0D" w:themeColor="text1" w:themeTint="F2"/>
          <w:szCs w:val="20"/>
        </w:rPr>
        <w:t xml:space="preserve"> avanzado aspiraban a</w:t>
      </w:r>
      <w:r w:rsidRPr="0042686B">
        <w:rPr>
          <w:rFonts w:eastAsia="Times New Roman" w:cs="Times New Roman"/>
          <w:color w:val="0D0D0D" w:themeColor="text1" w:themeTint="F2"/>
          <w:szCs w:val="20"/>
        </w:rPr>
        <w:t xml:space="preserve"> prolonga</w:t>
      </w:r>
      <w:r>
        <w:rPr>
          <w:rFonts w:eastAsia="Times New Roman" w:cs="Times New Roman"/>
          <w:color w:val="0D0D0D" w:themeColor="text1" w:themeTint="F2"/>
          <w:szCs w:val="20"/>
        </w:rPr>
        <w:t xml:space="preserve">r </w:t>
      </w:r>
      <w:r w:rsidRPr="0042686B">
        <w:rPr>
          <w:rFonts w:eastAsia="Times New Roman" w:cs="Times New Roman"/>
          <w:color w:val="0D0D0D" w:themeColor="text1" w:themeTint="F2"/>
          <w:szCs w:val="20"/>
        </w:rPr>
        <w:t xml:space="preserve">la supervivencia y </w:t>
      </w:r>
      <w:r>
        <w:rPr>
          <w:rFonts w:eastAsia="Times New Roman" w:cs="Times New Roman"/>
          <w:color w:val="0D0D0D" w:themeColor="text1" w:themeTint="F2"/>
          <w:szCs w:val="20"/>
        </w:rPr>
        <w:t>a mejorar.</w:t>
      </w:r>
      <w:r w:rsidRPr="0042686B">
        <w:rPr>
          <w:rFonts w:eastAsia="Times New Roman" w:cs="Times New Roman"/>
          <w:color w:val="0D0D0D" w:themeColor="text1" w:themeTint="F2"/>
          <w:szCs w:val="20"/>
        </w:rPr>
        <w:t xml:space="preserve"> calidad de vida</w:t>
      </w:r>
    </w:p>
    <w:p w14:paraId="5AFF56AC" w14:textId="77777777" w:rsidR="00261692" w:rsidRDefault="00261692" w:rsidP="00261692">
      <w:pPr>
        <w:rPr>
          <w:rFonts w:eastAsia="Times New Roman" w:cs="Times New Roman"/>
          <w:color w:val="0D0D0D" w:themeColor="text1" w:themeTint="F2"/>
          <w:szCs w:val="20"/>
        </w:rPr>
      </w:pPr>
    </w:p>
    <w:p w14:paraId="10ACF9D3" w14:textId="77777777" w:rsidR="00261692" w:rsidRDefault="00261692" w:rsidP="00261692">
      <w:pPr>
        <w:rPr>
          <w:rFonts w:eastAsia="Times New Roman" w:cs="Times New Roman"/>
          <w:color w:val="0D0D0D" w:themeColor="text1" w:themeTint="F2"/>
          <w:szCs w:val="20"/>
        </w:rPr>
      </w:pPr>
      <w:r w:rsidRPr="0042686B">
        <w:rPr>
          <w:rFonts w:eastAsia="Times New Roman" w:cs="Times New Roman"/>
          <w:color w:val="0D0D0D" w:themeColor="text1" w:themeTint="F2"/>
          <w:szCs w:val="20"/>
        </w:rPr>
        <w:t xml:space="preserve">Un aspecto clave señalado por los pacientes fue que el equilibrio entre la rapidez de aprobación y la incertidumbre clínica resultaba aceptable cuando no existían terapias alternativas o cuando los beneficios previstos eran transformadores. Los pacientes también subrayaron la importancia de preservar la calidad de vida a lo largo de todo el proceso de la enfermedad y </w:t>
      </w:r>
      <w:r w:rsidRPr="0042686B">
        <w:rPr>
          <w:rFonts w:eastAsia="Times New Roman" w:cs="Times New Roman"/>
          <w:color w:val="0D0D0D" w:themeColor="text1" w:themeTint="F2"/>
          <w:szCs w:val="20"/>
        </w:rPr>
        <w:t xml:space="preserve">el tratamiento. </w:t>
      </w:r>
      <w:r>
        <w:rPr>
          <w:rFonts w:eastAsia="Times New Roman" w:cs="Times New Roman"/>
          <w:color w:val="0D0D0D" w:themeColor="text1" w:themeTint="F2"/>
          <w:szCs w:val="20"/>
        </w:rPr>
        <w:t xml:space="preserve">Se desconoce hasta </w:t>
      </w:r>
      <w:proofErr w:type="spellStart"/>
      <w:r>
        <w:rPr>
          <w:rFonts w:eastAsia="Times New Roman" w:cs="Times New Roman"/>
          <w:color w:val="0D0D0D" w:themeColor="text1" w:themeTint="F2"/>
          <w:szCs w:val="20"/>
        </w:rPr>
        <w:t>que</w:t>
      </w:r>
      <w:proofErr w:type="spellEnd"/>
      <w:r>
        <w:rPr>
          <w:rFonts w:eastAsia="Times New Roman" w:cs="Times New Roman"/>
          <w:color w:val="0D0D0D" w:themeColor="text1" w:themeTint="F2"/>
          <w:szCs w:val="20"/>
        </w:rPr>
        <w:t xml:space="preserve"> punto estas opiniones son extrapolables a pacientes con otros tipos de cáncer con peor pronóstico u opciones de tratamiento más limitadas.</w:t>
      </w:r>
    </w:p>
    <w:p w14:paraId="56F8D85C" w14:textId="77777777" w:rsidR="00261692" w:rsidRDefault="00261692" w:rsidP="00261692">
      <w:pPr>
        <w:rPr>
          <w:rFonts w:eastAsia="Times New Roman" w:cs="Times New Roman"/>
          <w:color w:val="0D0D0D" w:themeColor="text1" w:themeTint="F2"/>
          <w:szCs w:val="20"/>
        </w:rPr>
      </w:pPr>
    </w:p>
    <w:p w14:paraId="239130EB" w14:textId="77777777" w:rsidR="00261692" w:rsidRPr="0042686B" w:rsidRDefault="00261692" w:rsidP="00261692">
      <w:pPr>
        <w:rPr>
          <w:rFonts w:eastAsia="Times New Roman" w:cs="Times New Roman"/>
          <w:color w:val="0D0D0D" w:themeColor="text1" w:themeTint="F2"/>
          <w:szCs w:val="20"/>
        </w:rPr>
      </w:pPr>
      <w:r>
        <w:rPr>
          <w:rFonts w:eastAsia="Times New Roman" w:cs="Times New Roman"/>
          <w:color w:val="0D0D0D" w:themeColor="text1" w:themeTint="F2"/>
          <w:szCs w:val="20"/>
        </w:rPr>
        <w:t>D</w:t>
      </w:r>
      <w:r w:rsidRPr="0042686B">
        <w:rPr>
          <w:rFonts w:eastAsia="Times New Roman" w:cs="Times New Roman"/>
          <w:color w:val="0D0D0D" w:themeColor="text1" w:themeTint="F2"/>
          <w:szCs w:val="20"/>
        </w:rPr>
        <w:t>e los 24 fármacos aprobados para el cáncer de mama en los últimos 20 años, el 41% logró únicamente ganancias modestas en la supervivencia global, y el 14% mostró mejoras en la calidad de vida</w:t>
      </w:r>
      <w:r>
        <w:rPr>
          <w:rFonts w:eastAsia="Times New Roman" w:cs="Times New Roman"/>
          <w:color w:val="0D0D0D" w:themeColor="text1" w:themeTint="F2"/>
          <w:szCs w:val="20"/>
        </w:rPr>
        <w:t xml:space="preserve"> [</w:t>
      </w:r>
      <w:r w:rsidRPr="0042686B">
        <w:rPr>
          <w:rFonts w:eastAsia="Times New Roman" w:cs="Times New Roman"/>
          <w:color w:val="0D0D0D" w:themeColor="text1" w:themeTint="F2"/>
          <w:szCs w:val="20"/>
        </w:rPr>
        <w:t>4</w:t>
      </w:r>
      <w:r>
        <w:rPr>
          <w:rFonts w:eastAsia="Times New Roman" w:cs="Times New Roman"/>
          <w:color w:val="0D0D0D" w:themeColor="text1" w:themeTint="F2"/>
          <w:szCs w:val="20"/>
        </w:rPr>
        <w:t xml:space="preserve">]. </w:t>
      </w:r>
      <w:r w:rsidRPr="0042686B">
        <w:rPr>
          <w:rFonts w:eastAsia="Times New Roman" w:cs="Times New Roman"/>
          <w:color w:val="0D0D0D" w:themeColor="text1" w:themeTint="F2"/>
          <w:szCs w:val="20"/>
        </w:rPr>
        <w:t>Solo el 60% de los fármacos que recibieron aprobación acelerada entre 2013 y 2022 incluyeron alguna medida de resultados comunicados por el paciente [5].</w:t>
      </w:r>
    </w:p>
    <w:p w14:paraId="140E65A4" w14:textId="77777777" w:rsidR="00261692" w:rsidRPr="0042686B" w:rsidRDefault="00261692" w:rsidP="00261692">
      <w:pPr>
        <w:rPr>
          <w:rFonts w:eastAsia="Times New Roman" w:cs="Times New Roman"/>
          <w:color w:val="0D0D0D" w:themeColor="text1" w:themeTint="F2"/>
          <w:szCs w:val="20"/>
        </w:rPr>
      </w:pPr>
    </w:p>
    <w:p w14:paraId="075DF5E2" w14:textId="65C86223" w:rsidR="00261692" w:rsidRDefault="00261692" w:rsidP="00261692">
      <w:pPr>
        <w:rPr>
          <w:rFonts w:eastAsia="Times New Roman" w:cs="Times New Roman"/>
          <w:color w:val="0D0D0D" w:themeColor="text1" w:themeTint="F2"/>
          <w:szCs w:val="20"/>
        </w:rPr>
      </w:pPr>
      <w:r w:rsidRPr="0042686B">
        <w:rPr>
          <w:rFonts w:eastAsia="Times New Roman" w:cs="Times New Roman"/>
          <w:color w:val="0D0D0D" w:themeColor="text1" w:themeTint="F2"/>
          <w:szCs w:val="20"/>
        </w:rPr>
        <w:t xml:space="preserve">Las prioridades recientes de la FDA han hecho hincapié en agilizar la revisión y aprobación de fármacos y en </w:t>
      </w:r>
      <w:r>
        <w:rPr>
          <w:rFonts w:eastAsia="Times New Roman" w:cs="Times New Roman"/>
          <w:color w:val="0D0D0D" w:themeColor="text1" w:themeTint="F2"/>
          <w:szCs w:val="20"/>
        </w:rPr>
        <w:t>flexibiliz</w:t>
      </w:r>
      <w:r w:rsidRPr="0042686B">
        <w:rPr>
          <w:rFonts w:eastAsia="Times New Roman" w:cs="Times New Roman"/>
          <w:color w:val="0D0D0D" w:themeColor="text1" w:themeTint="F2"/>
          <w:szCs w:val="20"/>
        </w:rPr>
        <w:t>ar los estándares establecidos para los ensayos clínicos</w:t>
      </w:r>
      <w:r>
        <w:rPr>
          <w:rFonts w:eastAsia="Times New Roman" w:cs="Times New Roman"/>
          <w:color w:val="0D0D0D" w:themeColor="text1" w:themeTint="F2"/>
          <w:szCs w:val="20"/>
        </w:rPr>
        <w:t xml:space="preserve"> [</w:t>
      </w:r>
      <w:r w:rsidRPr="0042686B">
        <w:rPr>
          <w:rFonts w:eastAsia="Times New Roman" w:cs="Times New Roman"/>
          <w:color w:val="0D0D0D" w:themeColor="text1" w:themeTint="F2"/>
          <w:szCs w:val="20"/>
        </w:rPr>
        <w:t>6,</w:t>
      </w:r>
      <w:r>
        <w:rPr>
          <w:rFonts w:eastAsia="Times New Roman" w:cs="Times New Roman"/>
          <w:color w:val="0D0D0D" w:themeColor="text1" w:themeTint="F2"/>
          <w:szCs w:val="20"/>
        </w:rPr>
        <w:t xml:space="preserve"> </w:t>
      </w:r>
      <w:r w:rsidRPr="0042686B">
        <w:rPr>
          <w:rFonts w:eastAsia="Times New Roman" w:cs="Times New Roman"/>
          <w:color w:val="0D0D0D" w:themeColor="text1" w:themeTint="F2"/>
          <w:szCs w:val="20"/>
        </w:rPr>
        <w:t>7</w:t>
      </w:r>
      <w:r>
        <w:rPr>
          <w:rFonts w:eastAsia="Times New Roman" w:cs="Times New Roman"/>
          <w:color w:val="0D0D0D" w:themeColor="text1" w:themeTint="F2"/>
          <w:szCs w:val="20"/>
        </w:rPr>
        <w:t>];</w:t>
      </w:r>
      <w:r w:rsidRPr="0042686B">
        <w:rPr>
          <w:rFonts w:eastAsia="Times New Roman" w:cs="Times New Roman"/>
          <w:color w:val="0D0D0D" w:themeColor="text1" w:themeTint="F2"/>
          <w:szCs w:val="20"/>
        </w:rPr>
        <w:t xml:space="preserve"> factores que podrían reducir aún más la certeza sobre el beneficio de una terapia oncológica en el momento de su </w:t>
      </w:r>
      <w:r>
        <w:rPr>
          <w:rFonts w:eastAsia="Times New Roman" w:cs="Times New Roman"/>
          <w:color w:val="0D0D0D" w:themeColor="text1" w:themeTint="F2"/>
          <w:szCs w:val="20"/>
        </w:rPr>
        <w:t>comercialización</w:t>
      </w:r>
      <w:r w:rsidRPr="0042686B">
        <w:rPr>
          <w:rFonts w:eastAsia="Times New Roman" w:cs="Times New Roman"/>
          <w:color w:val="0D0D0D" w:themeColor="text1" w:themeTint="F2"/>
          <w:szCs w:val="20"/>
        </w:rPr>
        <w:t xml:space="preserve">. </w:t>
      </w:r>
    </w:p>
    <w:p w14:paraId="3AAEA682" w14:textId="77777777" w:rsidR="00261692" w:rsidRDefault="00261692" w:rsidP="00261692">
      <w:pPr>
        <w:rPr>
          <w:rFonts w:eastAsia="Times New Roman" w:cs="Times New Roman"/>
          <w:color w:val="0D0D0D" w:themeColor="text1" w:themeTint="F2"/>
          <w:szCs w:val="20"/>
        </w:rPr>
      </w:pPr>
    </w:p>
    <w:p w14:paraId="1CF8AC09" w14:textId="77777777" w:rsidR="00EA71DA" w:rsidRDefault="00261692" w:rsidP="00261692">
      <w:pPr>
        <w:rPr>
          <w:rFonts w:eastAsia="Times New Roman" w:cs="Times New Roman"/>
          <w:color w:val="0D0D0D" w:themeColor="text1" w:themeTint="F2"/>
          <w:szCs w:val="20"/>
        </w:rPr>
      </w:pPr>
      <w:r>
        <w:rPr>
          <w:rFonts w:eastAsia="Times New Roman" w:cs="Times New Roman"/>
          <w:color w:val="0D0D0D" w:themeColor="text1" w:themeTint="F2"/>
          <w:szCs w:val="20"/>
        </w:rPr>
        <w:t>Los autores proponen que, d</w:t>
      </w:r>
      <w:r w:rsidRPr="0042686B">
        <w:rPr>
          <w:rFonts w:eastAsia="Times New Roman" w:cs="Times New Roman"/>
          <w:color w:val="0D0D0D" w:themeColor="text1" w:themeTint="F2"/>
          <w:szCs w:val="20"/>
        </w:rPr>
        <w:t xml:space="preserve">ada la limitada certeza sobre el beneficio </w:t>
      </w:r>
      <w:r>
        <w:rPr>
          <w:rFonts w:eastAsia="Times New Roman" w:cs="Times New Roman"/>
          <w:color w:val="0D0D0D" w:themeColor="text1" w:themeTint="F2"/>
          <w:szCs w:val="20"/>
        </w:rPr>
        <w:t xml:space="preserve">de los tratamientos </w:t>
      </w:r>
      <w:proofErr w:type="spellStart"/>
      <w:r>
        <w:rPr>
          <w:rFonts w:eastAsia="Times New Roman" w:cs="Times New Roman"/>
          <w:color w:val="0D0D0D" w:themeColor="text1" w:themeTint="F2"/>
          <w:szCs w:val="20"/>
        </w:rPr>
        <w:t>oncologicos</w:t>
      </w:r>
      <w:proofErr w:type="spellEnd"/>
      <w:r>
        <w:rPr>
          <w:rFonts w:eastAsia="Times New Roman" w:cs="Times New Roman"/>
          <w:color w:val="0D0D0D" w:themeColor="text1" w:themeTint="F2"/>
          <w:szCs w:val="20"/>
        </w:rPr>
        <w:t xml:space="preserve"> </w:t>
      </w:r>
      <w:r w:rsidRPr="0042686B">
        <w:rPr>
          <w:rFonts w:eastAsia="Times New Roman" w:cs="Times New Roman"/>
          <w:color w:val="0D0D0D" w:themeColor="text1" w:themeTint="F2"/>
          <w:szCs w:val="20"/>
        </w:rPr>
        <w:t xml:space="preserve">en la supervivencia </w:t>
      </w:r>
      <w:r>
        <w:rPr>
          <w:rFonts w:eastAsia="Times New Roman" w:cs="Times New Roman"/>
          <w:color w:val="0D0D0D" w:themeColor="text1" w:themeTint="F2"/>
          <w:szCs w:val="20"/>
        </w:rPr>
        <w:t xml:space="preserve">global al recibir la </w:t>
      </w:r>
      <w:r w:rsidRPr="0042686B">
        <w:rPr>
          <w:rFonts w:eastAsia="Times New Roman" w:cs="Times New Roman"/>
          <w:color w:val="0D0D0D" w:themeColor="text1" w:themeTint="F2"/>
          <w:szCs w:val="20"/>
        </w:rPr>
        <w:t xml:space="preserve">aprobación acelerada, </w:t>
      </w:r>
      <w:r>
        <w:rPr>
          <w:rFonts w:eastAsia="Times New Roman" w:cs="Times New Roman"/>
          <w:color w:val="0D0D0D" w:themeColor="text1" w:themeTint="F2"/>
          <w:szCs w:val="20"/>
        </w:rPr>
        <w:t xml:space="preserve">se </w:t>
      </w:r>
      <w:r w:rsidRPr="0042686B">
        <w:rPr>
          <w:rFonts w:eastAsia="Times New Roman" w:cs="Times New Roman"/>
          <w:color w:val="0D0D0D" w:themeColor="text1" w:themeTint="F2"/>
          <w:szCs w:val="20"/>
        </w:rPr>
        <w:t xml:space="preserve">debería </w:t>
      </w:r>
      <w:r>
        <w:rPr>
          <w:rFonts w:eastAsia="Times New Roman" w:cs="Times New Roman"/>
          <w:color w:val="0D0D0D" w:themeColor="text1" w:themeTint="F2"/>
          <w:szCs w:val="20"/>
        </w:rPr>
        <w:t xml:space="preserve">exigir que </w:t>
      </w:r>
      <w:r w:rsidRPr="0042686B">
        <w:rPr>
          <w:rFonts w:eastAsia="Times New Roman" w:cs="Times New Roman"/>
          <w:color w:val="0D0D0D" w:themeColor="text1" w:themeTint="F2"/>
          <w:szCs w:val="20"/>
        </w:rPr>
        <w:t>l</w:t>
      </w:r>
      <w:r>
        <w:rPr>
          <w:rFonts w:eastAsia="Times New Roman" w:cs="Times New Roman"/>
          <w:color w:val="0D0D0D" w:themeColor="text1" w:themeTint="F2"/>
          <w:szCs w:val="20"/>
        </w:rPr>
        <w:t>as industrias farmacéuticas</w:t>
      </w:r>
      <w:r w:rsidRPr="0042686B">
        <w:rPr>
          <w:rFonts w:eastAsia="Times New Roman" w:cs="Times New Roman"/>
          <w:color w:val="0D0D0D" w:themeColor="text1" w:themeTint="F2"/>
          <w:szCs w:val="20"/>
        </w:rPr>
        <w:t xml:space="preserve"> que opten por esta u otras vías de aprobación rápida</w:t>
      </w:r>
      <w:r>
        <w:rPr>
          <w:rFonts w:eastAsia="Times New Roman" w:cs="Times New Roman"/>
          <w:color w:val="0D0D0D" w:themeColor="text1" w:themeTint="F2"/>
          <w:szCs w:val="20"/>
        </w:rPr>
        <w:t xml:space="preserve"> la </w:t>
      </w:r>
      <w:r w:rsidRPr="0042686B">
        <w:rPr>
          <w:rFonts w:eastAsia="Times New Roman" w:cs="Times New Roman"/>
          <w:color w:val="0D0D0D" w:themeColor="text1" w:themeTint="F2"/>
          <w:szCs w:val="20"/>
        </w:rPr>
        <w:t>calidad de vida percibida por el paciente</w:t>
      </w:r>
      <w:r>
        <w:rPr>
          <w:rFonts w:eastAsia="Times New Roman" w:cs="Times New Roman"/>
          <w:color w:val="0D0D0D" w:themeColor="text1" w:themeTint="F2"/>
          <w:szCs w:val="20"/>
        </w:rPr>
        <w:t>.</w:t>
      </w:r>
      <w:r w:rsidRPr="0042686B">
        <w:rPr>
          <w:rFonts w:eastAsia="Times New Roman" w:cs="Times New Roman"/>
          <w:color w:val="0D0D0D" w:themeColor="text1" w:themeTint="F2"/>
          <w:szCs w:val="20"/>
        </w:rPr>
        <w:t xml:space="preserve"> </w:t>
      </w:r>
    </w:p>
    <w:p w14:paraId="308BAA72" w14:textId="77777777" w:rsidR="00EA71DA" w:rsidRDefault="00EA71DA" w:rsidP="00261692">
      <w:pPr>
        <w:rPr>
          <w:rFonts w:eastAsia="Times New Roman" w:cs="Times New Roman"/>
          <w:color w:val="0D0D0D" w:themeColor="text1" w:themeTint="F2"/>
          <w:szCs w:val="20"/>
        </w:rPr>
      </w:pPr>
    </w:p>
    <w:p w14:paraId="5936A709" w14:textId="0AEC9137" w:rsidR="00261692" w:rsidRDefault="00261692" w:rsidP="00261692">
      <w:pPr>
        <w:rPr>
          <w:rFonts w:eastAsia="Times New Roman" w:cs="Times New Roman"/>
          <w:color w:val="0D0D0D" w:themeColor="text1" w:themeTint="F2"/>
          <w:szCs w:val="20"/>
        </w:rPr>
      </w:pPr>
      <w:r>
        <w:rPr>
          <w:rFonts w:eastAsia="Times New Roman" w:cs="Times New Roman"/>
          <w:color w:val="0D0D0D" w:themeColor="text1" w:themeTint="F2"/>
          <w:szCs w:val="20"/>
        </w:rPr>
        <w:t xml:space="preserve">Además, los </w:t>
      </w:r>
      <w:proofErr w:type="spellStart"/>
      <w:r>
        <w:rPr>
          <w:rFonts w:eastAsia="Times New Roman" w:cs="Times New Roman"/>
          <w:color w:val="0D0D0D" w:themeColor="text1" w:themeTint="F2"/>
          <w:szCs w:val="20"/>
        </w:rPr>
        <w:t>medicos</w:t>
      </w:r>
      <w:proofErr w:type="spellEnd"/>
      <w:r>
        <w:rPr>
          <w:rFonts w:eastAsia="Times New Roman" w:cs="Times New Roman"/>
          <w:color w:val="0D0D0D" w:themeColor="text1" w:themeTint="F2"/>
          <w:szCs w:val="20"/>
        </w:rPr>
        <w:t xml:space="preserve"> tratantes, para que los pacientes tomen una decisión bien informada sobre su tratamiento, deberían compartir la siguiente </w:t>
      </w:r>
      <w:proofErr w:type="spellStart"/>
      <w:r>
        <w:rPr>
          <w:rFonts w:eastAsia="Times New Roman" w:cs="Times New Roman"/>
          <w:color w:val="0D0D0D" w:themeColor="text1" w:themeTint="F2"/>
          <w:szCs w:val="20"/>
        </w:rPr>
        <w:t>informacion</w:t>
      </w:r>
      <w:proofErr w:type="spellEnd"/>
      <w:r>
        <w:rPr>
          <w:rFonts w:eastAsia="Times New Roman" w:cs="Times New Roman"/>
          <w:color w:val="0D0D0D" w:themeColor="text1" w:themeTint="F2"/>
          <w:szCs w:val="20"/>
        </w:rPr>
        <w:t xml:space="preserve">: si el tratamiento ha sido aprobado por la </w:t>
      </w:r>
      <w:proofErr w:type="spellStart"/>
      <w:r>
        <w:rPr>
          <w:rFonts w:eastAsia="Times New Roman" w:cs="Times New Roman"/>
          <w:color w:val="0D0D0D" w:themeColor="text1" w:themeTint="F2"/>
          <w:szCs w:val="20"/>
        </w:rPr>
        <w:t>via</w:t>
      </w:r>
      <w:proofErr w:type="spellEnd"/>
      <w:r>
        <w:rPr>
          <w:rFonts w:eastAsia="Times New Roman" w:cs="Times New Roman"/>
          <w:color w:val="0D0D0D" w:themeColor="text1" w:themeTint="F2"/>
          <w:szCs w:val="20"/>
        </w:rPr>
        <w:t xml:space="preserve"> acelerada y la solidez de la evidencia que respalda dicha aprobación, e información clara sobre sus posibles efectos adversos, el tiempo que tendrán que dedicar al tratamiento y</w:t>
      </w:r>
      <w:r w:rsidRPr="0042686B">
        <w:rPr>
          <w:rFonts w:eastAsia="Times New Roman" w:cs="Times New Roman"/>
          <w:color w:val="0D0D0D" w:themeColor="text1" w:themeTint="F2"/>
          <w:szCs w:val="20"/>
        </w:rPr>
        <w:t xml:space="preserve"> los costes de la terapia</w:t>
      </w:r>
      <w:r>
        <w:rPr>
          <w:rFonts w:eastAsia="Times New Roman" w:cs="Times New Roman"/>
          <w:color w:val="0D0D0D" w:themeColor="text1" w:themeTint="F2"/>
          <w:szCs w:val="20"/>
        </w:rPr>
        <w:t xml:space="preserve"> [1]</w:t>
      </w:r>
      <w:r w:rsidRPr="0042686B">
        <w:rPr>
          <w:rFonts w:eastAsia="Times New Roman" w:cs="Times New Roman"/>
          <w:color w:val="0D0D0D" w:themeColor="text1" w:themeTint="F2"/>
          <w:szCs w:val="20"/>
        </w:rPr>
        <w:t>.</w:t>
      </w:r>
    </w:p>
    <w:p w14:paraId="20B2EDFF" w14:textId="77777777" w:rsidR="00261692" w:rsidRDefault="00261692" w:rsidP="00261692">
      <w:pPr>
        <w:rPr>
          <w:rFonts w:eastAsia="Times New Roman" w:cs="Times New Roman"/>
          <w:color w:val="0D0D0D" w:themeColor="text1" w:themeTint="F2"/>
          <w:szCs w:val="20"/>
        </w:rPr>
      </w:pPr>
    </w:p>
    <w:p w14:paraId="0B610E6E" w14:textId="77777777" w:rsidR="00261692" w:rsidRPr="00A7491E" w:rsidRDefault="00261692" w:rsidP="00261692">
      <w:pPr>
        <w:rPr>
          <w:rFonts w:eastAsia="Times New Roman" w:cs="Times New Roman"/>
          <w:b/>
          <w:bCs/>
          <w:color w:val="0D0D0D" w:themeColor="text1" w:themeTint="F2"/>
          <w:sz w:val="18"/>
          <w:szCs w:val="18"/>
        </w:rPr>
      </w:pPr>
      <w:r w:rsidRPr="00A7491E">
        <w:rPr>
          <w:rFonts w:eastAsia="Times New Roman" w:cs="Times New Roman"/>
          <w:b/>
          <w:bCs/>
          <w:color w:val="0D0D0D" w:themeColor="text1" w:themeTint="F2"/>
          <w:sz w:val="18"/>
          <w:szCs w:val="18"/>
        </w:rPr>
        <w:t>Fuente Original:</w:t>
      </w:r>
    </w:p>
    <w:p w14:paraId="25734DAE" w14:textId="77777777" w:rsidR="00261692" w:rsidRPr="00F25512" w:rsidRDefault="00261692" w:rsidP="00F25512">
      <w:pPr>
        <w:ind w:left="180" w:hanging="180"/>
        <w:rPr>
          <w:rFonts w:eastAsia="Times New Roman" w:cs="Times New Roman"/>
          <w:color w:val="0D0D0D" w:themeColor="text1" w:themeTint="F2"/>
          <w:sz w:val="18"/>
          <w:szCs w:val="18"/>
          <w:lang w:val="en-US"/>
        </w:rPr>
      </w:pPr>
      <w:r w:rsidRPr="00A7491E">
        <w:rPr>
          <w:rFonts w:eastAsia="Times New Roman" w:cs="Times New Roman"/>
          <w:color w:val="0D0D0D" w:themeColor="text1" w:themeTint="F2"/>
          <w:sz w:val="18"/>
          <w:szCs w:val="18"/>
        </w:rPr>
        <w:t xml:space="preserve">1. </w:t>
      </w:r>
      <w:proofErr w:type="spellStart"/>
      <w:r w:rsidRPr="00A7491E">
        <w:rPr>
          <w:rFonts w:eastAsia="Times New Roman" w:cs="Times New Roman"/>
          <w:color w:val="0D0D0D" w:themeColor="text1" w:themeTint="F2"/>
          <w:sz w:val="18"/>
          <w:szCs w:val="18"/>
        </w:rPr>
        <w:t>Dusetzina</w:t>
      </w:r>
      <w:proofErr w:type="spellEnd"/>
      <w:r w:rsidRPr="00A7491E">
        <w:rPr>
          <w:rFonts w:eastAsia="Times New Roman" w:cs="Times New Roman"/>
          <w:color w:val="0D0D0D" w:themeColor="text1" w:themeTint="F2"/>
          <w:sz w:val="18"/>
          <w:szCs w:val="18"/>
        </w:rPr>
        <w:t xml:space="preserve"> SB y </w:t>
      </w:r>
      <w:proofErr w:type="spellStart"/>
      <w:r w:rsidRPr="00A7491E">
        <w:rPr>
          <w:rFonts w:eastAsia="Times New Roman" w:cs="Times New Roman"/>
          <w:color w:val="0D0D0D" w:themeColor="text1" w:themeTint="F2"/>
          <w:sz w:val="18"/>
          <w:szCs w:val="18"/>
        </w:rPr>
        <w:t>Jazowski</w:t>
      </w:r>
      <w:proofErr w:type="spellEnd"/>
      <w:r w:rsidRPr="00A7491E">
        <w:rPr>
          <w:rFonts w:eastAsia="Times New Roman" w:cs="Times New Roman"/>
          <w:color w:val="0D0D0D" w:themeColor="text1" w:themeTint="F2"/>
          <w:sz w:val="18"/>
          <w:szCs w:val="18"/>
        </w:rPr>
        <w:t xml:space="preserve"> SA. </w:t>
      </w:r>
      <w:r w:rsidRPr="008D6A1C">
        <w:rPr>
          <w:rFonts w:eastAsia="Times New Roman" w:cs="Times New Roman"/>
          <w:color w:val="0D0D0D" w:themeColor="text1" w:themeTint="F2"/>
          <w:sz w:val="18"/>
          <w:szCs w:val="18"/>
          <w:lang w:val="en-US"/>
        </w:rPr>
        <w:t xml:space="preserve">Resetting the Evidence Bar for New Anticancer Drug Approvals Stacie B. </w:t>
      </w:r>
      <w:r w:rsidRPr="008D6A1C">
        <w:rPr>
          <w:rFonts w:eastAsia="Times New Roman" w:cs="Times New Roman"/>
          <w:i/>
          <w:iCs/>
          <w:color w:val="0D0D0D" w:themeColor="text1" w:themeTint="F2"/>
          <w:sz w:val="18"/>
          <w:szCs w:val="18"/>
          <w:lang w:val="en-US"/>
        </w:rPr>
        <w:t>JAMA Network Open</w:t>
      </w:r>
      <w:r w:rsidRPr="008D6A1C">
        <w:rPr>
          <w:rFonts w:eastAsia="Times New Roman" w:cs="Times New Roman"/>
          <w:color w:val="0D0D0D" w:themeColor="text1" w:themeTint="F2"/>
          <w:sz w:val="18"/>
          <w:szCs w:val="18"/>
          <w:lang w:val="en-US"/>
        </w:rPr>
        <w:t>. 2026;9(6):e2617456. doi:10.1001/jamanetworkopen.2026.17456</w:t>
      </w:r>
      <w:r>
        <w:rPr>
          <w:rFonts w:eastAsia="Times New Roman" w:cs="Times New Roman"/>
          <w:color w:val="0D0D0D" w:themeColor="text1" w:themeTint="F2"/>
          <w:sz w:val="18"/>
          <w:szCs w:val="18"/>
          <w:lang w:val="en-US"/>
        </w:rPr>
        <w:t xml:space="preserve">. </w:t>
      </w:r>
      <w:hyperlink r:id="rId117" w:history="1">
        <w:r w:rsidRPr="00F25512">
          <w:rPr>
            <w:rStyle w:val="Hipervnculo"/>
            <w:rFonts w:eastAsia="Times New Roman" w:cs="Times New Roman"/>
            <w:sz w:val="18"/>
            <w:szCs w:val="18"/>
            <w:lang w:val="en-US"/>
          </w:rPr>
          <w:t>https://jamanetwork.com/journals/jamanetworkopen/fullarticle/2850073</w:t>
        </w:r>
      </w:hyperlink>
    </w:p>
    <w:p w14:paraId="5377DD22" w14:textId="77777777" w:rsidR="00261692" w:rsidRPr="00F25512" w:rsidRDefault="00261692" w:rsidP="00261692">
      <w:pPr>
        <w:rPr>
          <w:rFonts w:eastAsia="Times New Roman" w:cs="Times New Roman"/>
          <w:color w:val="EE0000"/>
          <w:szCs w:val="20"/>
          <w:lang w:val="en-US"/>
        </w:rPr>
      </w:pPr>
    </w:p>
    <w:p w14:paraId="386B41C9" w14:textId="77777777" w:rsidR="00261692" w:rsidRPr="00F25512" w:rsidRDefault="00261692" w:rsidP="00261692">
      <w:pPr>
        <w:rPr>
          <w:rFonts w:eastAsia="Times New Roman" w:cs="Times New Roman"/>
          <w:b/>
          <w:bCs/>
          <w:color w:val="0D0D0D" w:themeColor="text1" w:themeTint="F2"/>
          <w:sz w:val="18"/>
          <w:szCs w:val="18"/>
          <w:lang w:val="en-US"/>
        </w:rPr>
      </w:pPr>
      <w:proofErr w:type="spellStart"/>
      <w:r w:rsidRPr="00F25512">
        <w:rPr>
          <w:rFonts w:eastAsia="Times New Roman" w:cs="Times New Roman"/>
          <w:b/>
          <w:bCs/>
          <w:color w:val="0D0D0D" w:themeColor="text1" w:themeTint="F2"/>
          <w:sz w:val="18"/>
          <w:szCs w:val="18"/>
          <w:lang w:val="en-US"/>
        </w:rPr>
        <w:t>Referencias</w:t>
      </w:r>
      <w:proofErr w:type="spellEnd"/>
      <w:r w:rsidRPr="00F25512">
        <w:rPr>
          <w:rFonts w:eastAsia="Times New Roman" w:cs="Times New Roman"/>
          <w:b/>
          <w:bCs/>
          <w:color w:val="0D0D0D" w:themeColor="text1" w:themeTint="F2"/>
          <w:sz w:val="18"/>
          <w:szCs w:val="18"/>
          <w:lang w:val="en-US"/>
        </w:rPr>
        <w:t>:</w:t>
      </w:r>
    </w:p>
    <w:p w14:paraId="05C78D19" w14:textId="77777777" w:rsidR="00261692" w:rsidRDefault="00261692" w:rsidP="00261692">
      <w:pPr>
        <w:ind w:left="180" w:hanging="180"/>
        <w:rPr>
          <w:rFonts w:eastAsia="Times New Roman" w:cs="Times New Roman"/>
          <w:color w:val="EE0000"/>
          <w:sz w:val="18"/>
          <w:szCs w:val="18"/>
          <w:lang w:val="en-US"/>
        </w:rPr>
      </w:pPr>
      <w:r w:rsidRPr="00F25512">
        <w:rPr>
          <w:rFonts w:eastAsia="Times New Roman" w:cs="Times New Roman"/>
          <w:color w:val="0D0D0D" w:themeColor="text1" w:themeTint="F2"/>
          <w:sz w:val="18"/>
          <w:szCs w:val="18"/>
          <w:lang w:val="en-US"/>
        </w:rPr>
        <w:t xml:space="preserve">2.Liu ITT, </w:t>
      </w:r>
      <w:proofErr w:type="spellStart"/>
      <w:r w:rsidRPr="00F25512">
        <w:rPr>
          <w:rFonts w:eastAsia="Times New Roman" w:cs="Times New Roman"/>
          <w:color w:val="0D0D0D" w:themeColor="text1" w:themeTint="F2"/>
          <w:sz w:val="18"/>
          <w:szCs w:val="18"/>
          <w:lang w:val="en-US"/>
        </w:rPr>
        <w:t>Kesselheim</w:t>
      </w:r>
      <w:proofErr w:type="spellEnd"/>
      <w:r w:rsidRPr="00F25512">
        <w:rPr>
          <w:rFonts w:eastAsia="Times New Roman" w:cs="Times New Roman"/>
          <w:color w:val="0D0D0D" w:themeColor="text1" w:themeTint="F2"/>
          <w:sz w:val="18"/>
          <w:szCs w:val="18"/>
          <w:lang w:val="en-US"/>
        </w:rPr>
        <w:t xml:space="preserve"> AS</w:t>
      </w:r>
      <w:r w:rsidRPr="003D76BE">
        <w:rPr>
          <w:rFonts w:ascii="Tahoma" w:eastAsia="Times New Roman" w:hAnsi="Tahoma" w:cs="Tahoma"/>
          <w:color w:val="0D0D0D" w:themeColor="text1" w:themeTint="F2"/>
          <w:sz w:val="18"/>
          <w:szCs w:val="18"/>
        </w:rPr>
        <w:t>﻿</w:t>
      </w:r>
      <w:r w:rsidRPr="00F25512">
        <w:rPr>
          <w:rFonts w:eastAsia="Times New Roman" w:cs="Times New Roman"/>
          <w:color w:val="0D0D0D" w:themeColor="text1" w:themeTint="F2"/>
          <w:sz w:val="18"/>
          <w:szCs w:val="18"/>
          <w:lang w:val="en-US"/>
        </w:rPr>
        <w:t>, Cliff ERS</w:t>
      </w:r>
      <w:r w:rsidRPr="003D76BE">
        <w:rPr>
          <w:rFonts w:ascii="Tahoma" w:eastAsia="Times New Roman" w:hAnsi="Tahoma" w:cs="Tahoma"/>
          <w:color w:val="0D0D0D" w:themeColor="text1" w:themeTint="F2"/>
          <w:sz w:val="18"/>
          <w:szCs w:val="18"/>
        </w:rPr>
        <w:t>﻿</w:t>
      </w:r>
      <w:r w:rsidRPr="00F25512">
        <w:rPr>
          <w:rFonts w:eastAsia="Times New Roman" w:cs="Times New Roman"/>
          <w:color w:val="0D0D0D" w:themeColor="text1" w:themeTint="F2"/>
          <w:sz w:val="18"/>
          <w:szCs w:val="18"/>
          <w:lang w:val="en-US"/>
        </w:rPr>
        <w:t xml:space="preserve">.  </w:t>
      </w:r>
      <w:r w:rsidRPr="003D76BE">
        <w:rPr>
          <w:rFonts w:eastAsia="Times New Roman" w:cs="Times New Roman"/>
          <w:color w:val="0D0D0D" w:themeColor="text1" w:themeTint="F2"/>
          <w:sz w:val="18"/>
          <w:szCs w:val="18"/>
          <w:lang w:val="en-US"/>
        </w:rPr>
        <w:t>Clinical benefit and regulatory outcomes of cancer drugs receiving accelerated approval.</w:t>
      </w:r>
      <w:r>
        <w:rPr>
          <w:rFonts w:eastAsia="Times New Roman" w:cs="Times New Roman"/>
          <w:i/>
          <w:iCs/>
          <w:color w:val="0D0D0D" w:themeColor="text1" w:themeTint="F2"/>
          <w:sz w:val="18"/>
          <w:szCs w:val="18"/>
          <w:lang w:val="en-US"/>
        </w:rPr>
        <w:t xml:space="preserve"> </w:t>
      </w:r>
      <w:r w:rsidRPr="002334B2">
        <w:rPr>
          <w:rFonts w:eastAsia="Times New Roman" w:cs="Times New Roman"/>
          <w:i/>
          <w:iCs/>
          <w:color w:val="0D0D0D" w:themeColor="text1" w:themeTint="F2"/>
          <w:sz w:val="18"/>
          <w:szCs w:val="18"/>
          <w:lang w:val="en-US"/>
        </w:rPr>
        <w:t>JAMA</w:t>
      </w:r>
      <w:r w:rsidRPr="002334B2">
        <w:rPr>
          <w:rFonts w:eastAsia="Times New Roman" w:cs="Times New Roman"/>
          <w:color w:val="0D0D0D" w:themeColor="text1" w:themeTint="F2"/>
          <w:sz w:val="18"/>
          <w:szCs w:val="18"/>
          <w:lang w:val="en-US"/>
        </w:rPr>
        <w:t>. 2024;331(17):1471-1479. DOI:</w:t>
      </w:r>
      <w:hyperlink r:id="rId118" w:history="1">
        <w:r w:rsidRPr="002334B2">
          <w:rPr>
            <w:rStyle w:val="Hipervnculo"/>
            <w:rFonts w:eastAsia="Times New Roman" w:cs="Times New Roman"/>
            <w:sz w:val="18"/>
            <w:szCs w:val="18"/>
            <w:lang w:val="en-US"/>
          </w:rPr>
          <w:t>10.1001/jama.2024.2396</w:t>
        </w:r>
      </w:hyperlink>
    </w:p>
    <w:p w14:paraId="537C99B9" w14:textId="77777777" w:rsidR="00261692" w:rsidRDefault="00261692" w:rsidP="00261692">
      <w:pPr>
        <w:ind w:left="180" w:hanging="180"/>
        <w:rPr>
          <w:rFonts w:eastAsia="Times New Roman" w:cs="Times New Roman"/>
          <w:color w:val="EE0000"/>
          <w:sz w:val="18"/>
          <w:szCs w:val="18"/>
          <w:lang w:val="en-US"/>
        </w:rPr>
      </w:pPr>
      <w:r>
        <w:rPr>
          <w:rFonts w:eastAsia="Times New Roman" w:cs="Times New Roman"/>
          <w:color w:val="0D0D0D" w:themeColor="text1" w:themeTint="F2"/>
          <w:sz w:val="18"/>
          <w:szCs w:val="18"/>
          <w:lang w:val="en-US"/>
        </w:rPr>
        <w:t>3</w:t>
      </w:r>
      <w:r w:rsidRPr="00226159">
        <w:rPr>
          <w:rFonts w:eastAsia="Times New Roman" w:cs="Times New Roman"/>
          <w:color w:val="0D0D0D" w:themeColor="text1" w:themeTint="F2"/>
          <w:sz w:val="18"/>
          <w:szCs w:val="18"/>
          <w:lang w:val="en-US"/>
        </w:rPr>
        <w:t>.</w:t>
      </w:r>
      <w:r w:rsidRPr="00226159">
        <w:rPr>
          <w:rFonts w:cs="Times New Roman"/>
          <w:color w:val="0D0D0D" w:themeColor="text1" w:themeTint="F2"/>
          <w:lang w:val="en-US"/>
        </w:rPr>
        <w:t xml:space="preserve"> </w:t>
      </w:r>
      <w:r w:rsidRPr="00226159">
        <w:rPr>
          <w:rFonts w:eastAsia="Times New Roman" w:cs="Times New Roman"/>
          <w:color w:val="0D0D0D" w:themeColor="text1" w:themeTint="F2"/>
          <w:sz w:val="18"/>
          <w:szCs w:val="18"/>
          <w:lang w:val="en-US"/>
        </w:rPr>
        <w:t>Forrest</w:t>
      </w:r>
      <w:r>
        <w:rPr>
          <w:rFonts w:eastAsia="Times New Roman" w:cs="Times New Roman"/>
          <w:color w:val="0D0D0D" w:themeColor="text1" w:themeTint="F2"/>
          <w:sz w:val="18"/>
          <w:szCs w:val="18"/>
          <w:lang w:val="en-US"/>
        </w:rPr>
        <w:t xml:space="preserve"> </w:t>
      </w:r>
      <w:r w:rsidRPr="00226159">
        <w:rPr>
          <w:rFonts w:eastAsia="Times New Roman" w:cs="Times New Roman"/>
          <w:color w:val="0D0D0D" w:themeColor="text1" w:themeTint="F2"/>
          <w:sz w:val="18"/>
          <w:szCs w:val="18"/>
          <w:lang w:val="en-US"/>
        </w:rPr>
        <w:t>R</w:t>
      </w:r>
      <w:r w:rsidRPr="00226159">
        <w:rPr>
          <w:rFonts w:ascii="Tahoma" w:eastAsia="Times New Roman" w:hAnsi="Tahoma" w:cs="Tahoma"/>
          <w:color w:val="0D0D0D" w:themeColor="text1" w:themeTint="F2"/>
          <w:sz w:val="18"/>
          <w:szCs w:val="18"/>
        </w:rPr>
        <w:t>﻿</w:t>
      </w:r>
      <w:r w:rsidRPr="00226159">
        <w:rPr>
          <w:rFonts w:eastAsia="Times New Roman" w:cs="Times New Roman"/>
          <w:color w:val="0D0D0D" w:themeColor="text1" w:themeTint="F2"/>
          <w:sz w:val="18"/>
          <w:szCs w:val="18"/>
          <w:lang w:val="en-US"/>
        </w:rPr>
        <w:t>, Aggarwal</w:t>
      </w:r>
      <w:r>
        <w:rPr>
          <w:rFonts w:eastAsia="Times New Roman" w:cs="Times New Roman"/>
          <w:color w:val="0D0D0D" w:themeColor="text1" w:themeTint="F2"/>
          <w:sz w:val="18"/>
          <w:szCs w:val="18"/>
          <w:lang w:val="en-US"/>
        </w:rPr>
        <w:t xml:space="preserve"> </w:t>
      </w:r>
      <w:r w:rsidRPr="00226159">
        <w:rPr>
          <w:rFonts w:eastAsia="Times New Roman" w:cs="Times New Roman"/>
          <w:color w:val="0D0D0D" w:themeColor="text1" w:themeTint="F2"/>
          <w:sz w:val="18"/>
          <w:szCs w:val="18"/>
          <w:lang w:val="en-US"/>
        </w:rPr>
        <w:t>A</w:t>
      </w:r>
      <w:r w:rsidRPr="00226159">
        <w:rPr>
          <w:rFonts w:ascii="Tahoma" w:eastAsia="Times New Roman" w:hAnsi="Tahoma" w:cs="Tahoma"/>
          <w:color w:val="0D0D0D" w:themeColor="text1" w:themeTint="F2"/>
          <w:sz w:val="18"/>
          <w:szCs w:val="18"/>
        </w:rPr>
        <w:t>﻿</w:t>
      </w:r>
      <w:r w:rsidRPr="00226159">
        <w:rPr>
          <w:rFonts w:eastAsia="Times New Roman" w:cs="Times New Roman"/>
          <w:color w:val="0D0D0D" w:themeColor="text1" w:themeTint="F2"/>
          <w:sz w:val="18"/>
          <w:szCs w:val="18"/>
          <w:lang w:val="en-US"/>
        </w:rPr>
        <w:t xml:space="preserve">, </w:t>
      </w:r>
      <w:proofErr w:type="spellStart"/>
      <w:r w:rsidRPr="00226159">
        <w:rPr>
          <w:rFonts w:eastAsia="Times New Roman" w:cs="Times New Roman"/>
          <w:color w:val="0D0D0D" w:themeColor="text1" w:themeTint="F2"/>
          <w:sz w:val="18"/>
          <w:szCs w:val="18"/>
          <w:lang w:val="en-US"/>
        </w:rPr>
        <w:t>Tregear</w:t>
      </w:r>
      <w:proofErr w:type="spellEnd"/>
      <w:r>
        <w:rPr>
          <w:rFonts w:eastAsia="Times New Roman" w:cs="Times New Roman"/>
          <w:color w:val="0D0D0D" w:themeColor="text1" w:themeTint="F2"/>
          <w:sz w:val="18"/>
          <w:szCs w:val="18"/>
          <w:lang w:val="en-US"/>
        </w:rPr>
        <w:t xml:space="preserve"> </w:t>
      </w:r>
      <w:r w:rsidRPr="00226159">
        <w:rPr>
          <w:rFonts w:eastAsia="Times New Roman" w:cs="Times New Roman"/>
          <w:color w:val="0D0D0D" w:themeColor="text1" w:themeTint="F2"/>
          <w:sz w:val="18"/>
          <w:szCs w:val="18"/>
          <w:lang w:val="en-US"/>
        </w:rPr>
        <w:t>M</w:t>
      </w:r>
      <w:r w:rsidRPr="00226159">
        <w:rPr>
          <w:rFonts w:ascii="Tahoma" w:eastAsia="Times New Roman" w:hAnsi="Tahoma" w:cs="Tahoma"/>
          <w:color w:val="0D0D0D" w:themeColor="text1" w:themeTint="F2"/>
          <w:sz w:val="18"/>
          <w:szCs w:val="18"/>
        </w:rPr>
        <w:t>﻿</w:t>
      </w:r>
      <w:r>
        <w:rPr>
          <w:rFonts w:eastAsia="Times New Roman" w:cs="Times New Roman"/>
          <w:color w:val="0D0D0D" w:themeColor="text1" w:themeTint="F2"/>
          <w:sz w:val="18"/>
          <w:szCs w:val="18"/>
          <w:lang w:val="en-US"/>
        </w:rPr>
        <w:t xml:space="preserve"> </w:t>
      </w:r>
      <w:r w:rsidRPr="00226159">
        <w:rPr>
          <w:rFonts w:eastAsia="Times New Roman" w:cs="Times New Roman"/>
          <w:color w:val="0D0D0D" w:themeColor="text1" w:themeTint="F2"/>
          <w:sz w:val="18"/>
          <w:szCs w:val="18"/>
          <w:lang w:val="en-US"/>
        </w:rPr>
        <w:t xml:space="preserve">et al. </w:t>
      </w:r>
      <w:r>
        <w:rPr>
          <w:rFonts w:eastAsia="Times New Roman" w:cs="Times New Roman"/>
          <w:color w:val="0D0D0D" w:themeColor="text1" w:themeTint="F2"/>
          <w:sz w:val="18"/>
          <w:szCs w:val="18"/>
          <w:lang w:val="en-US"/>
        </w:rPr>
        <w:t xml:space="preserve"> </w:t>
      </w:r>
      <w:r w:rsidRPr="00226159">
        <w:rPr>
          <w:rFonts w:eastAsia="Times New Roman" w:cs="Times New Roman"/>
          <w:color w:val="0D0D0D" w:themeColor="text1" w:themeTint="F2"/>
          <w:sz w:val="18"/>
          <w:szCs w:val="18"/>
          <w:lang w:val="en-US"/>
        </w:rPr>
        <w:t>Patient perspectives on approval speed vs evidentiary certainty in US cancer drug approvals.</w:t>
      </w:r>
      <w:r>
        <w:rPr>
          <w:rFonts w:eastAsia="Times New Roman" w:cs="Times New Roman"/>
          <w:i/>
          <w:iCs/>
          <w:color w:val="0D0D0D" w:themeColor="text1" w:themeTint="F2"/>
          <w:sz w:val="18"/>
          <w:szCs w:val="18"/>
          <w:lang w:val="en-US"/>
        </w:rPr>
        <w:t xml:space="preserve"> </w:t>
      </w:r>
      <w:r w:rsidRPr="00564D6D">
        <w:rPr>
          <w:rFonts w:eastAsia="Times New Roman" w:cs="Times New Roman"/>
          <w:i/>
          <w:iCs/>
          <w:color w:val="0D0D0D" w:themeColor="text1" w:themeTint="F2"/>
          <w:sz w:val="18"/>
          <w:szCs w:val="18"/>
          <w:lang w:val="en-US"/>
        </w:rPr>
        <w:t xml:space="preserve">JAMA </w:t>
      </w:r>
      <w:proofErr w:type="spellStart"/>
      <w:r w:rsidRPr="00564D6D">
        <w:rPr>
          <w:rFonts w:eastAsia="Times New Roman" w:cs="Times New Roman"/>
          <w:i/>
          <w:iCs/>
          <w:color w:val="0D0D0D" w:themeColor="text1" w:themeTint="F2"/>
          <w:sz w:val="18"/>
          <w:szCs w:val="18"/>
          <w:lang w:val="en-US"/>
        </w:rPr>
        <w:t>Netw</w:t>
      </w:r>
      <w:proofErr w:type="spellEnd"/>
      <w:r w:rsidRPr="00564D6D">
        <w:rPr>
          <w:rFonts w:eastAsia="Times New Roman" w:cs="Times New Roman"/>
          <w:i/>
          <w:iCs/>
          <w:color w:val="0D0D0D" w:themeColor="text1" w:themeTint="F2"/>
          <w:sz w:val="18"/>
          <w:szCs w:val="18"/>
          <w:lang w:val="en-US"/>
        </w:rPr>
        <w:t xml:space="preserve"> Open</w:t>
      </w:r>
      <w:r w:rsidRPr="00564D6D">
        <w:rPr>
          <w:rFonts w:eastAsia="Times New Roman" w:cs="Times New Roman"/>
          <w:color w:val="0D0D0D" w:themeColor="text1" w:themeTint="F2"/>
          <w:sz w:val="18"/>
          <w:szCs w:val="18"/>
          <w:lang w:val="en-US"/>
        </w:rPr>
        <w:t>. 2026;9(6):e2617450. DOI:</w:t>
      </w:r>
      <w:hyperlink r:id="rId119" w:history="1">
        <w:r w:rsidRPr="00564D6D">
          <w:rPr>
            <w:rStyle w:val="Hipervnculo"/>
            <w:rFonts w:eastAsia="Times New Roman" w:cs="Times New Roman"/>
            <w:sz w:val="18"/>
            <w:szCs w:val="18"/>
            <w:lang w:val="en-US"/>
          </w:rPr>
          <w:t>10.1001/jamanetworkopen.2026.17450</w:t>
        </w:r>
      </w:hyperlink>
    </w:p>
    <w:p w14:paraId="6E223D66" w14:textId="77777777" w:rsidR="00261692" w:rsidRDefault="00261692" w:rsidP="00261692">
      <w:pPr>
        <w:ind w:left="180" w:hanging="180"/>
        <w:rPr>
          <w:rFonts w:eastAsia="Times New Roman" w:cs="Times New Roman"/>
          <w:color w:val="EE0000"/>
          <w:sz w:val="18"/>
          <w:szCs w:val="18"/>
          <w:lang w:val="en-US"/>
        </w:rPr>
      </w:pPr>
      <w:r w:rsidRPr="00B749A9">
        <w:rPr>
          <w:rFonts w:eastAsia="Times New Roman" w:cs="Times New Roman"/>
          <w:color w:val="0D0D0D" w:themeColor="text1" w:themeTint="F2"/>
          <w:sz w:val="18"/>
          <w:szCs w:val="18"/>
          <w:lang w:val="en-US"/>
        </w:rPr>
        <w:t>4.</w:t>
      </w:r>
      <w:r w:rsidRPr="00B749A9">
        <w:rPr>
          <w:rFonts w:ascii="Helvetica" w:hAnsi="Helvetica" w:cs="Helvetica"/>
          <w:color w:val="0D0D0D" w:themeColor="text1" w:themeTint="F2"/>
          <w:lang w:val="en-US"/>
        </w:rPr>
        <w:t xml:space="preserve"> </w:t>
      </w:r>
      <w:proofErr w:type="spellStart"/>
      <w:r w:rsidRPr="00B749A9">
        <w:rPr>
          <w:rFonts w:eastAsia="Times New Roman" w:cs="Times New Roman"/>
          <w:color w:val="0D0D0D" w:themeColor="text1" w:themeTint="F2"/>
          <w:sz w:val="18"/>
          <w:szCs w:val="18"/>
          <w:lang w:val="en-US"/>
        </w:rPr>
        <w:t>Michaeli</w:t>
      </w:r>
      <w:proofErr w:type="spellEnd"/>
      <w:r>
        <w:rPr>
          <w:rFonts w:eastAsia="Times New Roman" w:cs="Times New Roman"/>
          <w:color w:val="0D0D0D" w:themeColor="text1" w:themeTint="F2"/>
          <w:sz w:val="18"/>
          <w:szCs w:val="18"/>
          <w:lang w:val="en-US"/>
        </w:rPr>
        <w:t xml:space="preserve"> </w:t>
      </w:r>
      <w:r w:rsidRPr="00B749A9">
        <w:rPr>
          <w:rFonts w:eastAsia="Times New Roman" w:cs="Times New Roman"/>
          <w:color w:val="0D0D0D" w:themeColor="text1" w:themeTint="F2"/>
          <w:sz w:val="18"/>
          <w:szCs w:val="18"/>
          <w:lang w:val="en-US"/>
        </w:rPr>
        <w:t>JC</w:t>
      </w:r>
      <w:r w:rsidRPr="00B749A9">
        <w:rPr>
          <w:rFonts w:ascii="Tahoma" w:eastAsia="Times New Roman" w:hAnsi="Tahoma" w:cs="Tahoma"/>
          <w:color w:val="0D0D0D" w:themeColor="text1" w:themeTint="F2"/>
          <w:sz w:val="18"/>
          <w:szCs w:val="18"/>
        </w:rPr>
        <w:t>﻿</w:t>
      </w:r>
      <w:r w:rsidRPr="00B749A9">
        <w:rPr>
          <w:rFonts w:eastAsia="Times New Roman" w:cs="Times New Roman"/>
          <w:color w:val="0D0D0D" w:themeColor="text1" w:themeTint="F2"/>
          <w:sz w:val="18"/>
          <w:szCs w:val="18"/>
          <w:lang w:val="en-US"/>
        </w:rPr>
        <w:t xml:space="preserve">, </w:t>
      </w:r>
      <w:proofErr w:type="spellStart"/>
      <w:r w:rsidRPr="00B749A9">
        <w:rPr>
          <w:rFonts w:eastAsia="Times New Roman" w:cs="Times New Roman"/>
          <w:color w:val="0D0D0D" w:themeColor="text1" w:themeTint="F2"/>
          <w:sz w:val="18"/>
          <w:szCs w:val="18"/>
          <w:lang w:val="en-US"/>
        </w:rPr>
        <w:t>Michaeli</w:t>
      </w:r>
      <w:proofErr w:type="spellEnd"/>
      <w:r>
        <w:rPr>
          <w:rFonts w:eastAsia="Times New Roman" w:cs="Times New Roman"/>
          <w:color w:val="0D0D0D" w:themeColor="text1" w:themeTint="F2"/>
          <w:sz w:val="18"/>
          <w:szCs w:val="18"/>
          <w:lang w:val="en-US"/>
        </w:rPr>
        <w:t xml:space="preserve"> </w:t>
      </w:r>
      <w:r w:rsidRPr="00B749A9">
        <w:rPr>
          <w:rFonts w:eastAsia="Times New Roman" w:cs="Times New Roman"/>
          <w:color w:val="0D0D0D" w:themeColor="text1" w:themeTint="F2"/>
          <w:sz w:val="18"/>
          <w:szCs w:val="18"/>
          <w:lang w:val="en-US"/>
        </w:rPr>
        <w:t>T</w:t>
      </w:r>
      <w:r w:rsidRPr="00B749A9">
        <w:rPr>
          <w:rFonts w:ascii="Tahoma" w:eastAsia="Times New Roman" w:hAnsi="Tahoma" w:cs="Tahoma"/>
          <w:color w:val="0D0D0D" w:themeColor="text1" w:themeTint="F2"/>
          <w:sz w:val="18"/>
          <w:szCs w:val="18"/>
        </w:rPr>
        <w:t>﻿</w:t>
      </w:r>
      <w:r w:rsidRPr="00B749A9">
        <w:rPr>
          <w:rFonts w:eastAsia="Times New Roman" w:cs="Times New Roman"/>
          <w:color w:val="0D0D0D" w:themeColor="text1" w:themeTint="F2"/>
          <w:sz w:val="18"/>
          <w:szCs w:val="18"/>
          <w:lang w:val="en-US"/>
        </w:rPr>
        <w:t>, Trapani</w:t>
      </w:r>
      <w:r>
        <w:rPr>
          <w:rFonts w:eastAsia="Times New Roman" w:cs="Times New Roman"/>
          <w:color w:val="0D0D0D" w:themeColor="text1" w:themeTint="F2"/>
          <w:sz w:val="18"/>
          <w:szCs w:val="18"/>
          <w:lang w:val="en-US"/>
        </w:rPr>
        <w:t xml:space="preserve"> </w:t>
      </w:r>
      <w:r w:rsidRPr="00B749A9">
        <w:rPr>
          <w:rFonts w:eastAsia="Times New Roman" w:cs="Times New Roman"/>
          <w:color w:val="0D0D0D" w:themeColor="text1" w:themeTint="F2"/>
          <w:sz w:val="18"/>
          <w:szCs w:val="18"/>
          <w:lang w:val="en-US"/>
        </w:rPr>
        <w:t>D</w:t>
      </w:r>
      <w:r w:rsidRPr="00B749A9">
        <w:rPr>
          <w:rFonts w:ascii="Tahoma" w:eastAsia="Times New Roman" w:hAnsi="Tahoma" w:cs="Tahoma"/>
          <w:color w:val="0D0D0D" w:themeColor="text1" w:themeTint="F2"/>
          <w:sz w:val="18"/>
          <w:szCs w:val="18"/>
        </w:rPr>
        <w:t>﻿</w:t>
      </w:r>
      <w:r>
        <w:rPr>
          <w:rFonts w:eastAsia="Times New Roman" w:cs="Times New Roman"/>
          <w:color w:val="0D0D0D" w:themeColor="text1" w:themeTint="F2"/>
          <w:sz w:val="18"/>
          <w:szCs w:val="18"/>
          <w:lang w:val="en-US"/>
        </w:rPr>
        <w:t xml:space="preserve"> </w:t>
      </w:r>
      <w:r w:rsidRPr="00B749A9">
        <w:rPr>
          <w:rFonts w:eastAsia="Times New Roman" w:cs="Times New Roman"/>
          <w:color w:val="0D0D0D" w:themeColor="text1" w:themeTint="F2"/>
          <w:sz w:val="18"/>
          <w:szCs w:val="18"/>
          <w:lang w:val="en-US"/>
        </w:rPr>
        <w:t>et al. Breast cancer drugs: FDA approval, development time, efficacy, clinical benefits, innovation, trials, endpoints, quality of life, value, and price.</w:t>
      </w:r>
      <w:r>
        <w:rPr>
          <w:rFonts w:eastAsia="Times New Roman" w:cs="Times New Roman"/>
          <w:i/>
          <w:iCs/>
          <w:color w:val="0D0D0D" w:themeColor="text1" w:themeTint="F2"/>
          <w:sz w:val="18"/>
          <w:szCs w:val="18"/>
          <w:lang w:val="en-US"/>
        </w:rPr>
        <w:t xml:space="preserve"> </w:t>
      </w:r>
      <w:r w:rsidRPr="00B749A9">
        <w:rPr>
          <w:rFonts w:eastAsia="Times New Roman" w:cs="Times New Roman"/>
          <w:i/>
          <w:iCs/>
          <w:color w:val="0D0D0D" w:themeColor="text1" w:themeTint="F2"/>
          <w:sz w:val="18"/>
          <w:szCs w:val="18"/>
          <w:lang w:val="en-US"/>
        </w:rPr>
        <w:t>Breast Cancer</w:t>
      </w:r>
      <w:r w:rsidRPr="00B749A9">
        <w:rPr>
          <w:rFonts w:eastAsia="Times New Roman" w:cs="Times New Roman"/>
          <w:color w:val="0D0D0D" w:themeColor="text1" w:themeTint="F2"/>
          <w:sz w:val="18"/>
          <w:szCs w:val="18"/>
          <w:lang w:val="en-US"/>
        </w:rPr>
        <w:t>. 2024;31(6):1144-1155. DOI:</w:t>
      </w:r>
      <w:hyperlink r:id="rId120" w:history="1">
        <w:r w:rsidRPr="00B749A9">
          <w:rPr>
            <w:rStyle w:val="Hipervnculo"/>
            <w:rFonts w:eastAsia="Times New Roman" w:cs="Times New Roman"/>
            <w:sz w:val="18"/>
            <w:szCs w:val="18"/>
            <w:lang w:val="en-US"/>
          </w:rPr>
          <w:t>10.1007/s12282-024-01634-x</w:t>
        </w:r>
      </w:hyperlink>
    </w:p>
    <w:p w14:paraId="329A612D" w14:textId="77777777" w:rsidR="00261692" w:rsidRPr="00231582" w:rsidRDefault="00261692" w:rsidP="00261692">
      <w:pPr>
        <w:ind w:left="180" w:hanging="180"/>
        <w:rPr>
          <w:lang w:val="en-US"/>
        </w:rPr>
      </w:pPr>
      <w:r w:rsidRPr="009169AE">
        <w:rPr>
          <w:rFonts w:eastAsia="Times New Roman" w:cs="Times New Roman"/>
          <w:color w:val="0D0D0D" w:themeColor="text1" w:themeTint="F2"/>
          <w:sz w:val="18"/>
          <w:szCs w:val="18"/>
          <w:lang w:val="en-US"/>
        </w:rPr>
        <w:t>5.</w:t>
      </w:r>
      <w:r w:rsidRPr="009169AE">
        <w:rPr>
          <w:rFonts w:ascii="Helvetica" w:hAnsi="Helvetica" w:cs="Helvetica"/>
          <w:color w:val="0D0D0D" w:themeColor="text1" w:themeTint="F2"/>
          <w:lang w:val="en-US"/>
        </w:rPr>
        <w:t xml:space="preserve"> </w:t>
      </w:r>
      <w:r w:rsidRPr="009169AE">
        <w:rPr>
          <w:rFonts w:eastAsia="Times New Roman" w:cs="Times New Roman"/>
          <w:color w:val="0D0D0D" w:themeColor="text1" w:themeTint="F2"/>
          <w:sz w:val="18"/>
          <w:szCs w:val="18"/>
          <w:lang w:val="en-US"/>
        </w:rPr>
        <w:t>Moore DC</w:t>
      </w:r>
      <w:r w:rsidRPr="009169AE">
        <w:rPr>
          <w:rFonts w:ascii="Tahoma" w:eastAsia="Times New Roman" w:hAnsi="Tahoma" w:cs="Tahoma"/>
          <w:color w:val="0D0D0D" w:themeColor="text1" w:themeTint="F2"/>
          <w:sz w:val="18"/>
          <w:szCs w:val="18"/>
        </w:rPr>
        <w:t>﻿</w:t>
      </w:r>
      <w:r w:rsidRPr="009169AE">
        <w:rPr>
          <w:rFonts w:eastAsia="Times New Roman" w:cs="Times New Roman"/>
          <w:color w:val="0D0D0D" w:themeColor="text1" w:themeTint="F2"/>
          <w:sz w:val="18"/>
          <w:szCs w:val="18"/>
          <w:lang w:val="en-US"/>
        </w:rPr>
        <w:t xml:space="preserve">, </w:t>
      </w:r>
      <w:proofErr w:type="spellStart"/>
      <w:r w:rsidRPr="009169AE">
        <w:rPr>
          <w:rFonts w:eastAsia="Times New Roman" w:cs="Times New Roman"/>
          <w:color w:val="0D0D0D" w:themeColor="text1" w:themeTint="F2"/>
          <w:sz w:val="18"/>
          <w:szCs w:val="18"/>
          <w:lang w:val="en-US"/>
        </w:rPr>
        <w:t>Elmes</w:t>
      </w:r>
      <w:proofErr w:type="spellEnd"/>
      <w:r>
        <w:rPr>
          <w:rFonts w:eastAsia="Times New Roman" w:cs="Times New Roman"/>
          <w:color w:val="0D0D0D" w:themeColor="text1" w:themeTint="F2"/>
          <w:sz w:val="18"/>
          <w:szCs w:val="18"/>
          <w:lang w:val="en-US"/>
        </w:rPr>
        <w:t xml:space="preserve"> </w:t>
      </w:r>
      <w:r w:rsidRPr="009169AE">
        <w:rPr>
          <w:rFonts w:eastAsia="Times New Roman" w:cs="Times New Roman"/>
          <w:color w:val="0D0D0D" w:themeColor="text1" w:themeTint="F2"/>
          <w:sz w:val="18"/>
          <w:szCs w:val="18"/>
          <w:lang w:val="en-US"/>
        </w:rPr>
        <w:t>JB</w:t>
      </w:r>
      <w:r w:rsidRPr="009169AE">
        <w:rPr>
          <w:rFonts w:ascii="Tahoma" w:eastAsia="Times New Roman" w:hAnsi="Tahoma" w:cs="Tahoma"/>
          <w:color w:val="0D0D0D" w:themeColor="text1" w:themeTint="F2"/>
          <w:sz w:val="18"/>
          <w:szCs w:val="18"/>
        </w:rPr>
        <w:t>﻿</w:t>
      </w:r>
      <w:r w:rsidRPr="009169AE">
        <w:rPr>
          <w:rFonts w:eastAsia="Times New Roman" w:cs="Times New Roman"/>
          <w:color w:val="0D0D0D" w:themeColor="text1" w:themeTint="F2"/>
          <w:sz w:val="18"/>
          <w:szCs w:val="18"/>
          <w:lang w:val="en-US"/>
        </w:rPr>
        <w:t xml:space="preserve">, </w:t>
      </w:r>
      <w:proofErr w:type="spellStart"/>
      <w:r w:rsidRPr="009169AE">
        <w:rPr>
          <w:rFonts w:eastAsia="Times New Roman" w:cs="Times New Roman"/>
          <w:color w:val="0D0D0D" w:themeColor="text1" w:themeTint="F2"/>
          <w:sz w:val="18"/>
          <w:szCs w:val="18"/>
          <w:lang w:val="en-US"/>
        </w:rPr>
        <w:t>Strassels</w:t>
      </w:r>
      <w:proofErr w:type="spellEnd"/>
      <w:r>
        <w:rPr>
          <w:rFonts w:eastAsia="Times New Roman" w:cs="Times New Roman"/>
          <w:color w:val="0D0D0D" w:themeColor="text1" w:themeTint="F2"/>
          <w:sz w:val="18"/>
          <w:szCs w:val="18"/>
          <w:lang w:val="en-US"/>
        </w:rPr>
        <w:t xml:space="preserve"> </w:t>
      </w:r>
      <w:r w:rsidRPr="009169AE">
        <w:rPr>
          <w:rFonts w:eastAsia="Times New Roman" w:cs="Times New Roman"/>
          <w:color w:val="0D0D0D" w:themeColor="text1" w:themeTint="F2"/>
          <w:sz w:val="18"/>
          <w:szCs w:val="18"/>
          <w:lang w:val="en-US"/>
        </w:rPr>
        <w:t>SA</w:t>
      </w:r>
      <w:r w:rsidRPr="009169AE">
        <w:rPr>
          <w:rFonts w:ascii="Tahoma" w:eastAsia="Times New Roman" w:hAnsi="Tahoma" w:cs="Tahoma"/>
          <w:color w:val="0D0D0D" w:themeColor="text1" w:themeTint="F2"/>
          <w:sz w:val="18"/>
          <w:szCs w:val="18"/>
        </w:rPr>
        <w:t>﻿</w:t>
      </w:r>
      <w:r w:rsidRPr="009169AE">
        <w:rPr>
          <w:rFonts w:eastAsia="Times New Roman" w:cs="Times New Roman"/>
          <w:color w:val="0D0D0D" w:themeColor="text1" w:themeTint="F2"/>
          <w:sz w:val="18"/>
          <w:szCs w:val="18"/>
          <w:lang w:val="en-US"/>
        </w:rPr>
        <w:t>, Patel</w:t>
      </w:r>
      <w:r>
        <w:rPr>
          <w:rFonts w:eastAsia="Times New Roman" w:cs="Times New Roman"/>
          <w:color w:val="0D0D0D" w:themeColor="text1" w:themeTint="F2"/>
          <w:sz w:val="18"/>
          <w:szCs w:val="18"/>
          <w:lang w:val="en-US"/>
        </w:rPr>
        <w:t xml:space="preserve"> </w:t>
      </w:r>
      <w:r w:rsidRPr="009169AE">
        <w:rPr>
          <w:rFonts w:eastAsia="Times New Roman" w:cs="Times New Roman"/>
          <w:color w:val="0D0D0D" w:themeColor="text1" w:themeTint="F2"/>
          <w:sz w:val="18"/>
          <w:szCs w:val="18"/>
          <w:lang w:val="en-US"/>
        </w:rPr>
        <w:t>JN</w:t>
      </w:r>
      <w:r w:rsidRPr="009169AE">
        <w:rPr>
          <w:rFonts w:ascii="Tahoma" w:eastAsia="Times New Roman" w:hAnsi="Tahoma" w:cs="Tahoma"/>
          <w:color w:val="0D0D0D" w:themeColor="text1" w:themeTint="F2"/>
          <w:sz w:val="18"/>
          <w:szCs w:val="18"/>
        </w:rPr>
        <w:t>﻿</w:t>
      </w:r>
      <w:r w:rsidRPr="009169AE">
        <w:rPr>
          <w:rFonts w:eastAsia="Times New Roman" w:cs="Times New Roman"/>
          <w:color w:val="0D0D0D" w:themeColor="text1" w:themeTint="F2"/>
          <w:sz w:val="18"/>
          <w:szCs w:val="18"/>
          <w:lang w:val="en-US"/>
        </w:rPr>
        <w:t>. Use of patient-reported outcome measures for oncology drugs receiving accelerated approval.</w:t>
      </w:r>
      <w:r>
        <w:rPr>
          <w:rFonts w:eastAsia="Times New Roman" w:cs="Times New Roman"/>
          <w:i/>
          <w:iCs/>
          <w:color w:val="0D0D0D" w:themeColor="text1" w:themeTint="F2"/>
          <w:sz w:val="18"/>
          <w:szCs w:val="18"/>
          <w:lang w:val="en-US"/>
        </w:rPr>
        <w:t xml:space="preserve"> </w:t>
      </w:r>
      <w:r w:rsidRPr="009169AE">
        <w:rPr>
          <w:rFonts w:eastAsia="Times New Roman" w:cs="Times New Roman"/>
          <w:i/>
          <w:iCs/>
          <w:color w:val="0D0D0D" w:themeColor="text1" w:themeTint="F2"/>
          <w:sz w:val="18"/>
          <w:szCs w:val="18"/>
          <w:lang w:val="en-US"/>
        </w:rPr>
        <w:t>Support Care Cancer</w:t>
      </w:r>
      <w:r w:rsidRPr="009169AE">
        <w:rPr>
          <w:rFonts w:eastAsia="Times New Roman" w:cs="Times New Roman"/>
          <w:color w:val="0D0D0D" w:themeColor="text1" w:themeTint="F2"/>
          <w:sz w:val="18"/>
          <w:szCs w:val="18"/>
          <w:lang w:val="en-US"/>
        </w:rPr>
        <w:t>. 2023;31(10):602. DOI:</w:t>
      </w:r>
      <w:hyperlink r:id="rId121" w:history="1">
        <w:r w:rsidRPr="009169AE">
          <w:rPr>
            <w:rStyle w:val="Hipervnculo"/>
            <w:rFonts w:eastAsia="Times New Roman" w:cs="Times New Roman"/>
            <w:sz w:val="18"/>
            <w:szCs w:val="18"/>
            <w:lang w:val="en-US"/>
          </w:rPr>
          <w:t>10.1007/s00520-023-08068-9</w:t>
        </w:r>
      </w:hyperlink>
    </w:p>
    <w:p w14:paraId="678EBD35" w14:textId="77777777" w:rsidR="00261692" w:rsidRPr="00FE7010" w:rsidRDefault="00261692" w:rsidP="00261692">
      <w:pPr>
        <w:ind w:left="180" w:hanging="180"/>
        <w:rPr>
          <w:sz w:val="18"/>
          <w:szCs w:val="22"/>
          <w:lang w:val="en-US"/>
        </w:rPr>
      </w:pPr>
      <w:r w:rsidRPr="00FE7010">
        <w:rPr>
          <w:sz w:val="18"/>
          <w:szCs w:val="22"/>
          <w:lang w:val="en-US"/>
        </w:rPr>
        <w:lastRenderedPageBreak/>
        <w:t>6. Prasad</w:t>
      </w:r>
      <w:r>
        <w:rPr>
          <w:sz w:val="18"/>
          <w:szCs w:val="22"/>
          <w:lang w:val="en-US"/>
        </w:rPr>
        <w:t xml:space="preserve"> </w:t>
      </w:r>
      <w:r w:rsidRPr="00FE7010">
        <w:rPr>
          <w:sz w:val="18"/>
          <w:szCs w:val="22"/>
          <w:lang w:val="en-US"/>
        </w:rPr>
        <w:t>V</w:t>
      </w:r>
      <w:r w:rsidRPr="00FE7010">
        <w:rPr>
          <w:rFonts w:ascii="Tahoma" w:hAnsi="Tahoma" w:cs="Tahoma"/>
          <w:sz w:val="18"/>
          <w:szCs w:val="22"/>
        </w:rPr>
        <w:t>﻿</w:t>
      </w:r>
      <w:r w:rsidRPr="00FE7010">
        <w:rPr>
          <w:sz w:val="18"/>
          <w:szCs w:val="22"/>
          <w:lang w:val="en-US"/>
        </w:rPr>
        <w:t xml:space="preserve">, </w:t>
      </w:r>
      <w:proofErr w:type="spellStart"/>
      <w:r w:rsidRPr="00FE7010">
        <w:rPr>
          <w:sz w:val="18"/>
          <w:szCs w:val="22"/>
          <w:lang w:val="en-US"/>
        </w:rPr>
        <w:t>Makary</w:t>
      </w:r>
      <w:proofErr w:type="spellEnd"/>
      <w:r>
        <w:rPr>
          <w:rFonts w:cs="Times New Roman"/>
          <w:sz w:val="18"/>
          <w:szCs w:val="22"/>
          <w:lang w:val="en-US"/>
        </w:rPr>
        <w:t xml:space="preserve"> </w:t>
      </w:r>
      <w:r w:rsidRPr="00FE7010">
        <w:rPr>
          <w:sz w:val="18"/>
          <w:szCs w:val="22"/>
          <w:lang w:val="en-US"/>
        </w:rPr>
        <w:t>MA</w:t>
      </w:r>
      <w:r w:rsidRPr="00FE7010">
        <w:rPr>
          <w:rFonts w:ascii="Tahoma" w:hAnsi="Tahoma" w:cs="Tahoma"/>
          <w:sz w:val="18"/>
          <w:szCs w:val="22"/>
        </w:rPr>
        <w:t>﻿</w:t>
      </w:r>
      <w:r w:rsidRPr="00FE7010">
        <w:rPr>
          <w:sz w:val="18"/>
          <w:szCs w:val="22"/>
          <w:lang w:val="en-US"/>
        </w:rPr>
        <w:t>.</w:t>
      </w:r>
      <w:r>
        <w:rPr>
          <w:rFonts w:cs="Times New Roman"/>
          <w:sz w:val="18"/>
          <w:szCs w:val="22"/>
          <w:lang w:val="en-US"/>
        </w:rPr>
        <w:t xml:space="preserve"> </w:t>
      </w:r>
      <w:r w:rsidRPr="00FE7010">
        <w:rPr>
          <w:sz w:val="18"/>
          <w:szCs w:val="22"/>
          <w:lang w:val="en-US"/>
        </w:rPr>
        <w:t>One pivotal trial, the new default option for FDA approval ending the two-trial dogma.</w:t>
      </w:r>
      <w:r>
        <w:rPr>
          <w:i/>
          <w:iCs/>
          <w:sz w:val="18"/>
          <w:szCs w:val="22"/>
          <w:lang w:val="en-US"/>
        </w:rPr>
        <w:t xml:space="preserve"> </w:t>
      </w:r>
      <w:r w:rsidRPr="00FE7010">
        <w:rPr>
          <w:i/>
          <w:iCs/>
          <w:sz w:val="18"/>
          <w:szCs w:val="22"/>
          <w:lang w:val="en-US"/>
        </w:rPr>
        <w:t xml:space="preserve">N </w:t>
      </w:r>
      <w:proofErr w:type="spellStart"/>
      <w:r w:rsidRPr="00FE7010">
        <w:rPr>
          <w:i/>
          <w:iCs/>
          <w:sz w:val="18"/>
          <w:szCs w:val="22"/>
          <w:lang w:val="en-US"/>
        </w:rPr>
        <w:t>Engl</w:t>
      </w:r>
      <w:proofErr w:type="spellEnd"/>
      <w:r w:rsidRPr="00FE7010">
        <w:rPr>
          <w:i/>
          <w:iCs/>
          <w:sz w:val="18"/>
          <w:szCs w:val="22"/>
          <w:lang w:val="en-US"/>
        </w:rPr>
        <w:t xml:space="preserve"> J Med</w:t>
      </w:r>
      <w:r w:rsidRPr="00FE7010">
        <w:rPr>
          <w:sz w:val="18"/>
          <w:szCs w:val="22"/>
          <w:lang w:val="en-US"/>
        </w:rPr>
        <w:t>. 2026;394(8):815-817. DOI:</w:t>
      </w:r>
      <w:hyperlink r:id="rId122" w:history="1">
        <w:r w:rsidRPr="00FE7010">
          <w:rPr>
            <w:rStyle w:val="Hipervnculo"/>
            <w:sz w:val="18"/>
            <w:szCs w:val="22"/>
            <w:lang w:val="en-US"/>
          </w:rPr>
          <w:t>10.1056/NEJMsb2517623</w:t>
        </w:r>
      </w:hyperlink>
    </w:p>
    <w:p w14:paraId="69FD8D7E" w14:textId="77777777" w:rsidR="00261692" w:rsidRPr="00F25512" w:rsidRDefault="00261692" w:rsidP="00261692">
      <w:pPr>
        <w:ind w:left="180" w:hanging="180"/>
        <w:rPr>
          <w:rFonts w:eastAsia="Times New Roman" w:cs="Times New Roman"/>
          <w:color w:val="EE0000"/>
          <w:sz w:val="16"/>
          <w:szCs w:val="16"/>
          <w:lang w:val="es-ES"/>
        </w:rPr>
      </w:pPr>
      <w:r w:rsidRPr="00FE7010">
        <w:rPr>
          <w:sz w:val="18"/>
          <w:szCs w:val="22"/>
          <w:lang w:val="en-US"/>
        </w:rPr>
        <w:t xml:space="preserve">7. </w:t>
      </w:r>
      <w:proofErr w:type="spellStart"/>
      <w:r w:rsidRPr="00FE7010">
        <w:rPr>
          <w:sz w:val="18"/>
          <w:szCs w:val="22"/>
          <w:lang w:val="en-US"/>
        </w:rPr>
        <w:t>Makary</w:t>
      </w:r>
      <w:proofErr w:type="spellEnd"/>
      <w:r w:rsidRPr="00FE7010">
        <w:rPr>
          <w:sz w:val="18"/>
          <w:szCs w:val="22"/>
          <w:lang w:val="en-US"/>
        </w:rPr>
        <w:t xml:space="preserve"> MA</w:t>
      </w:r>
      <w:r w:rsidRPr="00FE7010">
        <w:rPr>
          <w:rFonts w:ascii="Tahoma" w:hAnsi="Tahoma" w:cs="Tahoma"/>
          <w:sz w:val="18"/>
          <w:szCs w:val="22"/>
        </w:rPr>
        <w:t>﻿</w:t>
      </w:r>
      <w:r w:rsidRPr="00FE7010">
        <w:rPr>
          <w:sz w:val="18"/>
          <w:szCs w:val="22"/>
          <w:lang w:val="en-US"/>
        </w:rPr>
        <w:t>, Prasad</w:t>
      </w:r>
      <w:r>
        <w:rPr>
          <w:rFonts w:cs="Times New Roman"/>
          <w:sz w:val="18"/>
          <w:szCs w:val="22"/>
          <w:lang w:val="en-US"/>
        </w:rPr>
        <w:t xml:space="preserve"> </w:t>
      </w:r>
      <w:r w:rsidRPr="00FE7010">
        <w:rPr>
          <w:sz w:val="18"/>
          <w:szCs w:val="22"/>
          <w:lang w:val="en-US"/>
        </w:rPr>
        <w:t>V</w:t>
      </w:r>
      <w:r w:rsidRPr="00FE7010">
        <w:rPr>
          <w:rFonts w:ascii="Tahoma" w:hAnsi="Tahoma" w:cs="Tahoma"/>
          <w:sz w:val="18"/>
          <w:szCs w:val="22"/>
        </w:rPr>
        <w:t>﻿</w:t>
      </w:r>
      <w:r w:rsidRPr="00FE7010">
        <w:rPr>
          <w:sz w:val="18"/>
          <w:szCs w:val="22"/>
          <w:lang w:val="en-US"/>
        </w:rPr>
        <w:t>.</w:t>
      </w:r>
      <w:r>
        <w:rPr>
          <w:rFonts w:cs="Times New Roman"/>
          <w:sz w:val="18"/>
          <w:szCs w:val="22"/>
          <w:lang w:val="en-US"/>
        </w:rPr>
        <w:t xml:space="preserve"> </w:t>
      </w:r>
      <w:r w:rsidRPr="00FE7010">
        <w:rPr>
          <w:sz w:val="18"/>
          <w:szCs w:val="22"/>
          <w:lang w:val="en-US"/>
        </w:rPr>
        <w:t>Priorities for a New FDA.</w:t>
      </w:r>
      <w:r>
        <w:rPr>
          <w:i/>
          <w:iCs/>
          <w:sz w:val="18"/>
          <w:szCs w:val="22"/>
          <w:lang w:val="en-US"/>
        </w:rPr>
        <w:t xml:space="preserve"> </w:t>
      </w:r>
      <w:r w:rsidRPr="00F25512">
        <w:rPr>
          <w:i/>
          <w:iCs/>
          <w:sz w:val="18"/>
          <w:szCs w:val="22"/>
          <w:lang w:val="es-ES"/>
        </w:rPr>
        <w:t>JAMA</w:t>
      </w:r>
      <w:r w:rsidRPr="00F25512">
        <w:rPr>
          <w:sz w:val="18"/>
          <w:szCs w:val="22"/>
          <w:lang w:val="es-ES"/>
        </w:rPr>
        <w:t>. 2025;334(7):565-566. doi:</w:t>
      </w:r>
      <w:hyperlink r:id="rId123" w:history="1">
        <w:r w:rsidRPr="00F25512">
          <w:rPr>
            <w:rStyle w:val="Hipervnculo"/>
            <w:sz w:val="18"/>
            <w:szCs w:val="22"/>
            <w:lang w:val="es-ES"/>
          </w:rPr>
          <w:t>10.1001/jama.2025.10116</w:t>
        </w:r>
      </w:hyperlink>
    </w:p>
    <w:bookmarkEnd w:id="8"/>
    <w:p w14:paraId="65DEDFFA" w14:textId="77777777" w:rsidR="00421B71" w:rsidRDefault="00421B71" w:rsidP="004D63D3">
      <w:pPr>
        <w:jc w:val="center"/>
        <w:rPr>
          <w:rFonts w:eastAsia="Times New Roman" w:cs="Times New Roman"/>
          <w:color w:val="0D0D0D" w:themeColor="text1" w:themeTint="F2"/>
          <w:szCs w:val="20"/>
        </w:rPr>
        <w:sectPr w:rsidR="00421B71" w:rsidSect="00421B71">
          <w:type w:val="continuous"/>
          <w:pgSz w:w="12240" w:h="15840" w:code="1"/>
          <w:pgMar w:top="720" w:right="720" w:bottom="720" w:left="720" w:header="288" w:footer="288" w:gutter="0"/>
          <w:cols w:num="2" w:space="288"/>
          <w:docGrid w:linePitch="360"/>
        </w:sectPr>
      </w:pPr>
    </w:p>
    <w:p w14:paraId="1D357336" w14:textId="7529F668" w:rsidR="00261692" w:rsidRDefault="00261692" w:rsidP="004D63D3">
      <w:pPr>
        <w:jc w:val="center"/>
        <w:rPr>
          <w:rFonts w:eastAsia="Times New Roman" w:cs="Times New Roman"/>
          <w:color w:val="0D0D0D" w:themeColor="text1" w:themeTint="F2"/>
          <w:szCs w:val="20"/>
        </w:rPr>
      </w:pPr>
    </w:p>
    <w:p w14:paraId="37E85500" w14:textId="77777777" w:rsidR="00261692" w:rsidRDefault="00261692" w:rsidP="004D63D3">
      <w:pPr>
        <w:jc w:val="center"/>
        <w:rPr>
          <w:rFonts w:eastAsia="Times New Roman" w:cs="Times New Roman"/>
          <w:color w:val="0D0D0D" w:themeColor="text1" w:themeTint="F2"/>
          <w:szCs w:val="20"/>
        </w:rPr>
      </w:pPr>
    </w:p>
    <w:p w14:paraId="4C0A4548" w14:textId="77777777" w:rsidR="00261692" w:rsidRPr="00CA0441" w:rsidRDefault="00261692" w:rsidP="00261692">
      <w:pPr>
        <w:spacing w:after="225"/>
        <w:contextualSpacing/>
        <w:jc w:val="center"/>
        <w:outlineLvl w:val="0"/>
        <w:rPr>
          <w:rFonts w:eastAsia="Times New Roman" w:cs="Times New Roman"/>
          <w:b/>
          <w:bCs/>
          <w:kern w:val="36"/>
          <w:szCs w:val="20"/>
          <w:lang w:val="en-US"/>
        </w:rPr>
      </w:pPr>
      <w:r>
        <w:rPr>
          <w:rFonts w:eastAsia="Times New Roman" w:cs="Times New Roman"/>
          <w:color w:val="0D0D0D" w:themeColor="text1" w:themeTint="F2"/>
          <w:szCs w:val="20"/>
        </w:rPr>
        <w:t xml:space="preserve">EE UU. </w:t>
      </w:r>
      <w:r w:rsidRPr="00EA71DA">
        <w:rPr>
          <w:rFonts w:eastAsia="Times New Roman" w:cs="Times New Roman"/>
          <w:b/>
          <w:bCs/>
          <w:szCs w:val="20"/>
          <w:lang w:val="es-ES"/>
        </w:rPr>
        <w:t>La FDA, los péptidos y Robert F. Kennedy Jr.</w:t>
      </w:r>
      <w:r w:rsidRPr="00CA0441">
        <w:rPr>
          <w:rFonts w:eastAsia="Times New Roman" w:cs="Times New Roman"/>
          <w:szCs w:val="20"/>
          <w:lang w:val="es-ES"/>
        </w:rPr>
        <w:t xml:space="preserve"> </w:t>
      </w:r>
      <w:r w:rsidRPr="00CA0441">
        <w:rPr>
          <w:rFonts w:eastAsia="Times New Roman" w:cs="Times New Roman"/>
          <w:i/>
          <w:iCs/>
          <w:szCs w:val="20"/>
          <w:lang w:val="en-US"/>
        </w:rPr>
        <w:t>(</w:t>
      </w:r>
      <w:r w:rsidRPr="00CA0441">
        <w:rPr>
          <w:rFonts w:eastAsia="Times New Roman" w:cs="Times New Roman"/>
          <w:i/>
          <w:iCs/>
          <w:kern w:val="36"/>
          <w:szCs w:val="20"/>
          <w:lang w:val="en-US"/>
        </w:rPr>
        <w:t>The FDA, Peptides and Robert F. Kennedy Jr.)</w:t>
      </w:r>
    </w:p>
    <w:p w14:paraId="4110A629" w14:textId="77777777" w:rsidR="00261692" w:rsidRPr="00952C85" w:rsidRDefault="00261692" w:rsidP="00261692">
      <w:pPr>
        <w:spacing w:after="100" w:afterAutospacing="1"/>
        <w:contextualSpacing/>
        <w:jc w:val="center"/>
        <w:rPr>
          <w:rFonts w:eastAsia="Times New Roman" w:cs="Times New Roman"/>
          <w:color w:val="000000" w:themeColor="text1"/>
          <w:szCs w:val="20"/>
          <w:lang w:val="en-US"/>
        </w:rPr>
      </w:pPr>
      <w:r w:rsidRPr="00CA0441">
        <w:rPr>
          <w:rFonts w:eastAsia="Times New Roman" w:cs="Times New Roman"/>
          <w:i/>
          <w:iCs/>
          <w:szCs w:val="20"/>
          <w:lang w:val="en-US"/>
        </w:rPr>
        <w:t>Worst Pills, Best Pills</w:t>
      </w:r>
      <w:r>
        <w:rPr>
          <w:rFonts w:eastAsia="Times New Roman" w:cs="Times New Roman"/>
          <w:szCs w:val="20"/>
          <w:lang w:val="en-US"/>
        </w:rPr>
        <w:t xml:space="preserve">, </w:t>
      </w:r>
      <w:proofErr w:type="spellStart"/>
      <w:r>
        <w:rPr>
          <w:rFonts w:eastAsia="Times New Roman" w:cs="Times New Roman"/>
          <w:szCs w:val="20"/>
          <w:lang w:val="en-US"/>
        </w:rPr>
        <w:t>j</w:t>
      </w:r>
      <w:r w:rsidRPr="00CA0441">
        <w:rPr>
          <w:rFonts w:eastAsia="Times New Roman" w:cs="Times New Roman"/>
          <w:szCs w:val="20"/>
          <w:lang w:val="en-US"/>
        </w:rPr>
        <w:t>ulio</w:t>
      </w:r>
      <w:proofErr w:type="spellEnd"/>
      <w:r w:rsidRPr="00CA0441">
        <w:rPr>
          <w:rFonts w:eastAsia="Times New Roman" w:cs="Times New Roman"/>
          <w:szCs w:val="20"/>
          <w:lang w:val="en-US"/>
        </w:rPr>
        <w:t xml:space="preserve"> de 2026</w:t>
      </w:r>
    </w:p>
    <w:p w14:paraId="36C353C7" w14:textId="77777777" w:rsidR="00261692" w:rsidRPr="00A21F37" w:rsidRDefault="00261692" w:rsidP="00261692">
      <w:pPr>
        <w:jc w:val="center"/>
        <w:rPr>
          <w:lang w:val="es-ES"/>
        </w:rPr>
      </w:pPr>
      <w:r w:rsidRPr="00CA0441">
        <w:rPr>
          <w:rFonts w:eastAsia="Times New Roman" w:cs="Times New Roman"/>
          <w:szCs w:val="20"/>
          <w:lang w:val="es-ES"/>
        </w:rPr>
        <w:t xml:space="preserve">Traducido por Salud y Fármacos, publicado en </w:t>
      </w:r>
      <w:r w:rsidRPr="00CA0441">
        <w:rPr>
          <w:rFonts w:cs="Times New Roman"/>
          <w:i/>
          <w:iCs/>
          <w:szCs w:val="20"/>
          <w:lang w:val="es-ES"/>
        </w:rPr>
        <w:t xml:space="preserve">Boletín Fármacos: </w:t>
      </w:r>
      <w:r>
        <w:rPr>
          <w:rFonts w:eastAsia="Times New Roman" w:cs="Times New Roman"/>
          <w:bCs/>
          <w:i/>
          <w:iCs/>
          <w:color w:val="000000" w:themeColor="text1"/>
          <w:szCs w:val="16"/>
          <w:lang w:val="es-ES"/>
        </w:rPr>
        <w:t>Age</w:t>
      </w:r>
      <w:r w:rsidRPr="00A21F37">
        <w:rPr>
          <w:rFonts w:eastAsia="Times New Roman" w:cs="Times New Roman"/>
          <w:bCs/>
          <w:i/>
          <w:iCs/>
          <w:color w:val="000000" w:themeColor="text1"/>
          <w:szCs w:val="16"/>
          <w:lang w:val="es-ES"/>
        </w:rPr>
        <w:t>ncia</w:t>
      </w:r>
      <w:r>
        <w:rPr>
          <w:rFonts w:eastAsia="Times New Roman" w:cs="Times New Roman"/>
          <w:bCs/>
          <w:i/>
          <w:iCs/>
          <w:color w:val="000000" w:themeColor="text1"/>
          <w:szCs w:val="16"/>
          <w:lang w:val="es-ES"/>
        </w:rPr>
        <w:t>s Reguladoras</w:t>
      </w:r>
      <w:r w:rsidRPr="00A21F37">
        <w:rPr>
          <w:rFonts w:eastAsia="Times New Roman" w:cs="Times New Roman"/>
          <w:bCs/>
          <w:i/>
          <w:iCs/>
          <w:color w:val="000000" w:themeColor="text1"/>
          <w:szCs w:val="16"/>
          <w:lang w:val="es-ES"/>
        </w:rPr>
        <w:t xml:space="preserve"> 2026; 29(</w:t>
      </w:r>
      <w:r>
        <w:rPr>
          <w:rFonts w:eastAsia="Times New Roman" w:cs="Times New Roman"/>
          <w:bCs/>
          <w:i/>
          <w:iCs/>
          <w:color w:val="000000" w:themeColor="text1"/>
          <w:szCs w:val="16"/>
          <w:lang w:val="es-ES"/>
        </w:rPr>
        <w:t>3</w:t>
      </w:r>
      <w:r w:rsidRPr="00A21F37">
        <w:rPr>
          <w:rFonts w:eastAsia="Times New Roman" w:cs="Times New Roman"/>
          <w:bCs/>
          <w:i/>
          <w:iCs/>
          <w:color w:val="000000" w:themeColor="text1"/>
          <w:szCs w:val="16"/>
          <w:lang w:val="es-ES"/>
        </w:rPr>
        <w:t>)</w:t>
      </w:r>
    </w:p>
    <w:p w14:paraId="7E71CDCF" w14:textId="77777777" w:rsidR="00261692" w:rsidRPr="00CA0441" w:rsidRDefault="00261692" w:rsidP="00261692">
      <w:pPr>
        <w:rPr>
          <w:rFonts w:eastAsia="Times New Roman" w:cs="Times New Roman"/>
          <w:szCs w:val="20"/>
          <w:lang w:val="es-ES"/>
        </w:rPr>
      </w:pPr>
    </w:p>
    <w:p w14:paraId="5D96B8ED" w14:textId="77777777" w:rsidR="00421B71" w:rsidRDefault="00421B71" w:rsidP="00261692">
      <w:pPr>
        <w:spacing w:after="100" w:afterAutospacing="1"/>
        <w:contextualSpacing/>
        <w:rPr>
          <w:rFonts w:eastAsia="Times New Roman" w:cs="Times New Roman"/>
          <w:b/>
          <w:bCs/>
          <w:sz w:val="18"/>
          <w:szCs w:val="18"/>
          <w:lang w:val="es-ES"/>
        </w:rPr>
        <w:sectPr w:rsidR="00421B71" w:rsidSect="00F25512">
          <w:type w:val="continuous"/>
          <w:pgSz w:w="12240" w:h="15840" w:code="1"/>
          <w:pgMar w:top="720" w:right="720" w:bottom="720" w:left="720" w:header="288" w:footer="288" w:gutter="0"/>
          <w:cols w:space="288"/>
          <w:docGrid w:linePitch="360"/>
        </w:sectPr>
      </w:pPr>
    </w:p>
    <w:p w14:paraId="6EF17A34" w14:textId="32435EC0" w:rsidR="00261692" w:rsidRPr="00CA0441" w:rsidRDefault="00261692" w:rsidP="00261692">
      <w:pPr>
        <w:spacing w:after="100" w:afterAutospacing="1"/>
        <w:contextualSpacing/>
        <w:rPr>
          <w:rFonts w:eastAsia="Times New Roman" w:cs="Times New Roman"/>
          <w:b/>
          <w:bCs/>
          <w:color w:val="000000" w:themeColor="text1"/>
          <w:sz w:val="18"/>
          <w:szCs w:val="18"/>
          <w:lang w:val="es-ES"/>
        </w:rPr>
      </w:pPr>
      <w:r w:rsidRPr="00CA0441">
        <w:rPr>
          <w:rFonts w:eastAsia="Times New Roman" w:cs="Times New Roman"/>
          <w:b/>
          <w:bCs/>
          <w:sz w:val="18"/>
          <w:szCs w:val="18"/>
          <w:lang w:val="es-ES"/>
        </w:rPr>
        <w:t xml:space="preserve">Tags: </w:t>
      </w:r>
      <w:r w:rsidRPr="00CA0441">
        <w:rPr>
          <w:rFonts w:eastAsia="Times New Roman" w:cs="Times New Roman"/>
          <w:b/>
          <w:bCs/>
          <w:color w:val="212529"/>
          <w:sz w:val="18"/>
          <w:szCs w:val="18"/>
          <w:lang w:val="es-ES"/>
        </w:rPr>
        <w:t>restricciones sobre péptidos, sustancias farmacéuticas a granel, fórmulas magistrales</w:t>
      </w:r>
      <w:r>
        <w:rPr>
          <w:rFonts w:eastAsia="Times New Roman" w:cs="Times New Roman"/>
          <w:b/>
          <w:bCs/>
          <w:color w:val="212529"/>
          <w:sz w:val="18"/>
          <w:szCs w:val="18"/>
          <w:lang w:val="es-ES"/>
        </w:rPr>
        <w:t xml:space="preserve">, </w:t>
      </w:r>
      <w:r w:rsidRPr="00CA0441">
        <w:rPr>
          <w:rFonts w:eastAsia="Times New Roman" w:cs="Times New Roman"/>
          <w:b/>
          <w:bCs/>
          <w:color w:val="212529"/>
          <w:sz w:val="18"/>
          <w:szCs w:val="18"/>
          <w:lang w:val="es-ES"/>
        </w:rPr>
        <w:t>BPC-157, KPV, TB-500, MOTS-c, timosina beta-4</w:t>
      </w:r>
      <w:r>
        <w:rPr>
          <w:rFonts w:eastAsia="Times New Roman" w:cs="Times New Roman"/>
          <w:b/>
          <w:bCs/>
          <w:color w:val="212529"/>
          <w:sz w:val="18"/>
          <w:szCs w:val="18"/>
          <w:lang w:val="es-ES"/>
        </w:rPr>
        <w:t xml:space="preserve">, </w:t>
      </w:r>
      <w:proofErr w:type="spellStart"/>
      <w:r w:rsidRPr="00CA0441">
        <w:rPr>
          <w:rFonts w:eastAsia="Times New Roman" w:cs="Times New Roman"/>
          <w:b/>
          <w:bCs/>
          <w:color w:val="212529"/>
          <w:sz w:val="18"/>
          <w:szCs w:val="18"/>
          <w:lang w:val="es-ES"/>
        </w:rPr>
        <w:t>emideltida</w:t>
      </w:r>
      <w:proofErr w:type="spellEnd"/>
      <w:r w:rsidRPr="00CA0441">
        <w:rPr>
          <w:rFonts w:eastAsia="Times New Roman" w:cs="Times New Roman"/>
          <w:b/>
          <w:bCs/>
          <w:color w:val="212529"/>
          <w:sz w:val="18"/>
          <w:szCs w:val="18"/>
          <w:lang w:val="es-ES"/>
        </w:rPr>
        <w:t xml:space="preserve">, </w:t>
      </w:r>
      <w:proofErr w:type="spellStart"/>
      <w:r w:rsidRPr="00CA0441">
        <w:rPr>
          <w:rFonts w:eastAsia="Times New Roman" w:cs="Times New Roman"/>
          <w:b/>
          <w:bCs/>
          <w:color w:val="212529"/>
          <w:sz w:val="18"/>
          <w:szCs w:val="18"/>
          <w:lang w:val="es-ES"/>
        </w:rPr>
        <w:t>semax</w:t>
      </w:r>
      <w:proofErr w:type="spellEnd"/>
      <w:r w:rsidRPr="00CA0441">
        <w:rPr>
          <w:rFonts w:eastAsia="Times New Roman" w:cs="Times New Roman"/>
          <w:b/>
          <w:bCs/>
          <w:color w:val="212529"/>
          <w:sz w:val="18"/>
          <w:szCs w:val="18"/>
          <w:lang w:val="es-ES"/>
        </w:rPr>
        <w:t xml:space="preserve">, </w:t>
      </w:r>
      <w:proofErr w:type="spellStart"/>
      <w:r w:rsidRPr="00CA0441">
        <w:rPr>
          <w:rFonts w:eastAsia="Times New Roman" w:cs="Times New Roman"/>
          <w:b/>
          <w:bCs/>
          <w:color w:val="212529"/>
          <w:sz w:val="18"/>
          <w:szCs w:val="18"/>
          <w:lang w:val="es-ES"/>
        </w:rPr>
        <w:t>epitalón</w:t>
      </w:r>
      <w:proofErr w:type="spellEnd"/>
      <w:r w:rsidRPr="00CA0441">
        <w:rPr>
          <w:rFonts w:eastAsia="Times New Roman" w:cs="Times New Roman"/>
          <w:b/>
          <w:bCs/>
          <w:color w:val="212529"/>
          <w:sz w:val="18"/>
          <w:szCs w:val="18"/>
          <w:lang w:val="es-ES"/>
        </w:rPr>
        <w:t xml:space="preserve">, </w:t>
      </w:r>
      <w:proofErr w:type="spellStart"/>
      <w:r w:rsidRPr="00CA0441">
        <w:rPr>
          <w:rFonts w:eastAsia="Times New Roman" w:cs="Times New Roman"/>
          <w:b/>
          <w:bCs/>
          <w:color w:val="212529"/>
          <w:sz w:val="18"/>
          <w:szCs w:val="18"/>
          <w:lang w:val="es-ES"/>
        </w:rPr>
        <w:t>catelicidina</w:t>
      </w:r>
      <w:proofErr w:type="spellEnd"/>
      <w:r w:rsidRPr="00CA0441">
        <w:rPr>
          <w:rFonts w:eastAsia="Times New Roman" w:cs="Times New Roman"/>
          <w:b/>
          <w:bCs/>
          <w:color w:val="212529"/>
          <w:sz w:val="18"/>
          <w:szCs w:val="18"/>
          <w:lang w:val="es-ES"/>
        </w:rPr>
        <w:t xml:space="preserve">, LL-37, GHK-Cu, acetato de </w:t>
      </w:r>
      <w:proofErr w:type="spellStart"/>
      <w:r w:rsidRPr="00CA0441">
        <w:rPr>
          <w:rFonts w:eastAsia="Times New Roman" w:cs="Times New Roman"/>
          <w:b/>
          <w:bCs/>
          <w:color w:val="212529"/>
          <w:sz w:val="18"/>
          <w:szCs w:val="18"/>
          <w:lang w:val="es-ES"/>
        </w:rPr>
        <w:t>dihexa</w:t>
      </w:r>
      <w:proofErr w:type="spellEnd"/>
      <w:r w:rsidRPr="00CA0441">
        <w:rPr>
          <w:rFonts w:eastAsia="Times New Roman" w:cs="Times New Roman"/>
          <w:b/>
          <w:bCs/>
          <w:color w:val="212529"/>
          <w:sz w:val="18"/>
          <w:szCs w:val="18"/>
          <w:lang w:val="es-ES"/>
        </w:rPr>
        <w:t xml:space="preserve">, </w:t>
      </w:r>
      <w:proofErr w:type="spellStart"/>
      <w:r w:rsidRPr="00CA0441">
        <w:rPr>
          <w:rFonts w:eastAsia="Times New Roman" w:cs="Times New Roman"/>
          <w:b/>
          <w:bCs/>
          <w:color w:val="212529"/>
          <w:sz w:val="18"/>
          <w:szCs w:val="18"/>
          <w:lang w:val="es-ES"/>
        </w:rPr>
        <w:t>Melanotan</w:t>
      </w:r>
      <w:proofErr w:type="spellEnd"/>
      <w:r w:rsidRPr="00CA0441">
        <w:rPr>
          <w:rFonts w:eastAsia="Times New Roman" w:cs="Times New Roman"/>
          <w:b/>
          <w:bCs/>
          <w:color w:val="212529"/>
          <w:sz w:val="18"/>
          <w:szCs w:val="18"/>
          <w:lang w:val="es-ES"/>
        </w:rPr>
        <w:t xml:space="preserve"> II, factor de crecimiento </w:t>
      </w:r>
      <w:proofErr w:type="spellStart"/>
      <w:r w:rsidRPr="00CA0441">
        <w:rPr>
          <w:rFonts w:eastAsia="Times New Roman" w:cs="Times New Roman"/>
          <w:b/>
          <w:bCs/>
          <w:color w:val="212529"/>
          <w:sz w:val="18"/>
          <w:szCs w:val="18"/>
          <w:lang w:val="es-ES"/>
        </w:rPr>
        <w:t>mechano</w:t>
      </w:r>
      <w:proofErr w:type="spellEnd"/>
    </w:p>
    <w:p w14:paraId="40EA0E68" w14:textId="77777777" w:rsidR="00261692" w:rsidRPr="00CA0441" w:rsidRDefault="00261692" w:rsidP="00261692">
      <w:pPr>
        <w:spacing w:after="100" w:afterAutospacing="1"/>
        <w:contextualSpacing/>
        <w:rPr>
          <w:rFonts w:eastAsia="Times New Roman" w:cs="Times New Roman"/>
          <w:color w:val="000000" w:themeColor="text1"/>
          <w:szCs w:val="20"/>
          <w:lang w:val="es-ES"/>
        </w:rPr>
      </w:pPr>
    </w:p>
    <w:p w14:paraId="6E378CD0" w14:textId="77777777" w:rsidR="00261692" w:rsidRPr="00CA0441" w:rsidRDefault="00261692" w:rsidP="00261692">
      <w:pPr>
        <w:spacing w:after="100" w:afterAutospacing="1"/>
        <w:contextualSpacing/>
        <w:rPr>
          <w:rFonts w:eastAsia="Times New Roman" w:cs="Times New Roman"/>
          <w:color w:val="0D0D0D" w:themeColor="text1" w:themeTint="F2"/>
          <w:szCs w:val="20"/>
          <w:lang w:val="es-ES"/>
        </w:rPr>
      </w:pPr>
      <w:r w:rsidRPr="00CA0441">
        <w:rPr>
          <w:rFonts w:eastAsia="Times New Roman" w:cs="Times New Roman"/>
          <w:color w:val="0D0D0D" w:themeColor="text1" w:themeTint="F2"/>
          <w:szCs w:val="20"/>
          <w:lang w:val="es-ES"/>
        </w:rPr>
        <w:t xml:space="preserve">Una versión de este artículo se publicó en el número de mayo de 2026, de la revista </w:t>
      </w:r>
      <w:proofErr w:type="spellStart"/>
      <w:r w:rsidRPr="00CA0441">
        <w:rPr>
          <w:rFonts w:eastAsia="Times New Roman" w:cs="Times New Roman"/>
          <w:i/>
          <w:iCs/>
          <w:color w:val="0D0D0D" w:themeColor="text1" w:themeTint="F2"/>
          <w:szCs w:val="20"/>
          <w:lang w:val="es-ES"/>
        </w:rPr>
        <w:t>Health</w:t>
      </w:r>
      <w:proofErr w:type="spellEnd"/>
      <w:r w:rsidRPr="00CA0441">
        <w:rPr>
          <w:rFonts w:eastAsia="Times New Roman" w:cs="Times New Roman"/>
          <w:i/>
          <w:iCs/>
          <w:color w:val="0D0D0D" w:themeColor="text1" w:themeTint="F2"/>
          <w:szCs w:val="20"/>
          <w:lang w:val="es-ES"/>
        </w:rPr>
        <w:t xml:space="preserve"> </w:t>
      </w:r>
      <w:proofErr w:type="spellStart"/>
      <w:r w:rsidRPr="00CA0441">
        <w:rPr>
          <w:rFonts w:eastAsia="Times New Roman" w:cs="Times New Roman"/>
          <w:i/>
          <w:iCs/>
          <w:color w:val="0D0D0D" w:themeColor="text1" w:themeTint="F2"/>
          <w:szCs w:val="20"/>
          <w:lang w:val="es-ES"/>
        </w:rPr>
        <w:t>Letter</w:t>
      </w:r>
      <w:proofErr w:type="spellEnd"/>
      <w:r w:rsidRPr="00CA0441">
        <w:rPr>
          <w:rFonts w:eastAsia="Times New Roman" w:cs="Times New Roman"/>
          <w:color w:val="0D0D0D" w:themeColor="text1" w:themeTint="F2"/>
          <w:szCs w:val="20"/>
          <w:lang w:val="es-ES"/>
        </w:rPr>
        <w:t xml:space="preserve"> de </w:t>
      </w:r>
      <w:proofErr w:type="spellStart"/>
      <w:r w:rsidRPr="00CA0441">
        <w:rPr>
          <w:rFonts w:eastAsia="Times New Roman" w:cs="Times New Roman"/>
          <w:color w:val="0D0D0D" w:themeColor="text1" w:themeTint="F2"/>
          <w:szCs w:val="20"/>
          <w:lang w:val="es-ES"/>
        </w:rPr>
        <w:t>Public</w:t>
      </w:r>
      <w:proofErr w:type="spellEnd"/>
      <w:r w:rsidRPr="00CA0441">
        <w:rPr>
          <w:rFonts w:eastAsia="Times New Roman" w:cs="Times New Roman"/>
          <w:color w:val="0D0D0D" w:themeColor="text1" w:themeTint="F2"/>
          <w:szCs w:val="20"/>
          <w:lang w:val="es-ES"/>
        </w:rPr>
        <w:t xml:space="preserve"> </w:t>
      </w:r>
      <w:proofErr w:type="spellStart"/>
      <w:r w:rsidRPr="00CA0441">
        <w:rPr>
          <w:rFonts w:eastAsia="Times New Roman" w:cs="Times New Roman"/>
          <w:color w:val="0D0D0D" w:themeColor="text1" w:themeTint="F2"/>
          <w:szCs w:val="20"/>
          <w:lang w:val="es-ES"/>
        </w:rPr>
        <w:t>Citizen</w:t>
      </w:r>
      <w:proofErr w:type="spellEnd"/>
      <w:r w:rsidRPr="00CA0441">
        <w:rPr>
          <w:rFonts w:eastAsia="Times New Roman" w:cs="Times New Roman"/>
          <w:color w:val="0D0D0D" w:themeColor="text1" w:themeTint="F2"/>
          <w:szCs w:val="20"/>
          <w:lang w:val="es-ES"/>
        </w:rPr>
        <w:t>.</w:t>
      </w:r>
    </w:p>
    <w:p w14:paraId="6421EA04" w14:textId="77777777" w:rsidR="00261692" w:rsidRPr="00CA0441" w:rsidRDefault="00261692" w:rsidP="00261692">
      <w:pPr>
        <w:spacing w:after="100" w:afterAutospacing="1"/>
        <w:contextualSpacing/>
        <w:rPr>
          <w:rFonts w:eastAsia="Times New Roman" w:cs="Times New Roman"/>
          <w:color w:val="0D0D0D" w:themeColor="text1" w:themeTint="F2"/>
          <w:szCs w:val="20"/>
          <w:lang w:val="es-ES"/>
        </w:rPr>
      </w:pPr>
    </w:p>
    <w:p w14:paraId="041B8F5F" w14:textId="77777777" w:rsidR="00261692" w:rsidRPr="00CA0441" w:rsidRDefault="00261692" w:rsidP="00261692">
      <w:pPr>
        <w:spacing w:after="100" w:afterAutospacing="1"/>
        <w:contextualSpacing/>
        <w:rPr>
          <w:rFonts w:eastAsia="Times New Roman" w:cs="Times New Roman"/>
          <w:color w:val="0D0D0D" w:themeColor="text1" w:themeTint="F2"/>
          <w:szCs w:val="20"/>
          <w:lang w:val="es-ES"/>
        </w:rPr>
      </w:pPr>
      <w:r w:rsidRPr="00CA0441">
        <w:rPr>
          <w:rFonts w:eastAsia="Times New Roman" w:cs="Times New Roman"/>
          <w:color w:val="0D0D0D" w:themeColor="text1" w:themeTint="F2"/>
          <w:szCs w:val="20"/>
          <w:lang w:val="es-ES"/>
        </w:rPr>
        <w:t>La FDA celebrará una reunión pública del Comité Asesor para la Producción de Medicamentos Magistrales el 23 y 24 de julio de 2026 para debatir la flexibilización de las restricciones sobre siete péptidos que la agencia eliminó hace tres años de una lista de sustancias farmacéuticas a granel, que pueden utilizar las farmacias que elaboran fórmulas magistrales [1]. En una reunión posterior, el comité considerará la posibilidad de ampliar el acceso a otros cinco péptidos que también fueron prohibidos en 2023 [2].</w:t>
      </w:r>
    </w:p>
    <w:p w14:paraId="3057E2EA" w14:textId="77777777" w:rsidR="00261692" w:rsidRPr="00CA0441" w:rsidRDefault="00261692" w:rsidP="00261692">
      <w:pPr>
        <w:spacing w:after="100" w:afterAutospacing="1"/>
        <w:contextualSpacing/>
        <w:rPr>
          <w:rFonts w:eastAsia="Times New Roman" w:cs="Times New Roman"/>
          <w:color w:val="0D0D0D" w:themeColor="text1" w:themeTint="F2"/>
          <w:szCs w:val="20"/>
          <w:lang w:val="es-ES"/>
        </w:rPr>
      </w:pPr>
      <w:r w:rsidRPr="00CA0441">
        <w:rPr>
          <w:rFonts w:eastAsia="Times New Roman" w:cs="Times New Roman"/>
          <w:color w:val="212529"/>
          <w:szCs w:val="20"/>
          <w:lang w:val="es-ES"/>
        </w:rPr>
        <w:br/>
      </w:r>
      <w:r w:rsidRPr="00CA0441">
        <w:rPr>
          <w:rFonts w:eastAsia="Times New Roman" w:cs="Times New Roman"/>
          <w:color w:val="0D0D0D" w:themeColor="text1" w:themeTint="F2"/>
          <w:szCs w:val="20"/>
          <w:lang w:val="es-ES"/>
        </w:rPr>
        <w:t xml:space="preserve">Los péptidos son uno de los productos favoritos del secretario de Salud y Servicios Humanos (HHS o </w:t>
      </w:r>
      <w:proofErr w:type="spellStart"/>
      <w:r w:rsidRPr="006C6517">
        <w:rPr>
          <w:rFonts w:eastAsia="Times New Roman" w:cs="Times New Roman"/>
          <w:i/>
          <w:iCs/>
          <w:color w:val="0D0D0D" w:themeColor="text1" w:themeTint="F2"/>
          <w:szCs w:val="20"/>
          <w:lang w:val="es-ES"/>
        </w:rPr>
        <w:t>Health</w:t>
      </w:r>
      <w:proofErr w:type="spellEnd"/>
      <w:r w:rsidRPr="006C6517">
        <w:rPr>
          <w:rFonts w:eastAsia="Times New Roman" w:cs="Times New Roman"/>
          <w:i/>
          <w:iCs/>
          <w:color w:val="0D0D0D" w:themeColor="text1" w:themeTint="F2"/>
          <w:szCs w:val="20"/>
          <w:lang w:val="es-ES"/>
        </w:rPr>
        <w:t xml:space="preserve"> and Human </w:t>
      </w:r>
      <w:proofErr w:type="spellStart"/>
      <w:r w:rsidRPr="006C6517">
        <w:rPr>
          <w:rFonts w:eastAsia="Times New Roman" w:cs="Times New Roman"/>
          <w:i/>
          <w:iCs/>
          <w:color w:val="0D0D0D" w:themeColor="text1" w:themeTint="F2"/>
          <w:szCs w:val="20"/>
          <w:lang w:val="es-ES"/>
        </w:rPr>
        <w:t>Services</w:t>
      </w:r>
      <w:proofErr w:type="spellEnd"/>
      <w:r w:rsidRPr="00CA0441">
        <w:rPr>
          <w:rFonts w:eastAsia="Times New Roman" w:cs="Times New Roman"/>
          <w:color w:val="0D0D0D" w:themeColor="text1" w:themeTint="F2"/>
          <w:szCs w:val="20"/>
          <w:lang w:val="es-ES"/>
        </w:rPr>
        <w:t xml:space="preserve">), Robert F. Kennedy Jr., quien los ha utilizado para tratar sus propias lesiones [3]. También cuentan con el respaldo de muchas personas influyentes en el ámbito de la salud y el bienestar. Se trata de cadenas cortas de aminoácidos que se suelen administrar mediante inyección (subcutánea o intravenosa). </w:t>
      </w:r>
    </w:p>
    <w:p w14:paraId="36A8F5B6" w14:textId="77777777" w:rsidR="00261692" w:rsidRPr="00CA0441" w:rsidRDefault="00261692" w:rsidP="00261692">
      <w:pPr>
        <w:spacing w:after="100" w:afterAutospacing="1"/>
        <w:contextualSpacing/>
        <w:rPr>
          <w:rFonts w:eastAsia="Times New Roman" w:cs="Times New Roman"/>
          <w:color w:val="0D0D0D" w:themeColor="text1" w:themeTint="F2"/>
          <w:szCs w:val="20"/>
          <w:lang w:val="es-ES"/>
        </w:rPr>
      </w:pPr>
    </w:p>
    <w:p w14:paraId="0AE724A2" w14:textId="77777777" w:rsidR="00261692" w:rsidRPr="00CA0441" w:rsidRDefault="00261692" w:rsidP="00261692">
      <w:pPr>
        <w:spacing w:after="100" w:afterAutospacing="1"/>
        <w:contextualSpacing/>
        <w:rPr>
          <w:rFonts w:eastAsia="Times New Roman" w:cs="Times New Roman"/>
          <w:color w:val="0D0D0D" w:themeColor="text1" w:themeTint="F2"/>
          <w:szCs w:val="20"/>
          <w:lang w:val="es-ES"/>
        </w:rPr>
      </w:pPr>
      <w:r w:rsidRPr="00CA0441">
        <w:rPr>
          <w:rFonts w:eastAsia="Times New Roman" w:cs="Times New Roman"/>
          <w:color w:val="0D0D0D" w:themeColor="text1" w:themeTint="F2"/>
          <w:szCs w:val="20"/>
          <w:lang w:val="es-ES"/>
        </w:rPr>
        <w:t>Dado que la presión para ampliar el acceso a los péptidos proviene directamente del secretario del HHS, la FDA tendrá que decidir si defiende la ciencia o cede a los deseos de Kennedy. No hay ninguna razón aceptable para pensar que los péptidos, que en 2023 se consideraban inseguros o de eficacia insuficiente, sean ahora milagrosamente seguros y eficaces. Si en los últimos años hubieran surgido datos convincentes sobre la seguridad y la eficacia de cualquiera de los 12 péptidos, dichos hallazgos ya serían de dominio público.</w:t>
      </w:r>
    </w:p>
    <w:p w14:paraId="60750256" w14:textId="77777777" w:rsidR="00261692" w:rsidRPr="00CA0441" w:rsidRDefault="00261692" w:rsidP="00261692">
      <w:pPr>
        <w:spacing w:after="100" w:afterAutospacing="1"/>
        <w:contextualSpacing/>
        <w:rPr>
          <w:rFonts w:eastAsia="Times New Roman" w:cs="Times New Roman"/>
          <w:color w:val="0D0D0D" w:themeColor="text1" w:themeTint="F2"/>
          <w:szCs w:val="20"/>
          <w:lang w:val="es-ES"/>
        </w:rPr>
      </w:pPr>
      <w:r w:rsidRPr="00CA0441">
        <w:rPr>
          <w:rFonts w:eastAsia="Times New Roman" w:cs="Times New Roman"/>
          <w:color w:val="0D0D0D" w:themeColor="text1" w:themeTint="F2"/>
          <w:szCs w:val="20"/>
          <w:lang w:val="es-ES"/>
        </w:rPr>
        <w:br/>
        <w:t>Los péptidos no autorizados se utilizan para la cicatrización de heridas, la inflamación, el insomnio y muchos otros fines [4]. Algunos están autorizados como medicamentos, tras investigaciones clínicas, incluyendo la insulina y los agonistas del péptido similar al glucagón tipo 1 (GLP-1), que se utilizan con frecuencia para la diabetes tipo 2 y el control del peso. Sin embargo, la FDA ha constatado anteriormente que los péptidos no autorizados carecen de eficacia demostrada, no son seguros, o ambas cosas, y con frecuencia están contaminados con otras sustancias [5].</w:t>
      </w:r>
    </w:p>
    <w:p w14:paraId="03E792E2" w14:textId="77777777" w:rsidR="00261692" w:rsidRPr="00CA0441" w:rsidRDefault="00261692" w:rsidP="00261692">
      <w:pPr>
        <w:spacing w:after="100" w:afterAutospacing="1"/>
        <w:contextualSpacing/>
        <w:rPr>
          <w:rFonts w:eastAsia="Times New Roman" w:cs="Times New Roman"/>
          <w:color w:val="0D0D0D" w:themeColor="text1" w:themeTint="F2"/>
          <w:szCs w:val="20"/>
          <w:lang w:val="es-ES"/>
        </w:rPr>
      </w:pPr>
      <w:r w:rsidRPr="00CA0441">
        <w:rPr>
          <w:rFonts w:eastAsia="Times New Roman" w:cs="Times New Roman"/>
          <w:color w:val="0D0D0D" w:themeColor="text1" w:themeTint="F2"/>
          <w:szCs w:val="20"/>
          <w:lang w:val="es-ES"/>
        </w:rPr>
        <w:br/>
        <w:t xml:space="preserve">Cuando la FDA prohibió la formulación de muchos péptidos en 2023, mencionó los riesgos relacionados con las reacciones inmunitarias (inmunogenicidad) para determinadas vías de administración, las impurezas y la falta de "información </w:t>
      </w:r>
      <w:r w:rsidRPr="00CA0441">
        <w:rPr>
          <w:rFonts w:eastAsia="Times New Roman" w:cs="Times New Roman"/>
          <w:color w:val="0D0D0D" w:themeColor="text1" w:themeTint="F2"/>
          <w:szCs w:val="20"/>
          <w:lang w:val="es-ES"/>
        </w:rPr>
        <w:t xml:space="preserve">suficiente para saber si el medicamento causaría daños al administrarse a seres humanos" [6]. </w:t>
      </w:r>
    </w:p>
    <w:p w14:paraId="65FAA252" w14:textId="77777777" w:rsidR="00261692" w:rsidRPr="00CA0441" w:rsidRDefault="00261692" w:rsidP="00261692">
      <w:pPr>
        <w:spacing w:after="100" w:afterAutospacing="1"/>
        <w:contextualSpacing/>
        <w:rPr>
          <w:rFonts w:eastAsia="Times New Roman" w:cs="Times New Roman"/>
          <w:color w:val="0D0D0D" w:themeColor="text1" w:themeTint="F2"/>
          <w:szCs w:val="20"/>
          <w:lang w:val="es-ES"/>
        </w:rPr>
      </w:pPr>
    </w:p>
    <w:p w14:paraId="5B3202CC" w14:textId="77777777" w:rsidR="00261692" w:rsidRPr="00CA0441" w:rsidRDefault="00261692" w:rsidP="00261692">
      <w:pPr>
        <w:spacing w:after="100" w:afterAutospacing="1"/>
        <w:contextualSpacing/>
        <w:rPr>
          <w:rFonts w:eastAsia="Times New Roman" w:cs="Times New Roman"/>
          <w:color w:val="0D0D0D" w:themeColor="text1" w:themeTint="F2"/>
          <w:szCs w:val="20"/>
          <w:lang w:val="es-ES"/>
        </w:rPr>
      </w:pPr>
      <w:r w:rsidRPr="00CA0441">
        <w:rPr>
          <w:rFonts w:eastAsia="Times New Roman" w:cs="Times New Roman"/>
          <w:color w:val="0D0D0D" w:themeColor="text1" w:themeTint="F2"/>
          <w:szCs w:val="20"/>
          <w:lang w:val="es-ES"/>
        </w:rPr>
        <w:t>En el caso de un péptido, el KPV, la FDA afirmó que "no había identificado ningún dato sobre la exposición de humanos a medicamentos que contengan KPV administrados por cualquier vía" [7].</w:t>
      </w:r>
    </w:p>
    <w:p w14:paraId="28A2323D" w14:textId="77777777" w:rsidR="00261692" w:rsidRPr="00CA0441" w:rsidRDefault="00261692" w:rsidP="00261692">
      <w:pPr>
        <w:spacing w:after="100" w:afterAutospacing="1"/>
        <w:contextualSpacing/>
        <w:rPr>
          <w:rFonts w:eastAsia="Times New Roman" w:cs="Times New Roman"/>
          <w:color w:val="0D0D0D" w:themeColor="text1" w:themeTint="F2"/>
          <w:szCs w:val="20"/>
          <w:lang w:val="es-ES"/>
        </w:rPr>
      </w:pPr>
    </w:p>
    <w:p w14:paraId="716E17BD" w14:textId="77777777" w:rsidR="00261692" w:rsidRPr="00CA0441" w:rsidRDefault="00261692" w:rsidP="00261692">
      <w:pPr>
        <w:spacing w:after="100" w:afterAutospacing="1"/>
        <w:contextualSpacing/>
        <w:rPr>
          <w:rFonts w:eastAsia="Times New Roman" w:cs="Times New Roman"/>
          <w:color w:val="0D0D0D" w:themeColor="text1" w:themeTint="F2"/>
          <w:szCs w:val="20"/>
          <w:lang w:val="es-ES"/>
        </w:rPr>
      </w:pPr>
      <w:r w:rsidRPr="00CA0441">
        <w:rPr>
          <w:rFonts w:eastAsia="Times New Roman" w:cs="Times New Roman"/>
          <w:color w:val="0D0D0D" w:themeColor="text1" w:themeTint="F2"/>
          <w:szCs w:val="20"/>
          <w:lang w:val="es-ES"/>
        </w:rPr>
        <w:t>El 23 de julio, el comité debatirá sobre las sustancias farmacéuticas a granel relacionadas con el BPC-157, el KPV, el TB-500 y el MOTS-c [8]. La FDA ha evaluado estas sustancias para el tratamiento de la colitis ulcerativa (BPC-157), la cicatrización de heridas (TB-500), las afecciones inflamatorias (KPV) y la obesidad y la osteoporosis (MOTS-c). El TB-500 es una versión sintética de un fragmento proteico conocido como timosina beta-4, y ambas sustancias se utilizan de forma intercambiable.</w:t>
      </w:r>
    </w:p>
    <w:p w14:paraId="279195BD" w14:textId="77777777" w:rsidR="00261692" w:rsidRPr="00CA0441" w:rsidRDefault="00261692" w:rsidP="00261692">
      <w:pPr>
        <w:spacing w:after="100" w:afterAutospacing="1"/>
        <w:contextualSpacing/>
        <w:rPr>
          <w:rFonts w:eastAsia="Times New Roman" w:cs="Times New Roman"/>
          <w:color w:val="0D0D0D" w:themeColor="text1" w:themeTint="F2"/>
          <w:szCs w:val="20"/>
          <w:lang w:val="es-ES"/>
        </w:rPr>
      </w:pPr>
      <w:r w:rsidRPr="00CA0441">
        <w:rPr>
          <w:rFonts w:eastAsia="Times New Roman" w:cs="Times New Roman"/>
          <w:color w:val="0D0D0D" w:themeColor="text1" w:themeTint="F2"/>
          <w:szCs w:val="20"/>
          <w:lang w:val="es-ES"/>
        </w:rPr>
        <w:br/>
        <w:t xml:space="preserve">El 24 de julio, el comité debatirá sobre la </w:t>
      </w:r>
      <w:proofErr w:type="spellStart"/>
      <w:r w:rsidRPr="00CA0441">
        <w:rPr>
          <w:rFonts w:eastAsia="Times New Roman" w:cs="Times New Roman"/>
          <w:color w:val="0D0D0D" w:themeColor="text1" w:themeTint="F2"/>
          <w:szCs w:val="20"/>
          <w:lang w:val="es-ES"/>
        </w:rPr>
        <w:t>emideltida</w:t>
      </w:r>
      <w:proofErr w:type="spellEnd"/>
      <w:r w:rsidRPr="00CA0441">
        <w:rPr>
          <w:rFonts w:eastAsia="Times New Roman" w:cs="Times New Roman"/>
          <w:color w:val="0D0D0D" w:themeColor="text1" w:themeTint="F2"/>
          <w:szCs w:val="20"/>
          <w:lang w:val="es-ES"/>
        </w:rPr>
        <w:t xml:space="preserve">, el </w:t>
      </w:r>
      <w:proofErr w:type="spellStart"/>
      <w:r w:rsidRPr="00CA0441">
        <w:rPr>
          <w:rFonts w:eastAsia="Times New Roman" w:cs="Times New Roman"/>
          <w:color w:val="0D0D0D" w:themeColor="text1" w:themeTint="F2"/>
          <w:szCs w:val="20"/>
          <w:lang w:val="es-ES"/>
        </w:rPr>
        <w:t>semax</w:t>
      </w:r>
      <w:proofErr w:type="spellEnd"/>
      <w:r w:rsidRPr="00CA0441">
        <w:rPr>
          <w:rFonts w:eastAsia="Times New Roman" w:cs="Times New Roman"/>
          <w:color w:val="0D0D0D" w:themeColor="text1" w:themeTint="F2"/>
          <w:szCs w:val="20"/>
          <w:lang w:val="es-ES"/>
        </w:rPr>
        <w:t xml:space="preserve"> y el </w:t>
      </w:r>
      <w:proofErr w:type="spellStart"/>
      <w:r w:rsidRPr="00CA0441">
        <w:rPr>
          <w:rFonts w:eastAsia="Times New Roman" w:cs="Times New Roman"/>
          <w:color w:val="0D0D0D" w:themeColor="text1" w:themeTint="F2"/>
          <w:szCs w:val="20"/>
          <w:lang w:val="es-ES"/>
        </w:rPr>
        <w:t>epitalón</w:t>
      </w:r>
      <w:proofErr w:type="spellEnd"/>
      <w:r w:rsidRPr="00CA0441">
        <w:rPr>
          <w:rFonts w:eastAsia="Times New Roman" w:cs="Times New Roman"/>
          <w:color w:val="0D0D0D" w:themeColor="text1" w:themeTint="F2"/>
          <w:szCs w:val="20"/>
          <w:lang w:val="es-ES"/>
        </w:rPr>
        <w:t xml:space="preserve"> [9]. La FDA ha evaluado estas sustancias farmacológicas para el síndrome de abstinencia a los opioides, el insomnio crónico y la narcolepsia (</w:t>
      </w:r>
      <w:proofErr w:type="spellStart"/>
      <w:r w:rsidRPr="00CA0441">
        <w:rPr>
          <w:rFonts w:eastAsia="Times New Roman" w:cs="Times New Roman"/>
          <w:color w:val="0D0D0D" w:themeColor="text1" w:themeTint="F2"/>
          <w:szCs w:val="20"/>
          <w:lang w:val="es-ES"/>
        </w:rPr>
        <w:t>emideltida</w:t>
      </w:r>
      <w:proofErr w:type="spellEnd"/>
      <w:r w:rsidRPr="00CA0441">
        <w:rPr>
          <w:rFonts w:eastAsia="Times New Roman" w:cs="Times New Roman"/>
          <w:color w:val="0D0D0D" w:themeColor="text1" w:themeTint="F2"/>
          <w:szCs w:val="20"/>
          <w:lang w:val="es-ES"/>
        </w:rPr>
        <w:t>); la isquemia cerebral, la migraña y la neuralgia del trigémino (</w:t>
      </w:r>
      <w:proofErr w:type="spellStart"/>
      <w:r w:rsidRPr="00CA0441">
        <w:rPr>
          <w:rFonts w:eastAsia="Times New Roman" w:cs="Times New Roman"/>
          <w:color w:val="0D0D0D" w:themeColor="text1" w:themeTint="F2"/>
          <w:szCs w:val="20"/>
          <w:lang w:val="es-ES"/>
        </w:rPr>
        <w:t>semax</w:t>
      </w:r>
      <w:proofErr w:type="spellEnd"/>
      <w:r w:rsidRPr="00CA0441">
        <w:rPr>
          <w:rFonts w:eastAsia="Times New Roman" w:cs="Times New Roman"/>
          <w:color w:val="0D0D0D" w:themeColor="text1" w:themeTint="F2"/>
          <w:szCs w:val="20"/>
          <w:lang w:val="es-ES"/>
        </w:rPr>
        <w:t>); y el insomnio (</w:t>
      </w:r>
      <w:proofErr w:type="spellStart"/>
      <w:r w:rsidRPr="00CA0441">
        <w:rPr>
          <w:rFonts w:eastAsia="Times New Roman" w:cs="Times New Roman"/>
          <w:color w:val="0D0D0D" w:themeColor="text1" w:themeTint="F2"/>
          <w:szCs w:val="20"/>
          <w:lang w:val="es-ES"/>
        </w:rPr>
        <w:t>epitalón</w:t>
      </w:r>
      <w:proofErr w:type="spellEnd"/>
      <w:r w:rsidRPr="00CA0441">
        <w:rPr>
          <w:rFonts w:eastAsia="Times New Roman" w:cs="Times New Roman"/>
          <w:color w:val="0D0D0D" w:themeColor="text1" w:themeTint="F2"/>
          <w:szCs w:val="20"/>
          <w:lang w:val="es-ES"/>
        </w:rPr>
        <w:t>).</w:t>
      </w:r>
    </w:p>
    <w:p w14:paraId="172A32AD" w14:textId="77777777" w:rsidR="00261692" w:rsidRPr="00CA0441" w:rsidRDefault="00261692" w:rsidP="00261692">
      <w:pPr>
        <w:spacing w:after="100" w:afterAutospacing="1"/>
        <w:contextualSpacing/>
        <w:rPr>
          <w:rFonts w:eastAsia="Times New Roman" w:cs="Times New Roman"/>
          <w:color w:val="0D0D0D" w:themeColor="text1" w:themeTint="F2"/>
          <w:szCs w:val="20"/>
          <w:lang w:val="es-ES"/>
        </w:rPr>
      </w:pPr>
      <w:r w:rsidRPr="00CA0441">
        <w:rPr>
          <w:rFonts w:eastAsia="Times New Roman" w:cs="Times New Roman"/>
          <w:color w:val="0D0D0D" w:themeColor="text1" w:themeTint="F2"/>
          <w:szCs w:val="20"/>
          <w:lang w:val="es-ES"/>
        </w:rPr>
        <w:br/>
        <w:t xml:space="preserve">En una reunión posterior, que se celebrará antes de finales de febrero de 2027, el comité debatirá sobre la </w:t>
      </w:r>
      <w:proofErr w:type="spellStart"/>
      <w:r w:rsidRPr="00CA0441">
        <w:rPr>
          <w:rFonts w:eastAsia="Times New Roman" w:cs="Times New Roman"/>
          <w:color w:val="0D0D0D" w:themeColor="text1" w:themeTint="F2"/>
          <w:szCs w:val="20"/>
          <w:lang w:val="es-ES"/>
        </w:rPr>
        <w:t>catelicidina</w:t>
      </w:r>
      <w:proofErr w:type="spellEnd"/>
      <w:r w:rsidRPr="00CA0441">
        <w:rPr>
          <w:rFonts w:eastAsia="Times New Roman" w:cs="Times New Roman"/>
          <w:color w:val="0D0D0D" w:themeColor="text1" w:themeTint="F2"/>
          <w:szCs w:val="20"/>
          <w:lang w:val="es-ES"/>
        </w:rPr>
        <w:t xml:space="preserve"> (LL-37), el GHK-Cu, el acetato de </w:t>
      </w:r>
      <w:proofErr w:type="spellStart"/>
      <w:r w:rsidRPr="00CA0441">
        <w:rPr>
          <w:rFonts w:eastAsia="Times New Roman" w:cs="Times New Roman"/>
          <w:color w:val="0D0D0D" w:themeColor="text1" w:themeTint="F2"/>
          <w:szCs w:val="20"/>
          <w:lang w:val="es-ES"/>
        </w:rPr>
        <w:t>dihexa</w:t>
      </w:r>
      <w:proofErr w:type="spellEnd"/>
      <w:r w:rsidRPr="00CA0441">
        <w:rPr>
          <w:rFonts w:eastAsia="Times New Roman" w:cs="Times New Roman"/>
          <w:color w:val="0D0D0D" w:themeColor="text1" w:themeTint="F2"/>
          <w:szCs w:val="20"/>
          <w:lang w:val="es-ES"/>
        </w:rPr>
        <w:t xml:space="preserve">, el </w:t>
      </w:r>
      <w:proofErr w:type="spellStart"/>
      <w:r w:rsidRPr="00CA0441">
        <w:rPr>
          <w:rFonts w:eastAsia="Times New Roman" w:cs="Times New Roman"/>
          <w:color w:val="0D0D0D" w:themeColor="text1" w:themeTint="F2"/>
          <w:szCs w:val="20"/>
          <w:lang w:val="es-ES"/>
        </w:rPr>
        <w:t>Melanotan</w:t>
      </w:r>
      <w:proofErr w:type="spellEnd"/>
      <w:r w:rsidRPr="00CA0441">
        <w:rPr>
          <w:rFonts w:eastAsia="Times New Roman" w:cs="Times New Roman"/>
          <w:color w:val="0D0D0D" w:themeColor="text1" w:themeTint="F2"/>
          <w:szCs w:val="20"/>
          <w:lang w:val="es-ES"/>
        </w:rPr>
        <w:t xml:space="preserve"> II y el factor de crecimiento </w:t>
      </w:r>
      <w:proofErr w:type="spellStart"/>
      <w:r w:rsidRPr="00CA0441">
        <w:rPr>
          <w:rFonts w:eastAsia="Times New Roman" w:cs="Times New Roman"/>
          <w:color w:val="0D0D0D" w:themeColor="text1" w:themeTint="F2"/>
          <w:szCs w:val="20"/>
          <w:lang w:val="es-ES"/>
        </w:rPr>
        <w:t>mechano</w:t>
      </w:r>
      <w:proofErr w:type="spellEnd"/>
      <w:r w:rsidRPr="00CA0441">
        <w:rPr>
          <w:rFonts w:eastAsia="Times New Roman" w:cs="Times New Roman"/>
          <w:color w:val="0D0D0D" w:themeColor="text1" w:themeTint="F2"/>
          <w:szCs w:val="20"/>
          <w:lang w:val="es-ES"/>
        </w:rPr>
        <w:t xml:space="preserve"> [10].</w:t>
      </w:r>
    </w:p>
    <w:p w14:paraId="48E6E778" w14:textId="77777777" w:rsidR="00261692" w:rsidRPr="00CA0441" w:rsidRDefault="00261692" w:rsidP="00261692">
      <w:pPr>
        <w:spacing w:after="100" w:afterAutospacing="1"/>
        <w:contextualSpacing/>
        <w:rPr>
          <w:rFonts w:eastAsia="Times New Roman" w:cs="Times New Roman"/>
          <w:color w:val="0D0D0D" w:themeColor="text1" w:themeTint="F2"/>
          <w:szCs w:val="20"/>
          <w:lang w:val="es-ES"/>
        </w:rPr>
      </w:pPr>
      <w:r w:rsidRPr="00CA0441">
        <w:rPr>
          <w:rFonts w:eastAsia="Times New Roman" w:cs="Times New Roman"/>
          <w:color w:val="0D0D0D" w:themeColor="text1" w:themeTint="F2"/>
          <w:szCs w:val="20"/>
          <w:lang w:val="es-ES"/>
        </w:rPr>
        <w:br/>
        <w:t>En mayo de 2026, el Comité Asesor para la Producción de Medicamentos Magistrales tenía seis vacantes [11]. El comité cuenta únicamente con tres miembros con derecho a voto y un representante de la industria. Con los nuevos nombramientos, el comité podría quedar compuesto por miembros que se limitarían a dar el visto bueno a los deseos de Kennedy.</w:t>
      </w:r>
    </w:p>
    <w:p w14:paraId="5D4AD184" w14:textId="77777777" w:rsidR="00261692" w:rsidRDefault="00261692" w:rsidP="00261692">
      <w:pPr>
        <w:spacing w:after="100" w:afterAutospacing="1"/>
        <w:contextualSpacing/>
        <w:rPr>
          <w:rFonts w:eastAsia="Times New Roman" w:cs="Times New Roman"/>
          <w:color w:val="0D0D0D" w:themeColor="text1" w:themeTint="F2"/>
          <w:szCs w:val="20"/>
          <w:lang w:val="es-ES"/>
        </w:rPr>
      </w:pPr>
      <w:r w:rsidRPr="00CA0441">
        <w:rPr>
          <w:rFonts w:eastAsia="Times New Roman" w:cs="Times New Roman"/>
          <w:color w:val="0D0D0D" w:themeColor="text1" w:themeTint="F2"/>
          <w:szCs w:val="20"/>
          <w:lang w:val="es-ES"/>
        </w:rPr>
        <w:br/>
        <w:t xml:space="preserve">De acuerdo con las regulaciones de la FDA y de los estados, las farmacias que elaboran formulaciones magistrales pueden utilizar sustancias farmacéuticas a granel para elaborar versiones personalizadas de medicamentos y para mezclar fármacos cuando hay escasez de una versión autorizada. Sin embargo, los medicamentos de formulación magistral no están autorizados por la FDA y están sujetos a normas reguladoras menos estrictas que los medicamentos autorizados. </w:t>
      </w:r>
    </w:p>
    <w:p w14:paraId="1A549683" w14:textId="77777777" w:rsidR="00261692" w:rsidRDefault="00261692" w:rsidP="00261692">
      <w:pPr>
        <w:spacing w:after="100" w:afterAutospacing="1"/>
        <w:contextualSpacing/>
        <w:rPr>
          <w:rFonts w:eastAsia="Times New Roman" w:cs="Times New Roman"/>
          <w:color w:val="0D0D0D" w:themeColor="text1" w:themeTint="F2"/>
          <w:szCs w:val="20"/>
          <w:lang w:val="es-ES"/>
        </w:rPr>
      </w:pPr>
    </w:p>
    <w:p w14:paraId="3A1EE619" w14:textId="77777777" w:rsidR="00261692" w:rsidRPr="00CA0441" w:rsidRDefault="00261692" w:rsidP="00261692">
      <w:pPr>
        <w:spacing w:after="100" w:afterAutospacing="1"/>
        <w:contextualSpacing/>
        <w:rPr>
          <w:rFonts w:eastAsia="Times New Roman" w:cs="Times New Roman"/>
          <w:color w:val="0D0D0D" w:themeColor="text1" w:themeTint="F2"/>
          <w:szCs w:val="20"/>
          <w:lang w:val="es-ES"/>
        </w:rPr>
      </w:pPr>
      <w:r w:rsidRPr="00CA0441">
        <w:rPr>
          <w:rFonts w:eastAsia="Times New Roman" w:cs="Times New Roman"/>
          <w:color w:val="0D0D0D" w:themeColor="text1" w:themeTint="F2"/>
          <w:szCs w:val="20"/>
          <w:lang w:val="es-ES"/>
        </w:rPr>
        <w:t xml:space="preserve">El Grupo de Investigación en Salud de </w:t>
      </w:r>
      <w:proofErr w:type="spellStart"/>
      <w:r w:rsidRPr="00CA0441">
        <w:rPr>
          <w:rFonts w:eastAsia="Times New Roman" w:cs="Times New Roman"/>
          <w:color w:val="0D0D0D" w:themeColor="text1" w:themeTint="F2"/>
          <w:szCs w:val="20"/>
          <w:lang w:val="es-ES"/>
        </w:rPr>
        <w:t>Public</w:t>
      </w:r>
      <w:proofErr w:type="spellEnd"/>
      <w:r w:rsidRPr="00CA0441">
        <w:rPr>
          <w:rFonts w:eastAsia="Times New Roman" w:cs="Times New Roman"/>
          <w:color w:val="0D0D0D" w:themeColor="text1" w:themeTint="F2"/>
          <w:szCs w:val="20"/>
          <w:lang w:val="es-ES"/>
        </w:rPr>
        <w:t xml:space="preserve"> </w:t>
      </w:r>
      <w:proofErr w:type="spellStart"/>
      <w:r w:rsidRPr="00CA0441">
        <w:rPr>
          <w:rFonts w:eastAsia="Times New Roman" w:cs="Times New Roman"/>
          <w:color w:val="0D0D0D" w:themeColor="text1" w:themeTint="F2"/>
          <w:szCs w:val="20"/>
          <w:lang w:val="es-ES"/>
        </w:rPr>
        <w:t>Citizen</w:t>
      </w:r>
      <w:proofErr w:type="spellEnd"/>
      <w:r w:rsidRPr="00CA0441">
        <w:rPr>
          <w:rFonts w:eastAsia="Times New Roman" w:cs="Times New Roman"/>
          <w:color w:val="0D0D0D" w:themeColor="text1" w:themeTint="F2"/>
          <w:szCs w:val="20"/>
          <w:lang w:val="es-ES"/>
        </w:rPr>
        <w:t xml:space="preserve"> recomienda que no se utilicen, salvo en situaciones excepcionales en las que las necesidades médicas de un paciente no se puedan satisfacer con un medicamento disponible autorizado por la FDA.</w:t>
      </w:r>
    </w:p>
    <w:p w14:paraId="4E6E2400" w14:textId="77777777" w:rsidR="00261692" w:rsidRPr="00CA0441" w:rsidRDefault="00261692" w:rsidP="00261692">
      <w:pPr>
        <w:spacing w:after="100" w:afterAutospacing="1"/>
        <w:contextualSpacing/>
        <w:rPr>
          <w:rFonts w:eastAsia="Times New Roman" w:cs="Times New Roman"/>
          <w:color w:val="0D0D0D" w:themeColor="text1" w:themeTint="F2"/>
          <w:szCs w:val="20"/>
          <w:lang w:val="es-ES"/>
        </w:rPr>
      </w:pPr>
      <w:r w:rsidRPr="00CA0441">
        <w:rPr>
          <w:rFonts w:eastAsia="Times New Roman" w:cs="Times New Roman"/>
          <w:color w:val="0D0D0D" w:themeColor="text1" w:themeTint="F2"/>
          <w:szCs w:val="20"/>
          <w:lang w:val="es-ES"/>
        </w:rPr>
        <w:br/>
        <w:t xml:space="preserve">La próxima reunión del Comité Asesor para la Producción de </w:t>
      </w:r>
      <w:r w:rsidRPr="00CA0441">
        <w:rPr>
          <w:rFonts w:eastAsia="Times New Roman" w:cs="Times New Roman"/>
          <w:color w:val="0D0D0D" w:themeColor="text1" w:themeTint="F2"/>
          <w:szCs w:val="20"/>
          <w:lang w:val="es-ES"/>
        </w:rPr>
        <w:lastRenderedPageBreak/>
        <w:t>Medicamentos Magistrales y las posteriores decisiones de la FDA sobre los 12 péptidos que se están reconsiderando constituyen una prueba clave de la credibilidad de la agencia y de su compromiso con la salud pública, más allá de las directivas poco acertadas de Kennedy. Todos estos péptidos, al igual que cualquier medicamento nuevo, se deberían someter al proceso de aprobación estándar de la FDA y no a una vía alternativa más laxa que frustra el propósito de la agencia.</w:t>
      </w:r>
    </w:p>
    <w:p w14:paraId="7267E272" w14:textId="77777777" w:rsidR="00261692" w:rsidRPr="00CA0441" w:rsidRDefault="00261692" w:rsidP="00261692">
      <w:pPr>
        <w:spacing w:after="100" w:afterAutospacing="1"/>
        <w:contextualSpacing/>
        <w:rPr>
          <w:rFonts w:eastAsia="Times New Roman" w:cs="Times New Roman"/>
          <w:color w:val="0D0D0D" w:themeColor="text1" w:themeTint="F2"/>
          <w:szCs w:val="20"/>
          <w:lang w:val="es-ES"/>
        </w:rPr>
      </w:pPr>
    </w:p>
    <w:p w14:paraId="16673670" w14:textId="77777777" w:rsidR="00261692" w:rsidRPr="00CA0441" w:rsidRDefault="00261692" w:rsidP="00261692">
      <w:pPr>
        <w:contextualSpacing/>
        <w:rPr>
          <w:rFonts w:eastAsia="Times New Roman" w:cs="Times New Roman"/>
          <w:b/>
          <w:bCs/>
          <w:color w:val="0D0D0D" w:themeColor="text1" w:themeTint="F2"/>
          <w:sz w:val="18"/>
          <w:szCs w:val="18"/>
          <w:lang w:val="en-US"/>
        </w:rPr>
      </w:pPr>
      <w:proofErr w:type="spellStart"/>
      <w:r w:rsidRPr="00CA0441">
        <w:rPr>
          <w:rFonts w:eastAsia="Times New Roman" w:cs="Times New Roman"/>
          <w:b/>
          <w:bCs/>
          <w:iCs/>
          <w:color w:val="0D0D0D" w:themeColor="text1" w:themeTint="F2"/>
          <w:sz w:val="18"/>
          <w:szCs w:val="18"/>
          <w:lang w:val="en-US"/>
        </w:rPr>
        <w:t>Referencias</w:t>
      </w:r>
      <w:proofErr w:type="spellEnd"/>
    </w:p>
    <w:p w14:paraId="10A02674" w14:textId="77777777" w:rsidR="00261692" w:rsidRPr="009609BA" w:rsidRDefault="00261692" w:rsidP="00261692">
      <w:pPr>
        <w:pStyle w:val="Prrafodelista"/>
        <w:numPr>
          <w:ilvl w:val="0"/>
          <w:numId w:val="2"/>
        </w:numPr>
        <w:ind w:left="180" w:hanging="180"/>
        <w:rPr>
          <w:rFonts w:eastAsia="Times New Roman" w:cs="Times New Roman"/>
          <w:color w:val="212529"/>
          <w:sz w:val="18"/>
          <w:szCs w:val="18"/>
          <w:lang w:val="en-US"/>
        </w:rPr>
      </w:pPr>
      <w:r w:rsidRPr="009609BA">
        <w:rPr>
          <w:rFonts w:eastAsia="Times New Roman" w:cs="Times New Roman"/>
          <w:color w:val="0D0D0D" w:themeColor="text1" w:themeTint="F2"/>
          <w:sz w:val="18"/>
          <w:szCs w:val="18"/>
          <w:lang w:val="en-US"/>
        </w:rPr>
        <w:t xml:space="preserve">Food and Drug Administration. July 23-24, 2026: Meeting of the Pharmacy Compounding Advisory Committee. </w:t>
      </w:r>
      <w:hyperlink r:id="rId124" w:history="1">
        <w:r w:rsidRPr="009609BA">
          <w:rPr>
            <w:rFonts w:eastAsia="Times New Roman" w:cs="Times New Roman"/>
            <w:color w:val="007BFF"/>
            <w:sz w:val="18"/>
            <w:szCs w:val="18"/>
            <w:u w:val="single"/>
          </w:rPr>
          <w:t>https://www.fda.gov/advisory-committees/advisory-committee-calendar/july-23-24-2026-meeting-pharmacy-compounding-advisory-committee-07232026</w:t>
        </w:r>
      </w:hyperlink>
      <w:r w:rsidRPr="009609BA">
        <w:rPr>
          <w:rFonts w:eastAsia="Times New Roman" w:cs="Times New Roman"/>
          <w:color w:val="212529"/>
          <w:sz w:val="18"/>
          <w:szCs w:val="18"/>
        </w:rPr>
        <w:t xml:space="preserve">. </w:t>
      </w:r>
      <w:r w:rsidRPr="009609BA">
        <w:rPr>
          <w:rFonts w:eastAsia="Times New Roman" w:cs="Times New Roman"/>
          <w:color w:val="212529"/>
          <w:sz w:val="18"/>
          <w:szCs w:val="18"/>
          <w:lang w:val="en-US"/>
        </w:rPr>
        <w:t>Accessed April 28, 2026.</w:t>
      </w:r>
    </w:p>
    <w:p w14:paraId="6AEFF9B8" w14:textId="77777777" w:rsidR="00261692" w:rsidRPr="009609BA" w:rsidRDefault="00261692" w:rsidP="00261692">
      <w:pPr>
        <w:pStyle w:val="Prrafodelista"/>
        <w:numPr>
          <w:ilvl w:val="0"/>
          <w:numId w:val="2"/>
        </w:numPr>
        <w:ind w:left="180" w:hanging="180"/>
        <w:rPr>
          <w:rFonts w:eastAsia="Times New Roman" w:cs="Times New Roman"/>
          <w:color w:val="212529"/>
          <w:sz w:val="18"/>
          <w:szCs w:val="18"/>
          <w:lang w:val="en-US"/>
        </w:rPr>
      </w:pPr>
      <w:r w:rsidRPr="009609BA">
        <w:rPr>
          <w:rFonts w:eastAsia="Times New Roman" w:cs="Times New Roman"/>
          <w:color w:val="212529"/>
          <w:sz w:val="18"/>
          <w:szCs w:val="18"/>
          <w:lang w:val="en-US"/>
        </w:rPr>
        <w:t xml:space="preserve">Food and Drug Administration. Meeting of the Pharmacy Compounding Advisory Committee. </w:t>
      </w:r>
      <w:hyperlink r:id="rId125" w:history="1">
        <w:r w:rsidRPr="009609BA">
          <w:rPr>
            <w:rFonts w:eastAsia="Times New Roman" w:cs="Times New Roman"/>
            <w:color w:val="007BFF"/>
            <w:sz w:val="18"/>
            <w:szCs w:val="18"/>
            <w:u w:val="single"/>
            <w:lang w:val="en-US"/>
          </w:rPr>
          <w:t>https://www.fda.gov/advisory-committees/pharmacy-compounding-advisory-committee/meeting-pharmacy-compounding-advisory-committee</w:t>
        </w:r>
      </w:hyperlink>
      <w:r w:rsidRPr="009609BA">
        <w:rPr>
          <w:rFonts w:eastAsia="Times New Roman" w:cs="Times New Roman"/>
          <w:color w:val="212529"/>
          <w:sz w:val="18"/>
          <w:szCs w:val="18"/>
          <w:lang w:val="en-US"/>
        </w:rPr>
        <w:t xml:space="preserve">  Accessed April 28, 2026.</w:t>
      </w:r>
    </w:p>
    <w:p w14:paraId="134BEFEC" w14:textId="77777777" w:rsidR="00261692" w:rsidRPr="009609BA" w:rsidRDefault="00261692" w:rsidP="00261692">
      <w:pPr>
        <w:pStyle w:val="Prrafodelista"/>
        <w:numPr>
          <w:ilvl w:val="0"/>
          <w:numId w:val="2"/>
        </w:numPr>
        <w:ind w:left="180" w:hanging="180"/>
        <w:rPr>
          <w:rFonts w:eastAsia="Times New Roman" w:cs="Times New Roman"/>
          <w:color w:val="212529"/>
          <w:sz w:val="18"/>
          <w:szCs w:val="18"/>
          <w:lang w:val="en-US"/>
        </w:rPr>
      </w:pPr>
      <w:r w:rsidRPr="009609BA">
        <w:rPr>
          <w:rFonts w:eastAsia="Times New Roman" w:cs="Times New Roman"/>
          <w:color w:val="212529"/>
          <w:sz w:val="18"/>
          <w:szCs w:val="18"/>
          <w:lang w:val="en-US"/>
        </w:rPr>
        <w:t xml:space="preserve">Khullar D. Why are people injecting themselves with peptides? New Yorker. April 6, 2026.  </w:t>
      </w:r>
      <w:hyperlink r:id="rId126" w:history="1">
        <w:r w:rsidRPr="009609BA">
          <w:rPr>
            <w:rFonts w:eastAsia="Times New Roman" w:cs="Times New Roman"/>
            <w:color w:val="007BFF"/>
            <w:sz w:val="18"/>
            <w:szCs w:val="18"/>
            <w:u w:val="single"/>
            <w:lang w:val="en-US"/>
          </w:rPr>
          <w:t>https://www.newyorker.com/magazine/2026/04/13/why-are-people-injecting-themselves-with-peptides</w:t>
        </w:r>
      </w:hyperlink>
      <w:r w:rsidRPr="009609BA">
        <w:rPr>
          <w:rFonts w:eastAsia="Times New Roman" w:cs="Times New Roman"/>
          <w:color w:val="212529"/>
          <w:sz w:val="18"/>
          <w:szCs w:val="18"/>
          <w:lang w:val="en-US"/>
        </w:rPr>
        <w:t>. Accessed April 28, 2026.</w:t>
      </w:r>
    </w:p>
    <w:p w14:paraId="633FEFBF" w14:textId="77777777" w:rsidR="00261692" w:rsidRPr="009609BA" w:rsidRDefault="00261692" w:rsidP="00261692">
      <w:pPr>
        <w:pStyle w:val="Prrafodelista"/>
        <w:numPr>
          <w:ilvl w:val="0"/>
          <w:numId w:val="2"/>
        </w:numPr>
        <w:ind w:left="180" w:hanging="180"/>
        <w:rPr>
          <w:rFonts w:eastAsia="Times New Roman" w:cs="Times New Roman"/>
          <w:color w:val="212529"/>
          <w:sz w:val="18"/>
          <w:szCs w:val="18"/>
          <w:lang w:val="en-US"/>
        </w:rPr>
      </w:pPr>
      <w:r w:rsidRPr="009609BA">
        <w:rPr>
          <w:rFonts w:eastAsia="Times New Roman" w:cs="Times New Roman"/>
          <w:color w:val="212529"/>
          <w:sz w:val="18"/>
          <w:szCs w:val="18"/>
          <w:lang w:val="en-US"/>
        </w:rPr>
        <w:t xml:space="preserve">Food and Drug Administration. July 23-24, 2026: Meeting of the Pharmacy Compounding Advisory Committee. </w:t>
      </w:r>
      <w:hyperlink r:id="rId127" w:history="1">
        <w:r w:rsidRPr="009609BA">
          <w:rPr>
            <w:rFonts w:eastAsia="Times New Roman" w:cs="Times New Roman"/>
            <w:color w:val="007BFF"/>
            <w:sz w:val="18"/>
            <w:szCs w:val="18"/>
            <w:u w:val="single"/>
          </w:rPr>
          <w:t>https://www.fda.gov/advisory-committees/advisory-committee-calendar/july-23-24-2026-meeting-pharmacy-compounding-advisory-committee-07232026</w:t>
        </w:r>
      </w:hyperlink>
      <w:r w:rsidRPr="009609BA">
        <w:rPr>
          <w:rFonts w:eastAsia="Times New Roman" w:cs="Times New Roman"/>
          <w:color w:val="212529"/>
          <w:sz w:val="18"/>
          <w:szCs w:val="18"/>
        </w:rPr>
        <w:t xml:space="preserve">. </w:t>
      </w:r>
      <w:r w:rsidRPr="009609BA">
        <w:rPr>
          <w:rFonts w:eastAsia="Times New Roman" w:cs="Times New Roman"/>
          <w:color w:val="212529"/>
          <w:sz w:val="18"/>
          <w:szCs w:val="18"/>
          <w:lang w:val="en-US"/>
        </w:rPr>
        <w:t>Accessed April 28, 2026.</w:t>
      </w:r>
    </w:p>
    <w:p w14:paraId="26DD6960" w14:textId="77777777" w:rsidR="00261692" w:rsidRPr="009609BA" w:rsidRDefault="00261692" w:rsidP="00261692">
      <w:pPr>
        <w:pStyle w:val="Prrafodelista"/>
        <w:numPr>
          <w:ilvl w:val="0"/>
          <w:numId w:val="2"/>
        </w:numPr>
        <w:ind w:left="180" w:hanging="180"/>
        <w:rPr>
          <w:rFonts w:eastAsia="Times New Roman" w:cs="Times New Roman"/>
          <w:color w:val="212529"/>
          <w:sz w:val="18"/>
          <w:szCs w:val="18"/>
          <w:lang w:val="en-US"/>
        </w:rPr>
      </w:pPr>
      <w:r w:rsidRPr="009609BA">
        <w:rPr>
          <w:rFonts w:eastAsia="Times New Roman" w:cs="Times New Roman"/>
          <w:color w:val="212529"/>
          <w:sz w:val="18"/>
          <w:szCs w:val="18"/>
          <w:lang w:val="en-US"/>
        </w:rPr>
        <w:t xml:space="preserve">Food and Drug Administration. Certain bulk drug substances for use in drug compounding that may present significant safety risks (bulk drug substances nominated but withdrawn). Content current as of April 22, 2026. </w:t>
      </w:r>
      <w:hyperlink r:id="rId128" w:history="1">
        <w:r w:rsidRPr="009609BA">
          <w:rPr>
            <w:rFonts w:eastAsia="Times New Roman" w:cs="Times New Roman"/>
            <w:color w:val="007BFF"/>
            <w:sz w:val="18"/>
            <w:szCs w:val="18"/>
            <w:u w:val="single"/>
            <w:lang w:val="en-US"/>
          </w:rPr>
          <w:t>https://www.fda.gov/drugs/human-drug-compounding/certain-bulk-drug-substances-use-compounding-may-present-significant-safety-risks</w:t>
        </w:r>
      </w:hyperlink>
      <w:r w:rsidRPr="009609BA">
        <w:rPr>
          <w:rFonts w:eastAsia="Times New Roman" w:cs="Times New Roman"/>
          <w:color w:val="212529"/>
          <w:sz w:val="18"/>
          <w:szCs w:val="18"/>
          <w:lang w:val="en-US"/>
        </w:rPr>
        <w:t xml:space="preserve"> Accessed April 28, 2026.</w:t>
      </w:r>
    </w:p>
    <w:p w14:paraId="17204C70" w14:textId="77777777" w:rsidR="00261692" w:rsidRPr="009609BA" w:rsidRDefault="00261692" w:rsidP="00261692">
      <w:pPr>
        <w:pStyle w:val="Prrafodelista"/>
        <w:numPr>
          <w:ilvl w:val="0"/>
          <w:numId w:val="2"/>
        </w:numPr>
        <w:ind w:left="180" w:hanging="180"/>
        <w:rPr>
          <w:rFonts w:eastAsia="Times New Roman" w:cs="Times New Roman"/>
          <w:color w:val="212529"/>
          <w:sz w:val="18"/>
          <w:szCs w:val="18"/>
          <w:lang w:val="en-US"/>
        </w:rPr>
      </w:pPr>
      <w:r w:rsidRPr="009609BA">
        <w:rPr>
          <w:rFonts w:eastAsia="Times New Roman" w:cs="Times New Roman"/>
          <w:i/>
          <w:iCs/>
          <w:color w:val="212529"/>
          <w:sz w:val="18"/>
          <w:szCs w:val="18"/>
          <w:lang w:val="en-US"/>
        </w:rPr>
        <w:t>Ibid.</w:t>
      </w:r>
    </w:p>
    <w:p w14:paraId="4D211FE1" w14:textId="77777777" w:rsidR="00261692" w:rsidRPr="009609BA" w:rsidRDefault="00261692" w:rsidP="00261692">
      <w:pPr>
        <w:pStyle w:val="Prrafodelista"/>
        <w:numPr>
          <w:ilvl w:val="0"/>
          <w:numId w:val="2"/>
        </w:numPr>
        <w:ind w:left="180" w:hanging="180"/>
        <w:rPr>
          <w:rFonts w:eastAsia="Times New Roman" w:cs="Times New Roman"/>
          <w:color w:val="212529"/>
          <w:sz w:val="18"/>
          <w:szCs w:val="18"/>
          <w:lang w:val="en-US"/>
        </w:rPr>
      </w:pPr>
      <w:r w:rsidRPr="009609BA">
        <w:rPr>
          <w:rFonts w:eastAsia="Times New Roman" w:cs="Times New Roman"/>
          <w:i/>
          <w:iCs/>
          <w:color w:val="212529"/>
          <w:sz w:val="18"/>
          <w:szCs w:val="18"/>
          <w:lang w:val="en-US"/>
        </w:rPr>
        <w:t>Ibid.</w:t>
      </w:r>
    </w:p>
    <w:p w14:paraId="0AD0E79D" w14:textId="77777777" w:rsidR="00261692" w:rsidRPr="009609BA" w:rsidRDefault="00261692" w:rsidP="00261692">
      <w:pPr>
        <w:pStyle w:val="Prrafodelista"/>
        <w:numPr>
          <w:ilvl w:val="0"/>
          <w:numId w:val="2"/>
        </w:numPr>
        <w:ind w:left="180" w:hanging="180"/>
        <w:rPr>
          <w:rFonts w:eastAsia="Times New Roman" w:cs="Times New Roman"/>
          <w:color w:val="212529"/>
          <w:sz w:val="18"/>
          <w:szCs w:val="18"/>
          <w:lang w:val="en-US"/>
        </w:rPr>
      </w:pPr>
      <w:r w:rsidRPr="009609BA">
        <w:rPr>
          <w:rFonts w:eastAsia="Times New Roman" w:cs="Times New Roman"/>
          <w:color w:val="212529"/>
          <w:sz w:val="18"/>
          <w:szCs w:val="18"/>
          <w:lang w:val="en-US"/>
        </w:rPr>
        <w:t xml:space="preserve">Food and Drug Administration. July 23-24, 2026: Meeting of the Pharmacy Compounding Advisory Committee. </w:t>
      </w:r>
      <w:hyperlink r:id="rId129" w:history="1">
        <w:r w:rsidRPr="009609BA">
          <w:rPr>
            <w:rFonts w:eastAsia="Times New Roman" w:cs="Times New Roman"/>
            <w:color w:val="007BFF"/>
            <w:sz w:val="18"/>
            <w:szCs w:val="18"/>
            <w:u w:val="single"/>
          </w:rPr>
          <w:t>https://www.fda.gov/advisory-committees/advisory-committee-calendar/july-23-24-2026-meeting-pharmacy-compounding-advisory-committee-07232026</w:t>
        </w:r>
      </w:hyperlink>
      <w:r w:rsidRPr="009609BA">
        <w:rPr>
          <w:rFonts w:eastAsia="Times New Roman" w:cs="Times New Roman"/>
          <w:color w:val="212529"/>
          <w:sz w:val="18"/>
          <w:szCs w:val="18"/>
        </w:rPr>
        <w:t xml:space="preserve">. </w:t>
      </w:r>
      <w:r w:rsidRPr="009609BA">
        <w:rPr>
          <w:rFonts w:eastAsia="Times New Roman" w:cs="Times New Roman"/>
          <w:color w:val="212529"/>
          <w:sz w:val="18"/>
          <w:szCs w:val="18"/>
          <w:lang w:val="en-US"/>
        </w:rPr>
        <w:t>Accessed April 28, 2026.</w:t>
      </w:r>
    </w:p>
    <w:p w14:paraId="0B522298" w14:textId="77777777" w:rsidR="00261692" w:rsidRPr="009609BA" w:rsidRDefault="00261692" w:rsidP="00261692">
      <w:pPr>
        <w:pStyle w:val="Prrafodelista"/>
        <w:numPr>
          <w:ilvl w:val="0"/>
          <w:numId w:val="2"/>
        </w:numPr>
        <w:ind w:left="180" w:hanging="180"/>
        <w:rPr>
          <w:rFonts w:eastAsia="Times New Roman" w:cs="Times New Roman"/>
          <w:color w:val="212529"/>
          <w:sz w:val="18"/>
          <w:szCs w:val="18"/>
          <w:lang w:val="en-US"/>
        </w:rPr>
      </w:pPr>
      <w:r w:rsidRPr="009609BA">
        <w:rPr>
          <w:rFonts w:eastAsia="Times New Roman" w:cs="Times New Roman"/>
          <w:i/>
          <w:iCs/>
          <w:color w:val="212529"/>
          <w:sz w:val="18"/>
          <w:szCs w:val="18"/>
          <w:lang w:val="en-US"/>
        </w:rPr>
        <w:t>Ibid.</w:t>
      </w:r>
    </w:p>
    <w:p w14:paraId="6905C94E" w14:textId="498C35F0" w:rsidR="00261692" w:rsidRDefault="00261692" w:rsidP="00261692">
      <w:pPr>
        <w:pStyle w:val="Prrafodelista"/>
        <w:numPr>
          <w:ilvl w:val="0"/>
          <w:numId w:val="2"/>
        </w:numPr>
        <w:ind w:left="270" w:hanging="232"/>
        <w:rPr>
          <w:rFonts w:eastAsia="Times New Roman" w:cs="Times New Roman"/>
          <w:color w:val="212529"/>
          <w:sz w:val="18"/>
          <w:szCs w:val="18"/>
          <w:lang w:val="en-US"/>
        </w:rPr>
      </w:pPr>
      <w:r w:rsidRPr="009609BA">
        <w:rPr>
          <w:rFonts w:eastAsia="Times New Roman" w:cs="Times New Roman"/>
          <w:color w:val="212529"/>
          <w:sz w:val="18"/>
          <w:szCs w:val="18"/>
          <w:lang w:val="en-US"/>
        </w:rPr>
        <w:t xml:space="preserve">Food and Drug Administration. Meeting of the Pharmacy Compounding Advisory Committee. </w:t>
      </w:r>
      <w:hyperlink r:id="rId130" w:history="1">
        <w:r w:rsidRPr="009609BA">
          <w:rPr>
            <w:rFonts w:eastAsia="Times New Roman" w:cs="Times New Roman"/>
            <w:color w:val="007BFF"/>
            <w:sz w:val="18"/>
            <w:szCs w:val="18"/>
            <w:u w:val="single"/>
            <w:lang w:val="en-US"/>
          </w:rPr>
          <w:t>https://www.fda.gov/advisory-committees/pharmacy-compounding-advisory-committee/meeting-pharmacy-compounding-advisory-committee</w:t>
        </w:r>
      </w:hyperlink>
      <w:r w:rsidRPr="009609BA">
        <w:rPr>
          <w:rFonts w:eastAsia="Times New Roman" w:cs="Times New Roman"/>
          <w:color w:val="212529"/>
          <w:sz w:val="18"/>
          <w:szCs w:val="18"/>
          <w:lang w:val="en-US"/>
        </w:rPr>
        <w:t xml:space="preserve">  Accessed April 28, 2026.</w:t>
      </w:r>
    </w:p>
    <w:p w14:paraId="2F4AAF7E" w14:textId="1E0895FF" w:rsidR="00261692" w:rsidRPr="00261692" w:rsidRDefault="00261692" w:rsidP="00261692">
      <w:pPr>
        <w:pStyle w:val="Prrafodelista"/>
        <w:numPr>
          <w:ilvl w:val="0"/>
          <w:numId w:val="2"/>
        </w:numPr>
        <w:ind w:left="270" w:hanging="232"/>
        <w:rPr>
          <w:rFonts w:eastAsia="Times New Roman" w:cs="Times New Roman"/>
          <w:color w:val="212529"/>
          <w:sz w:val="18"/>
          <w:szCs w:val="18"/>
          <w:lang w:val="en-US"/>
        </w:rPr>
      </w:pPr>
      <w:r w:rsidRPr="00261692">
        <w:rPr>
          <w:rFonts w:eastAsia="Times New Roman" w:cs="Times New Roman"/>
          <w:color w:val="212529"/>
          <w:sz w:val="18"/>
          <w:szCs w:val="18"/>
          <w:lang w:val="en-US"/>
        </w:rPr>
        <w:t xml:space="preserve">Food and Drug Administration. Pharmacy Compounding Advisory Committee roster. </w:t>
      </w:r>
      <w:hyperlink r:id="rId131" w:history="1">
        <w:r w:rsidRPr="00261692">
          <w:rPr>
            <w:rFonts w:eastAsia="Times New Roman" w:cs="Times New Roman"/>
            <w:color w:val="007BFF"/>
            <w:sz w:val="18"/>
            <w:szCs w:val="18"/>
            <w:u w:val="single"/>
          </w:rPr>
          <w:t>https://www.fda.gov/advisory-committees/pharmacy-compounding-advisory-committee/pharmacy-compounding-advisory-committee-roster</w:t>
        </w:r>
      </w:hyperlink>
      <w:r w:rsidRPr="00261692">
        <w:rPr>
          <w:rFonts w:eastAsia="Times New Roman" w:cs="Times New Roman"/>
          <w:color w:val="212529"/>
          <w:sz w:val="18"/>
          <w:szCs w:val="18"/>
        </w:rPr>
        <w:t xml:space="preserve">. </w:t>
      </w:r>
      <w:r w:rsidRPr="00261692">
        <w:rPr>
          <w:rFonts w:eastAsia="Times New Roman" w:cs="Times New Roman"/>
          <w:color w:val="212529"/>
          <w:sz w:val="18"/>
          <w:szCs w:val="18"/>
          <w:lang w:val="en-US"/>
        </w:rPr>
        <w:t>Accessed April 28, 2026</w:t>
      </w:r>
    </w:p>
    <w:p w14:paraId="334343E9" w14:textId="77777777" w:rsidR="00421B71" w:rsidRDefault="00421B71" w:rsidP="004D63D3">
      <w:pPr>
        <w:jc w:val="center"/>
        <w:rPr>
          <w:rFonts w:eastAsia="Times New Roman" w:cs="Times New Roman"/>
          <w:color w:val="0D0D0D" w:themeColor="text1" w:themeTint="F2"/>
          <w:szCs w:val="20"/>
        </w:rPr>
        <w:sectPr w:rsidR="00421B71" w:rsidSect="00421B71">
          <w:type w:val="continuous"/>
          <w:pgSz w:w="12240" w:h="15840" w:code="1"/>
          <w:pgMar w:top="720" w:right="720" w:bottom="720" w:left="720" w:header="288" w:footer="288" w:gutter="0"/>
          <w:cols w:num="2" w:space="288"/>
          <w:docGrid w:linePitch="360"/>
        </w:sectPr>
      </w:pPr>
    </w:p>
    <w:p w14:paraId="00049D11" w14:textId="7A413961" w:rsidR="00261692" w:rsidRDefault="00261692" w:rsidP="004D63D3">
      <w:pPr>
        <w:jc w:val="center"/>
        <w:rPr>
          <w:rFonts w:eastAsia="Times New Roman" w:cs="Times New Roman"/>
          <w:color w:val="0D0D0D" w:themeColor="text1" w:themeTint="F2"/>
          <w:szCs w:val="20"/>
        </w:rPr>
      </w:pPr>
    </w:p>
    <w:p w14:paraId="32ED2D5F" w14:textId="77777777" w:rsidR="00261692" w:rsidRDefault="00261692" w:rsidP="004D63D3">
      <w:pPr>
        <w:jc w:val="center"/>
        <w:rPr>
          <w:rFonts w:eastAsia="Times New Roman" w:cs="Times New Roman"/>
          <w:color w:val="0D0D0D" w:themeColor="text1" w:themeTint="F2"/>
          <w:szCs w:val="20"/>
        </w:rPr>
      </w:pPr>
    </w:p>
    <w:p w14:paraId="66A2EF59" w14:textId="77777777" w:rsidR="003A775F" w:rsidRPr="006B28E8" w:rsidRDefault="003A775F" w:rsidP="003A775F">
      <w:pPr>
        <w:contextualSpacing/>
        <w:jc w:val="center"/>
        <w:rPr>
          <w:rFonts w:cs="Times New Roman"/>
          <w:b/>
          <w:bCs/>
          <w:szCs w:val="20"/>
          <w:lang w:val="es-ES"/>
        </w:rPr>
      </w:pPr>
      <w:r w:rsidRPr="00B56B31">
        <w:rPr>
          <w:rFonts w:cs="Times New Roman"/>
          <w:szCs w:val="20"/>
          <w:lang w:val="es-ES"/>
        </w:rPr>
        <w:t>EE UU.</w:t>
      </w:r>
      <w:r>
        <w:rPr>
          <w:rFonts w:cs="Times New Roman"/>
          <w:b/>
          <w:bCs/>
          <w:szCs w:val="20"/>
          <w:lang w:val="es-ES"/>
        </w:rPr>
        <w:t xml:space="preserve"> </w:t>
      </w:r>
      <w:r w:rsidRPr="00EA71DA">
        <w:rPr>
          <w:rFonts w:cs="Times New Roman"/>
          <w:b/>
          <w:bCs/>
          <w:szCs w:val="20"/>
          <w:lang w:val="es-ES"/>
        </w:rPr>
        <w:t>El escándalo del mes: la censura de los estudios sobre vacunas de los CDC y la FDA</w:t>
      </w:r>
      <w:r w:rsidRPr="006B28E8">
        <w:rPr>
          <w:rFonts w:cs="Times New Roman"/>
          <w:b/>
          <w:bCs/>
          <w:szCs w:val="20"/>
          <w:lang w:val="es-ES"/>
        </w:rPr>
        <w:t xml:space="preserve"> </w:t>
      </w:r>
    </w:p>
    <w:p w14:paraId="13C515C2" w14:textId="77777777" w:rsidR="003A775F" w:rsidRPr="006B28E8" w:rsidRDefault="003A775F" w:rsidP="003A775F">
      <w:pPr>
        <w:contextualSpacing/>
        <w:jc w:val="center"/>
        <w:rPr>
          <w:rFonts w:cs="Times New Roman"/>
          <w:b/>
          <w:bCs/>
          <w:szCs w:val="20"/>
          <w:lang w:val="en-US"/>
        </w:rPr>
      </w:pPr>
      <w:r w:rsidRPr="006B28E8">
        <w:rPr>
          <w:rFonts w:cs="Times New Roman"/>
          <w:i/>
          <w:iCs/>
          <w:szCs w:val="20"/>
          <w:lang w:val="en-US"/>
        </w:rPr>
        <w:t>(Outrage of the Month: Censorship of CDC and FDA Vaccine Studies)</w:t>
      </w:r>
    </w:p>
    <w:p w14:paraId="0AE06096" w14:textId="77777777" w:rsidR="003A775F" w:rsidRPr="00C07879" w:rsidRDefault="003A775F" w:rsidP="003A775F">
      <w:pPr>
        <w:contextualSpacing/>
        <w:jc w:val="center"/>
        <w:rPr>
          <w:rFonts w:cs="Times New Roman"/>
          <w:b/>
          <w:bCs/>
          <w:szCs w:val="20"/>
          <w:lang w:val="en-US"/>
        </w:rPr>
      </w:pPr>
      <w:r w:rsidRPr="00C07879">
        <w:rPr>
          <w:rFonts w:cs="Times New Roman"/>
          <w:szCs w:val="20"/>
          <w:lang w:val="en-US"/>
        </w:rPr>
        <w:t xml:space="preserve">Robert </w:t>
      </w:r>
      <w:proofErr w:type="spellStart"/>
      <w:r w:rsidRPr="00C07879">
        <w:rPr>
          <w:rFonts w:cs="Times New Roman"/>
          <w:szCs w:val="20"/>
          <w:lang w:val="en-US"/>
        </w:rPr>
        <w:t>Steinbrook</w:t>
      </w:r>
      <w:proofErr w:type="spellEnd"/>
    </w:p>
    <w:p w14:paraId="5CE61B4E" w14:textId="77777777" w:rsidR="003A775F" w:rsidRPr="006B28E8" w:rsidRDefault="003A775F" w:rsidP="003A775F">
      <w:pPr>
        <w:contextualSpacing/>
        <w:jc w:val="center"/>
        <w:rPr>
          <w:rFonts w:cs="Times New Roman"/>
          <w:szCs w:val="20"/>
          <w:lang w:val="en-US"/>
        </w:rPr>
      </w:pPr>
      <w:r w:rsidRPr="006B28E8">
        <w:rPr>
          <w:rFonts w:cs="Times New Roman"/>
          <w:bCs/>
          <w:i/>
          <w:szCs w:val="20"/>
          <w:lang w:val="en-US"/>
        </w:rPr>
        <w:t>Public Citizen</w:t>
      </w:r>
      <w:r w:rsidRPr="006B28E8">
        <w:rPr>
          <w:rFonts w:cs="Times New Roman"/>
          <w:szCs w:val="20"/>
          <w:lang w:val="en-US"/>
        </w:rPr>
        <w:t xml:space="preserve">, 1 de </w:t>
      </w:r>
      <w:proofErr w:type="spellStart"/>
      <w:r w:rsidRPr="006B28E8">
        <w:rPr>
          <w:rFonts w:cs="Times New Roman"/>
          <w:szCs w:val="20"/>
          <w:lang w:val="en-US"/>
        </w:rPr>
        <w:t>junio</w:t>
      </w:r>
      <w:proofErr w:type="spellEnd"/>
      <w:r w:rsidRPr="006B28E8">
        <w:rPr>
          <w:rFonts w:cs="Times New Roman"/>
          <w:szCs w:val="20"/>
          <w:lang w:val="en-US"/>
        </w:rPr>
        <w:t xml:space="preserve"> de 2026</w:t>
      </w:r>
    </w:p>
    <w:p w14:paraId="02B25DC0" w14:textId="77777777" w:rsidR="003A775F" w:rsidRDefault="00B00DA4" w:rsidP="003A775F">
      <w:pPr>
        <w:contextualSpacing/>
        <w:jc w:val="center"/>
        <w:rPr>
          <w:rFonts w:cs="Times New Roman"/>
          <w:color w:val="467886" w:themeColor="hyperlink"/>
          <w:szCs w:val="20"/>
          <w:u w:val="single"/>
          <w:lang w:val="en-US"/>
        </w:rPr>
      </w:pPr>
      <w:hyperlink r:id="rId132" w:history="1">
        <w:r w:rsidR="003A775F" w:rsidRPr="006B28E8">
          <w:rPr>
            <w:rFonts w:cs="Times New Roman"/>
            <w:color w:val="467886" w:themeColor="hyperlink"/>
            <w:szCs w:val="20"/>
            <w:u w:val="single"/>
            <w:lang w:val="en-US"/>
          </w:rPr>
          <w:t>https://www.citizen.org/article/outrage-of-the-month-censorship-of-cdc-and-fda-vaccine-studies/</w:t>
        </w:r>
      </w:hyperlink>
    </w:p>
    <w:p w14:paraId="0FC33D22" w14:textId="77777777" w:rsidR="003A775F" w:rsidRDefault="003A775F" w:rsidP="003A775F">
      <w:pPr>
        <w:tabs>
          <w:tab w:val="left" w:pos="7920"/>
        </w:tabs>
        <w:jc w:val="center"/>
        <w:rPr>
          <w:lang w:val="es-ES"/>
        </w:rPr>
      </w:pPr>
      <w:r>
        <w:rPr>
          <w:lang w:val="es-ES"/>
        </w:rPr>
        <w:t xml:space="preserve">Traducido por Salud y Fármacos, publicado en </w:t>
      </w:r>
      <w:r w:rsidRPr="002461D1">
        <w:rPr>
          <w:i/>
          <w:lang w:val="es-ES"/>
        </w:rPr>
        <w:t xml:space="preserve">Boletín Fármacos: </w:t>
      </w:r>
      <w:r>
        <w:rPr>
          <w:i/>
          <w:lang w:val="es-ES"/>
        </w:rPr>
        <w:t>Agen</w:t>
      </w:r>
      <w:r w:rsidRPr="002461D1">
        <w:rPr>
          <w:i/>
          <w:lang w:val="es-ES"/>
        </w:rPr>
        <w:t>c</w:t>
      </w:r>
      <w:r>
        <w:rPr>
          <w:i/>
          <w:lang w:val="es-ES"/>
        </w:rPr>
        <w:t>i</w:t>
      </w:r>
      <w:r w:rsidRPr="002461D1">
        <w:rPr>
          <w:i/>
          <w:lang w:val="es-ES"/>
        </w:rPr>
        <w:t>as</w:t>
      </w:r>
      <w:r>
        <w:rPr>
          <w:i/>
          <w:lang w:val="es-ES"/>
        </w:rPr>
        <w:t xml:space="preserve"> </w:t>
      </w:r>
      <w:proofErr w:type="spellStart"/>
      <w:r>
        <w:rPr>
          <w:i/>
          <w:lang w:val="es-ES"/>
        </w:rPr>
        <w:t>Reguldoras</w:t>
      </w:r>
      <w:proofErr w:type="spellEnd"/>
      <w:r w:rsidRPr="002461D1">
        <w:rPr>
          <w:i/>
          <w:lang w:val="es-ES"/>
        </w:rPr>
        <w:t xml:space="preserve"> </w:t>
      </w:r>
      <w:r>
        <w:rPr>
          <w:lang w:val="es-ES"/>
        </w:rPr>
        <w:t>2026; 29(3)</w:t>
      </w:r>
    </w:p>
    <w:p w14:paraId="500D058A" w14:textId="77777777" w:rsidR="003A775F" w:rsidRPr="009F6FB8" w:rsidRDefault="003A775F" w:rsidP="003A775F">
      <w:pPr>
        <w:tabs>
          <w:tab w:val="left" w:pos="7920"/>
        </w:tabs>
        <w:jc w:val="center"/>
        <w:rPr>
          <w:lang w:val="es-ES"/>
        </w:rPr>
      </w:pPr>
    </w:p>
    <w:p w14:paraId="781D329D" w14:textId="77777777" w:rsidR="00421B71" w:rsidRDefault="00421B71" w:rsidP="003A775F">
      <w:pPr>
        <w:contextualSpacing/>
        <w:rPr>
          <w:b/>
          <w:sz w:val="18"/>
          <w:szCs w:val="18"/>
          <w:lang w:val="es-ES"/>
        </w:rPr>
        <w:sectPr w:rsidR="00421B71" w:rsidSect="00F25512">
          <w:type w:val="continuous"/>
          <w:pgSz w:w="12240" w:h="15840" w:code="1"/>
          <w:pgMar w:top="720" w:right="720" w:bottom="720" w:left="720" w:header="288" w:footer="288" w:gutter="0"/>
          <w:cols w:space="288"/>
          <w:docGrid w:linePitch="360"/>
        </w:sectPr>
      </w:pPr>
    </w:p>
    <w:p w14:paraId="1E9A54DA" w14:textId="36911D48" w:rsidR="003A775F" w:rsidRPr="00091E5A" w:rsidRDefault="003A775F" w:rsidP="003A775F">
      <w:pPr>
        <w:contextualSpacing/>
        <w:rPr>
          <w:rFonts w:cs="Times New Roman"/>
          <w:szCs w:val="20"/>
          <w:lang w:val="es-ES"/>
        </w:rPr>
      </w:pPr>
      <w:r w:rsidRPr="009F6FB8">
        <w:rPr>
          <w:b/>
          <w:sz w:val="18"/>
          <w:szCs w:val="18"/>
          <w:lang w:val="es-ES"/>
        </w:rPr>
        <w:t>Tags</w:t>
      </w:r>
      <w:r>
        <w:rPr>
          <w:b/>
          <w:sz w:val="18"/>
          <w:szCs w:val="18"/>
          <w:lang w:val="es-ES"/>
        </w:rPr>
        <w:t>: censura científica en el CDC, censura científica en la FDA, integridad de la ciencia, estudios de vacunas covid</w:t>
      </w:r>
    </w:p>
    <w:p w14:paraId="21B6013E" w14:textId="77777777" w:rsidR="003A775F" w:rsidRPr="00091E5A" w:rsidRDefault="003A775F" w:rsidP="003A775F">
      <w:pPr>
        <w:contextualSpacing/>
        <w:rPr>
          <w:rFonts w:cs="Times New Roman"/>
          <w:szCs w:val="20"/>
          <w:lang w:val="es-ES"/>
        </w:rPr>
      </w:pPr>
    </w:p>
    <w:p w14:paraId="5E5A7D64" w14:textId="77777777" w:rsidR="003A775F" w:rsidRPr="006B28E8" w:rsidRDefault="003A775F" w:rsidP="003A775F">
      <w:pPr>
        <w:contextualSpacing/>
        <w:rPr>
          <w:rFonts w:cs="Times New Roman"/>
          <w:szCs w:val="20"/>
          <w:lang w:val="es-ES"/>
        </w:rPr>
      </w:pPr>
      <w:r w:rsidRPr="006B28E8">
        <w:rPr>
          <w:rFonts w:cs="Times New Roman"/>
          <w:szCs w:val="20"/>
          <w:lang w:val="es-ES"/>
        </w:rPr>
        <w:t xml:space="preserve">Los Centros para el Control y la Prevención de Enfermedades (CDC o Centers for </w:t>
      </w:r>
      <w:proofErr w:type="spellStart"/>
      <w:r w:rsidRPr="006B28E8">
        <w:rPr>
          <w:rFonts w:cs="Times New Roman"/>
          <w:szCs w:val="20"/>
          <w:lang w:val="es-ES"/>
        </w:rPr>
        <w:t>Disease</w:t>
      </w:r>
      <w:proofErr w:type="spellEnd"/>
      <w:r w:rsidRPr="006B28E8">
        <w:rPr>
          <w:rFonts w:cs="Times New Roman"/>
          <w:szCs w:val="20"/>
          <w:lang w:val="es-ES"/>
        </w:rPr>
        <w:t xml:space="preserve"> Control and </w:t>
      </w:r>
      <w:proofErr w:type="spellStart"/>
      <w:r w:rsidRPr="006B28E8">
        <w:rPr>
          <w:rFonts w:cs="Times New Roman"/>
          <w:szCs w:val="20"/>
          <w:lang w:val="es-ES"/>
        </w:rPr>
        <w:t>Prevention</w:t>
      </w:r>
      <w:proofErr w:type="spellEnd"/>
      <w:r w:rsidRPr="006B28E8">
        <w:rPr>
          <w:rFonts w:cs="Times New Roman"/>
          <w:szCs w:val="20"/>
          <w:lang w:val="es-ES"/>
        </w:rPr>
        <w:t>) y la FDA son agencias federales que se basan en la ciencia y que deberían promover la investigación médica, en lugar de censurar estudios porque sus conclusiones socavan la agenda antivacunas de Robert F. Kennedy Jr.</w:t>
      </w:r>
      <w:r>
        <w:rPr>
          <w:rFonts w:cs="Times New Roman"/>
          <w:szCs w:val="20"/>
          <w:lang w:val="es-ES"/>
        </w:rPr>
        <w:t xml:space="preserve">, </w:t>
      </w:r>
      <w:r w:rsidRPr="006B28E8">
        <w:rPr>
          <w:rFonts w:cs="Times New Roman"/>
          <w:szCs w:val="20"/>
          <w:lang w:val="es-ES"/>
        </w:rPr>
        <w:t xml:space="preserve">secretario de Salud y Servicios Humanos (HHS o </w:t>
      </w:r>
      <w:proofErr w:type="spellStart"/>
      <w:r w:rsidRPr="006B28E8">
        <w:rPr>
          <w:rFonts w:cs="Times New Roman"/>
          <w:szCs w:val="20"/>
          <w:lang w:val="es-ES"/>
        </w:rPr>
        <w:t>Health</w:t>
      </w:r>
      <w:proofErr w:type="spellEnd"/>
      <w:r w:rsidRPr="006B28E8">
        <w:rPr>
          <w:rFonts w:cs="Times New Roman"/>
          <w:szCs w:val="20"/>
          <w:lang w:val="es-ES"/>
        </w:rPr>
        <w:t xml:space="preserve"> and Human </w:t>
      </w:r>
      <w:proofErr w:type="spellStart"/>
      <w:r w:rsidRPr="006B28E8">
        <w:rPr>
          <w:rFonts w:cs="Times New Roman"/>
          <w:szCs w:val="20"/>
          <w:lang w:val="es-ES"/>
        </w:rPr>
        <w:t>Services</w:t>
      </w:r>
      <w:proofErr w:type="spellEnd"/>
      <w:r w:rsidRPr="006B28E8">
        <w:rPr>
          <w:rFonts w:cs="Times New Roman"/>
          <w:szCs w:val="20"/>
          <w:lang w:val="es-ES"/>
        </w:rPr>
        <w:t xml:space="preserve">), </w:t>
      </w:r>
    </w:p>
    <w:p w14:paraId="50894550" w14:textId="77777777" w:rsidR="003A775F" w:rsidRPr="006B28E8" w:rsidRDefault="003A775F" w:rsidP="003A775F">
      <w:pPr>
        <w:contextualSpacing/>
        <w:rPr>
          <w:rFonts w:cs="Times New Roman"/>
          <w:szCs w:val="20"/>
          <w:lang w:val="es-ES"/>
        </w:rPr>
      </w:pPr>
    </w:p>
    <w:p w14:paraId="3D34DBB0" w14:textId="77777777" w:rsidR="003A775F" w:rsidRPr="006B28E8" w:rsidRDefault="003A775F" w:rsidP="003A775F">
      <w:pPr>
        <w:contextualSpacing/>
        <w:rPr>
          <w:rFonts w:cs="Times New Roman"/>
          <w:szCs w:val="20"/>
          <w:lang w:val="es-ES"/>
        </w:rPr>
      </w:pPr>
      <w:r w:rsidRPr="006B28E8">
        <w:rPr>
          <w:rFonts w:cs="Times New Roman"/>
          <w:szCs w:val="20"/>
          <w:lang w:val="es-ES"/>
        </w:rPr>
        <w:t>Sin embargo, en los últimos meses, tanto los CDC como la FDA han bloqueado la publicación de estudios que respaldan vacunas de uso generalizado contra la covid-19 y el herpes zóster. La supresión de la investigación científica revela lo absurdas que son las afirmaciones que Kennedy repite con frecuencia sobre su interés en que las agencias de salud pública estadounidenses</w:t>
      </w:r>
      <w:r w:rsidRPr="006B28E8" w:rsidDel="00D97CE7">
        <w:rPr>
          <w:rFonts w:cs="Times New Roman"/>
          <w:szCs w:val="20"/>
          <w:lang w:val="es-ES"/>
        </w:rPr>
        <w:t xml:space="preserve"> </w:t>
      </w:r>
      <w:r w:rsidRPr="006B28E8">
        <w:rPr>
          <w:rFonts w:cs="Times New Roman"/>
          <w:szCs w:val="20"/>
          <w:lang w:val="es-ES"/>
        </w:rPr>
        <w:t>produzcan “ciencia de referencia (</w:t>
      </w:r>
      <w:proofErr w:type="spellStart"/>
      <w:r w:rsidRPr="006B28E8">
        <w:rPr>
          <w:rFonts w:cs="Times New Roman"/>
          <w:i/>
          <w:szCs w:val="20"/>
          <w:lang w:val="es-ES"/>
        </w:rPr>
        <w:t>gold</w:t>
      </w:r>
      <w:proofErr w:type="spellEnd"/>
      <w:r w:rsidRPr="006B28E8">
        <w:rPr>
          <w:rFonts w:cs="Times New Roman"/>
          <w:i/>
          <w:szCs w:val="20"/>
          <w:lang w:val="es-ES"/>
        </w:rPr>
        <w:t xml:space="preserve"> standard</w:t>
      </w:r>
      <w:r w:rsidRPr="006B28E8">
        <w:rPr>
          <w:rFonts w:cs="Times New Roman"/>
          <w:szCs w:val="20"/>
          <w:lang w:val="es-ES"/>
        </w:rPr>
        <w:t>)" y sean "extraordinariamente transparentes".</w:t>
      </w:r>
    </w:p>
    <w:p w14:paraId="2FDCCFAC" w14:textId="77777777" w:rsidR="003A775F" w:rsidRPr="006B28E8" w:rsidRDefault="003A775F" w:rsidP="003A775F">
      <w:pPr>
        <w:contextualSpacing/>
        <w:rPr>
          <w:rFonts w:cs="Times New Roman"/>
          <w:szCs w:val="20"/>
          <w:lang w:val="es-ES"/>
        </w:rPr>
      </w:pPr>
    </w:p>
    <w:p w14:paraId="4517C011" w14:textId="77777777" w:rsidR="003A775F" w:rsidRPr="006B28E8" w:rsidRDefault="003A775F" w:rsidP="003A775F">
      <w:pPr>
        <w:contextualSpacing/>
        <w:rPr>
          <w:rFonts w:cs="Times New Roman"/>
          <w:szCs w:val="20"/>
          <w:lang w:val="es-ES"/>
        </w:rPr>
      </w:pPr>
      <w:r w:rsidRPr="006B28E8">
        <w:rPr>
          <w:rFonts w:cs="Times New Roman"/>
          <w:szCs w:val="20"/>
          <w:lang w:val="es-ES"/>
        </w:rPr>
        <w:t xml:space="preserve">En abril de 2026, el director interino de los CDC bloqueó la publicación de un estudio en el </w:t>
      </w:r>
      <w:proofErr w:type="spellStart"/>
      <w:r w:rsidRPr="006B28E8">
        <w:rPr>
          <w:rFonts w:cs="Times New Roman"/>
          <w:szCs w:val="20"/>
          <w:lang w:val="es-ES"/>
        </w:rPr>
        <w:t>Morbidity</w:t>
      </w:r>
      <w:proofErr w:type="spellEnd"/>
      <w:r w:rsidRPr="006B28E8">
        <w:rPr>
          <w:rFonts w:cs="Times New Roman"/>
          <w:szCs w:val="20"/>
          <w:lang w:val="es-ES"/>
        </w:rPr>
        <w:t xml:space="preserve"> and </w:t>
      </w:r>
      <w:proofErr w:type="spellStart"/>
      <w:r w:rsidRPr="006B28E8">
        <w:rPr>
          <w:rFonts w:cs="Times New Roman"/>
          <w:szCs w:val="20"/>
          <w:lang w:val="es-ES"/>
        </w:rPr>
        <w:t>Mortality</w:t>
      </w:r>
      <w:proofErr w:type="spellEnd"/>
      <w:r w:rsidRPr="006B28E8">
        <w:rPr>
          <w:rFonts w:cs="Times New Roman"/>
          <w:szCs w:val="20"/>
          <w:lang w:val="es-ES"/>
        </w:rPr>
        <w:t xml:space="preserve"> </w:t>
      </w:r>
      <w:proofErr w:type="spellStart"/>
      <w:r w:rsidRPr="006B28E8">
        <w:rPr>
          <w:rFonts w:cs="Times New Roman"/>
          <w:szCs w:val="20"/>
          <w:lang w:val="es-ES"/>
        </w:rPr>
        <w:t>Weekly</w:t>
      </w:r>
      <w:proofErr w:type="spellEnd"/>
      <w:r w:rsidRPr="006B28E8">
        <w:rPr>
          <w:rFonts w:cs="Times New Roman"/>
          <w:szCs w:val="20"/>
          <w:lang w:val="es-ES"/>
        </w:rPr>
        <w:t xml:space="preserve"> </w:t>
      </w:r>
      <w:proofErr w:type="spellStart"/>
      <w:r w:rsidRPr="006B28E8">
        <w:rPr>
          <w:rFonts w:cs="Times New Roman"/>
          <w:szCs w:val="20"/>
          <w:lang w:val="es-ES"/>
        </w:rPr>
        <w:t>Report</w:t>
      </w:r>
      <w:proofErr w:type="spellEnd"/>
      <w:r w:rsidRPr="006B28E8">
        <w:rPr>
          <w:rFonts w:cs="Times New Roman"/>
          <w:szCs w:val="20"/>
          <w:lang w:val="es-ES"/>
        </w:rPr>
        <w:t xml:space="preserve"> (MMWR o Informe Semanal sobre Morbilidad y Mortalidad),</w:t>
      </w:r>
      <w:r w:rsidRPr="00B63430">
        <w:rPr>
          <w:rFonts w:cs="Times New Roman"/>
          <w:szCs w:val="20"/>
          <w:lang w:val="es-ES"/>
        </w:rPr>
        <w:t xml:space="preserve"> </w:t>
      </w:r>
      <w:r w:rsidRPr="006B28E8">
        <w:rPr>
          <w:rFonts w:cs="Times New Roman"/>
          <w:szCs w:val="20"/>
          <w:lang w:val="es-ES"/>
        </w:rPr>
        <w:t xml:space="preserve">la principal revista científica de la agencia sobre la eficacia de la vacuna contra la covid-19 [1]. El informe, cuya publicación estaba prevista para marzo, revelaba que, entre los adultos sin inmunodeficiencia y durante los primeros meses tras la vacunación, las vacunas de 2025-2026 tuvieron una eficacia de alrededor del 50% en prevenir hospitalizaciones, visitas a </w:t>
      </w:r>
      <w:r w:rsidRPr="006B28E8">
        <w:rPr>
          <w:rFonts w:cs="Times New Roman"/>
          <w:szCs w:val="20"/>
          <w:lang w:val="es-ES"/>
        </w:rPr>
        <w:t>urgencias y a centros de atención urgente (septiembre-diciembre de 2025).</w:t>
      </w:r>
    </w:p>
    <w:p w14:paraId="3B302A10" w14:textId="77777777" w:rsidR="003A775F" w:rsidRPr="006B28E8" w:rsidRDefault="003A775F" w:rsidP="003A775F">
      <w:pPr>
        <w:contextualSpacing/>
        <w:rPr>
          <w:rFonts w:cs="Times New Roman"/>
          <w:szCs w:val="20"/>
          <w:lang w:val="es-ES"/>
        </w:rPr>
      </w:pPr>
    </w:p>
    <w:p w14:paraId="41CA7224" w14:textId="77777777" w:rsidR="003A775F" w:rsidRPr="006B28E8" w:rsidRDefault="003A775F" w:rsidP="003A775F">
      <w:pPr>
        <w:contextualSpacing/>
        <w:rPr>
          <w:rFonts w:cs="Times New Roman"/>
          <w:szCs w:val="20"/>
          <w:lang w:val="es-ES"/>
        </w:rPr>
      </w:pPr>
      <w:r w:rsidRPr="006B28E8">
        <w:rPr>
          <w:rFonts w:cs="Times New Roman"/>
          <w:szCs w:val="20"/>
          <w:lang w:val="es-ES"/>
        </w:rPr>
        <w:t xml:space="preserve">El Dr. Jay </w:t>
      </w:r>
      <w:proofErr w:type="spellStart"/>
      <w:r w:rsidRPr="006B28E8">
        <w:rPr>
          <w:rFonts w:cs="Times New Roman"/>
          <w:szCs w:val="20"/>
          <w:lang w:val="es-ES"/>
        </w:rPr>
        <w:t>Bhattacharya</w:t>
      </w:r>
      <w:proofErr w:type="spellEnd"/>
      <w:r>
        <w:rPr>
          <w:rFonts w:cs="Times New Roman"/>
          <w:szCs w:val="20"/>
          <w:lang w:val="es-ES"/>
        </w:rPr>
        <w:t xml:space="preserve">, </w:t>
      </w:r>
      <w:r w:rsidRPr="006B28E8">
        <w:rPr>
          <w:rFonts w:cs="Times New Roman"/>
          <w:szCs w:val="20"/>
          <w:lang w:val="es-ES"/>
        </w:rPr>
        <w:t xml:space="preserve">director de los Institutos Nacionales de Salud (NIH o National </w:t>
      </w:r>
      <w:proofErr w:type="spellStart"/>
      <w:r w:rsidRPr="006B28E8">
        <w:rPr>
          <w:rFonts w:cs="Times New Roman"/>
          <w:szCs w:val="20"/>
          <w:lang w:val="es-ES"/>
        </w:rPr>
        <w:t>Institutes</w:t>
      </w:r>
      <w:proofErr w:type="spellEnd"/>
      <w:r w:rsidRPr="006B28E8">
        <w:rPr>
          <w:rFonts w:cs="Times New Roman"/>
          <w:szCs w:val="20"/>
          <w:lang w:val="es-ES"/>
        </w:rPr>
        <w:t xml:space="preserve"> of </w:t>
      </w:r>
      <w:proofErr w:type="spellStart"/>
      <w:r w:rsidRPr="006B28E8">
        <w:rPr>
          <w:rFonts w:cs="Times New Roman"/>
          <w:szCs w:val="20"/>
          <w:lang w:val="es-ES"/>
        </w:rPr>
        <w:t>Health</w:t>
      </w:r>
      <w:proofErr w:type="spellEnd"/>
      <w:r w:rsidRPr="006B28E8">
        <w:rPr>
          <w:rFonts w:cs="Times New Roman"/>
          <w:szCs w:val="20"/>
          <w:lang w:val="es-ES"/>
        </w:rPr>
        <w:t>) y a principios de este año, director interino de los CDC</w:t>
      </w:r>
      <w:r>
        <w:rPr>
          <w:rFonts w:cs="Times New Roman"/>
          <w:szCs w:val="20"/>
          <w:lang w:val="es-ES"/>
        </w:rPr>
        <w:t>,</w:t>
      </w:r>
      <w:r w:rsidRPr="006B28E8">
        <w:rPr>
          <w:rFonts w:cs="Times New Roman"/>
          <w:szCs w:val="20"/>
          <w:lang w:val="es-ES"/>
        </w:rPr>
        <w:t xml:space="preserve"> rebatió la afirmación de que había "bloqueado" la publicación en el </w:t>
      </w:r>
      <w:proofErr w:type="spellStart"/>
      <w:r w:rsidRPr="006B28E8">
        <w:rPr>
          <w:rFonts w:cs="Times New Roman"/>
          <w:szCs w:val="20"/>
          <w:lang w:val="es-ES"/>
        </w:rPr>
        <w:t>Morbidity</w:t>
      </w:r>
      <w:proofErr w:type="spellEnd"/>
      <w:r w:rsidRPr="006B28E8">
        <w:rPr>
          <w:rFonts w:cs="Times New Roman"/>
          <w:szCs w:val="20"/>
          <w:lang w:val="es-ES"/>
        </w:rPr>
        <w:t xml:space="preserve"> and </w:t>
      </w:r>
      <w:proofErr w:type="spellStart"/>
      <w:r w:rsidRPr="006B28E8">
        <w:rPr>
          <w:rFonts w:cs="Times New Roman"/>
          <w:szCs w:val="20"/>
          <w:lang w:val="es-ES"/>
        </w:rPr>
        <w:t>Mortality</w:t>
      </w:r>
      <w:proofErr w:type="spellEnd"/>
      <w:r w:rsidRPr="006B28E8">
        <w:rPr>
          <w:rFonts w:cs="Times New Roman"/>
          <w:szCs w:val="20"/>
          <w:lang w:val="es-ES"/>
        </w:rPr>
        <w:t xml:space="preserve"> </w:t>
      </w:r>
      <w:proofErr w:type="spellStart"/>
      <w:r w:rsidRPr="006B28E8">
        <w:rPr>
          <w:rFonts w:cs="Times New Roman"/>
          <w:szCs w:val="20"/>
          <w:lang w:val="es-ES"/>
        </w:rPr>
        <w:t>Weekly</w:t>
      </w:r>
      <w:proofErr w:type="spellEnd"/>
      <w:r w:rsidRPr="006B28E8">
        <w:rPr>
          <w:rFonts w:cs="Times New Roman"/>
          <w:szCs w:val="20"/>
          <w:lang w:val="es-ES"/>
        </w:rPr>
        <w:t xml:space="preserve"> </w:t>
      </w:r>
      <w:proofErr w:type="spellStart"/>
      <w:r w:rsidRPr="006B28E8">
        <w:rPr>
          <w:rFonts w:cs="Times New Roman"/>
          <w:szCs w:val="20"/>
          <w:lang w:val="es-ES"/>
        </w:rPr>
        <w:t>Report</w:t>
      </w:r>
      <w:proofErr w:type="spellEnd"/>
      <w:r w:rsidRPr="006B28E8">
        <w:rPr>
          <w:rFonts w:cs="Times New Roman"/>
          <w:szCs w:val="20"/>
          <w:lang w:val="es-ES"/>
        </w:rPr>
        <w:t xml:space="preserve">, y afirmó, en cambio, que "planteó inquietudes específicas sobre los métodos estadísticos utilizados en el estudio en cuestión" [2]. De hecho, dicha metodología se ha utilizado ampliamente en publicaciones revisadas por pares sobre la eficacia de las vacunas contra la covid-19, y también se empleó en un informe sobre la eficacia de las vacunas contra la covid-19 en niños, publicado en </w:t>
      </w:r>
      <w:proofErr w:type="spellStart"/>
      <w:r w:rsidRPr="006B28E8">
        <w:rPr>
          <w:rFonts w:cs="Times New Roman"/>
          <w:szCs w:val="20"/>
          <w:lang w:val="es-ES"/>
        </w:rPr>
        <w:t>Morbidity</w:t>
      </w:r>
      <w:proofErr w:type="spellEnd"/>
      <w:r w:rsidRPr="006B28E8">
        <w:rPr>
          <w:rFonts w:cs="Times New Roman"/>
          <w:szCs w:val="20"/>
          <w:lang w:val="es-ES"/>
        </w:rPr>
        <w:t xml:space="preserve"> and </w:t>
      </w:r>
      <w:proofErr w:type="spellStart"/>
      <w:r w:rsidRPr="006B28E8">
        <w:rPr>
          <w:rFonts w:cs="Times New Roman"/>
          <w:szCs w:val="20"/>
          <w:lang w:val="es-ES"/>
        </w:rPr>
        <w:t>Mortality</w:t>
      </w:r>
      <w:proofErr w:type="spellEnd"/>
      <w:r w:rsidRPr="006B28E8">
        <w:rPr>
          <w:rFonts w:cs="Times New Roman"/>
          <w:szCs w:val="20"/>
          <w:lang w:val="es-ES"/>
        </w:rPr>
        <w:t xml:space="preserve"> </w:t>
      </w:r>
      <w:proofErr w:type="spellStart"/>
      <w:r w:rsidRPr="006B28E8">
        <w:rPr>
          <w:rFonts w:cs="Times New Roman"/>
          <w:szCs w:val="20"/>
          <w:lang w:val="es-ES"/>
        </w:rPr>
        <w:t>Weekly</w:t>
      </w:r>
      <w:proofErr w:type="spellEnd"/>
      <w:r w:rsidRPr="006B28E8">
        <w:rPr>
          <w:rFonts w:cs="Times New Roman"/>
          <w:szCs w:val="20"/>
          <w:lang w:val="es-ES"/>
        </w:rPr>
        <w:t xml:space="preserve"> </w:t>
      </w:r>
      <w:proofErr w:type="spellStart"/>
      <w:r w:rsidRPr="006B28E8">
        <w:rPr>
          <w:rFonts w:cs="Times New Roman"/>
          <w:szCs w:val="20"/>
          <w:lang w:val="es-ES"/>
        </w:rPr>
        <w:t>Report</w:t>
      </w:r>
      <w:proofErr w:type="spellEnd"/>
      <w:r w:rsidRPr="006B28E8">
        <w:rPr>
          <w:rFonts w:cs="Times New Roman"/>
          <w:szCs w:val="20"/>
          <w:lang w:val="es-ES"/>
        </w:rPr>
        <w:t xml:space="preserve"> en diciembre de 2025 [3, 4].</w:t>
      </w:r>
    </w:p>
    <w:p w14:paraId="0E89B01D" w14:textId="77777777" w:rsidR="003A775F" w:rsidRPr="006B28E8" w:rsidRDefault="003A775F" w:rsidP="003A775F">
      <w:pPr>
        <w:contextualSpacing/>
        <w:rPr>
          <w:rFonts w:cs="Times New Roman"/>
          <w:szCs w:val="20"/>
          <w:lang w:val="es-ES"/>
        </w:rPr>
      </w:pPr>
    </w:p>
    <w:p w14:paraId="533604A0" w14:textId="77777777" w:rsidR="003A775F" w:rsidRPr="006B28E8" w:rsidRDefault="003A775F" w:rsidP="003A775F">
      <w:pPr>
        <w:contextualSpacing/>
        <w:rPr>
          <w:rFonts w:cs="Times New Roman"/>
          <w:szCs w:val="20"/>
          <w:lang w:val="es-ES"/>
        </w:rPr>
      </w:pPr>
      <w:r w:rsidRPr="006B28E8">
        <w:rPr>
          <w:rFonts w:cs="Times New Roman"/>
          <w:szCs w:val="20"/>
          <w:lang w:val="es-ES"/>
        </w:rPr>
        <w:t>Irónicamente, el informe censurado está disponible en línea. Es probable que, al censurar la investigación, los CDC hayan logrado que se le preste más atención de la que habría recibido en otras circunstancias.</w:t>
      </w:r>
    </w:p>
    <w:p w14:paraId="5A5C61E3" w14:textId="77777777" w:rsidR="003A775F" w:rsidRPr="006B28E8" w:rsidRDefault="003A775F" w:rsidP="003A775F">
      <w:pPr>
        <w:contextualSpacing/>
        <w:rPr>
          <w:rFonts w:cs="Times New Roman"/>
          <w:szCs w:val="20"/>
          <w:lang w:val="es-ES"/>
        </w:rPr>
      </w:pPr>
    </w:p>
    <w:p w14:paraId="252433A8" w14:textId="77777777" w:rsidR="003A775F" w:rsidRDefault="003A775F" w:rsidP="003A775F">
      <w:pPr>
        <w:contextualSpacing/>
        <w:rPr>
          <w:rFonts w:cs="Times New Roman"/>
          <w:szCs w:val="20"/>
          <w:lang w:val="es-ES"/>
        </w:rPr>
      </w:pPr>
      <w:r w:rsidRPr="006B28E8">
        <w:rPr>
          <w:rFonts w:cs="Times New Roman"/>
          <w:szCs w:val="20"/>
          <w:lang w:val="es-ES"/>
        </w:rPr>
        <w:t xml:space="preserve">Por otra parte, la FDA bloqueó la publicación de estudios que respaldaban vacunas de uso generalizado contra la covid-19 y el herpes zóster. En octubre de 2025, se ordenó a los científicos de la FDA que retractaran dos estudios sobre la seguridad de las vacunas contra la covid-19 de 2023-2024, que ya se habían aceptado para su publicación en revistas médicas [5]. </w:t>
      </w:r>
    </w:p>
    <w:p w14:paraId="78DE86F9" w14:textId="77777777" w:rsidR="003A775F" w:rsidRDefault="003A775F" w:rsidP="003A775F">
      <w:pPr>
        <w:contextualSpacing/>
        <w:rPr>
          <w:rFonts w:cs="Times New Roman"/>
          <w:szCs w:val="20"/>
          <w:lang w:val="es-ES"/>
        </w:rPr>
      </w:pPr>
    </w:p>
    <w:p w14:paraId="0BED0196" w14:textId="77777777" w:rsidR="003A775F" w:rsidRDefault="003A775F" w:rsidP="003A775F">
      <w:pPr>
        <w:contextualSpacing/>
        <w:rPr>
          <w:rFonts w:cs="Times New Roman"/>
          <w:szCs w:val="20"/>
          <w:lang w:val="es-ES"/>
        </w:rPr>
      </w:pPr>
      <w:r w:rsidRPr="006B28E8">
        <w:rPr>
          <w:rFonts w:cs="Times New Roman"/>
          <w:szCs w:val="20"/>
          <w:lang w:val="es-ES"/>
        </w:rPr>
        <w:lastRenderedPageBreak/>
        <w:t>Uno de los estudios, que analizó los datos de monitoreo de la seguridad de la</w:t>
      </w:r>
      <w:r>
        <w:rPr>
          <w:rFonts w:cs="Times New Roman"/>
          <w:szCs w:val="20"/>
          <w:lang w:val="es-ES"/>
        </w:rPr>
        <w:t>s</w:t>
      </w:r>
      <w:r w:rsidRPr="006B28E8">
        <w:rPr>
          <w:rFonts w:cs="Times New Roman"/>
          <w:szCs w:val="20"/>
          <w:lang w:val="es-ES"/>
        </w:rPr>
        <w:t xml:space="preserve"> vacunas para los participantes de entre 6 meses y 64 años afiliados a planes de salud privados, y que se presentó en un congreso médico en agosto de 2025, no reveló "ningún nuevo motivo de preocupación en materia de seguridad" [6]. </w:t>
      </w:r>
    </w:p>
    <w:p w14:paraId="1E62862D" w14:textId="77777777" w:rsidR="003A775F" w:rsidRDefault="003A775F" w:rsidP="003A775F">
      <w:pPr>
        <w:contextualSpacing/>
        <w:rPr>
          <w:rFonts w:cs="Times New Roman"/>
          <w:szCs w:val="20"/>
          <w:lang w:val="es-ES"/>
        </w:rPr>
      </w:pPr>
    </w:p>
    <w:p w14:paraId="44C2260B" w14:textId="77777777" w:rsidR="003A775F" w:rsidRPr="006B28E8" w:rsidRDefault="003A775F" w:rsidP="003A775F">
      <w:pPr>
        <w:contextualSpacing/>
        <w:rPr>
          <w:rFonts w:cs="Times New Roman"/>
          <w:szCs w:val="20"/>
          <w:lang w:val="es-ES"/>
        </w:rPr>
      </w:pPr>
      <w:r w:rsidRPr="006B28E8">
        <w:rPr>
          <w:rFonts w:cs="Times New Roman"/>
          <w:szCs w:val="20"/>
          <w:lang w:val="es-ES"/>
        </w:rPr>
        <w:t>El otro estudio, que examinaba la seguridad de la vacuna entre los beneficiarios de Medicare de 65 años o más está disponible en línea como prepublicación, es decir, una versión preliminar que aún no ha sido sometida a revisión por pares. El estudio no reveló "ninguna nueva señal relacionada con la seguridad", pero sí "un aumento potencial, aunque poco frecuente, del riesgo de anafilaxia" (una reacción alérgica grave que puede poner en peligro la vida) asociado a una de las vacunas.</w:t>
      </w:r>
    </w:p>
    <w:p w14:paraId="673A4897" w14:textId="77777777" w:rsidR="003A775F" w:rsidRPr="006B28E8" w:rsidRDefault="003A775F" w:rsidP="003A775F">
      <w:pPr>
        <w:contextualSpacing/>
        <w:rPr>
          <w:rFonts w:cs="Times New Roman"/>
          <w:szCs w:val="20"/>
          <w:lang w:val="es-ES"/>
        </w:rPr>
      </w:pPr>
    </w:p>
    <w:p w14:paraId="41FFA578" w14:textId="77777777" w:rsidR="003A775F" w:rsidRPr="006B28E8" w:rsidRDefault="003A775F" w:rsidP="003A775F">
      <w:pPr>
        <w:contextualSpacing/>
        <w:rPr>
          <w:rFonts w:cs="Times New Roman"/>
          <w:szCs w:val="20"/>
          <w:lang w:val="es-ES"/>
        </w:rPr>
      </w:pPr>
      <w:r w:rsidRPr="006B28E8">
        <w:rPr>
          <w:rFonts w:cs="Times New Roman"/>
          <w:szCs w:val="20"/>
          <w:lang w:val="es-ES"/>
        </w:rPr>
        <w:t xml:space="preserve">Al defender la retractación de los estudios sobre la seguridad de la vacuna contra la covid-19, un portavoz del HHS declaró a </w:t>
      </w:r>
      <w:proofErr w:type="spellStart"/>
      <w:r w:rsidRPr="006B28E8">
        <w:rPr>
          <w:rFonts w:cs="Times New Roman"/>
          <w:szCs w:val="20"/>
          <w:lang w:val="es-ES"/>
        </w:rPr>
        <w:t>The</w:t>
      </w:r>
      <w:proofErr w:type="spellEnd"/>
      <w:r w:rsidRPr="006B28E8">
        <w:rPr>
          <w:rFonts w:cs="Times New Roman"/>
          <w:szCs w:val="20"/>
          <w:lang w:val="es-ES"/>
        </w:rPr>
        <w:t xml:space="preserve"> New York Times: "Los estudios se retractaron porque los autores sacaron conclusiones generales que no estaban respaldadas por los datos subyacentes". Este comentario reflejó un malentendido sobre el funcionamiento de las revistas médicas revisadas por pares. Por mi experiencia como editor de las revistas </w:t>
      </w:r>
      <w:r w:rsidRPr="00723C53">
        <w:rPr>
          <w:rFonts w:cs="Times New Roman"/>
          <w:i/>
          <w:iCs/>
          <w:szCs w:val="20"/>
          <w:lang w:val="es-ES"/>
        </w:rPr>
        <w:t xml:space="preserve">New </w:t>
      </w:r>
      <w:proofErr w:type="spellStart"/>
      <w:r w:rsidRPr="00723C53">
        <w:rPr>
          <w:rFonts w:cs="Times New Roman"/>
          <w:i/>
          <w:iCs/>
          <w:szCs w:val="20"/>
          <w:lang w:val="es-ES"/>
        </w:rPr>
        <w:t>England</w:t>
      </w:r>
      <w:proofErr w:type="spellEnd"/>
      <w:r w:rsidRPr="00723C53">
        <w:rPr>
          <w:rFonts w:cs="Times New Roman"/>
          <w:i/>
          <w:iCs/>
          <w:szCs w:val="20"/>
          <w:lang w:val="es-ES"/>
        </w:rPr>
        <w:t xml:space="preserve"> </w:t>
      </w:r>
      <w:proofErr w:type="spellStart"/>
      <w:r w:rsidRPr="00723C53">
        <w:rPr>
          <w:rFonts w:cs="Times New Roman"/>
          <w:i/>
          <w:iCs/>
          <w:szCs w:val="20"/>
          <w:lang w:val="es-ES"/>
        </w:rPr>
        <w:t>Journal</w:t>
      </w:r>
      <w:proofErr w:type="spellEnd"/>
      <w:r w:rsidRPr="00723C53">
        <w:rPr>
          <w:rFonts w:cs="Times New Roman"/>
          <w:i/>
          <w:iCs/>
          <w:szCs w:val="20"/>
          <w:lang w:val="es-ES"/>
        </w:rPr>
        <w:t xml:space="preserve"> of Medicine</w:t>
      </w:r>
      <w:r w:rsidRPr="006B28E8">
        <w:rPr>
          <w:rFonts w:cs="Times New Roman"/>
          <w:szCs w:val="20"/>
          <w:lang w:val="es-ES"/>
        </w:rPr>
        <w:t xml:space="preserve"> y </w:t>
      </w:r>
      <w:r w:rsidRPr="00723C53">
        <w:rPr>
          <w:rFonts w:cs="Times New Roman"/>
          <w:i/>
          <w:iCs/>
          <w:szCs w:val="20"/>
          <w:lang w:val="es-ES"/>
        </w:rPr>
        <w:t xml:space="preserve">JAMA </w:t>
      </w:r>
      <w:proofErr w:type="spellStart"/>
      <w:r w:rsidRPr="00723C53">
        <w:rPr>
          <w:rFonts w:cs="Times New Roman"/>
          <w:i/>
          <w:iCs/>
          <w:szCs w:val="20"/>
          <w:lang w:val="es-ES"/>
        </w:rPr>
        <w:t>Internal</w:t>
      </w:r>
      <w:proofErr w:type="spellEnd"/>
      <w:r w:rsidRPr="00723C53">
        <w:rPr>
          <w:rFonts w:cs="Times New Roman"/>
          <w:i/>
          <w:iCs/>
          <w:szCs w:val="20"/>
          <w:lang w:val="es-ES"/>
        </w:rPr>
        <w:t xml:space="preserve"> Medicine</w:t>
      </w:r>
      <w:r w:rsidRPr="006B28E8">
        <w:rPr>
          <w:rFonts w:cs="Times New Roman"/>
          <w:szCs w:val="20"/>
          <w:lang w:val="es-ES"/>
        </w:rPr>
        <w:t xml:space="preserve"> sé que los editores de estas revistas colaboran habitualmente con los autores para revisar los manuscritos y garantizar que las conclusiones se deriven de los datos. Yo lo hacía constantemente.</w:t>
      </w:r>
    </w:p>
    <w:p w14:paraId="077BB38E" w14:textId="77777777" w:rsidR="003A775F" w:rsidRPr="006B28E8" w:rsidRDefault="003A775F" w:rsidP="003A775F">
      <w:pPr>
        <w:contextualSpacing/>
        <w:rPr>
          <w:rFonts w:cs="Times New Roman"/>
          <w:szCs w:val="20"/>
          <w:lang w:val="es-ES"/>
        </w:rPr>
      </w:pPr>
    </w:p>
    <w:p w14:paraId="2FA40296" w14:textId="77777777" w:rsidR="003A775F" w:rsidRPr="006B28E8" w:rsidRDefault="003A775F" w:rsidP="003A775F">
      <w:pPr>
        <w:contextualSpacing/>
        <w:rPr>
          <w:rFonts w:cs="Times New Roman"/>
          <w:szCs w:val="20"/>
          <w:lang w:val="es-ES"/>
        </w:rPr>
      </w:pPr>
      <w:r w:rsidRPr="006B28E8">
        <w:rPr>
          <w:rFonts w:cs="Times New Roman"/>
          <w:szCs w:val="20"/>
          <w:lang w:val="es-ES"/>
        </w:rPr>
        <w:t xml:space="preserve">Se había previsto presentar, en una conferencia sobre la seguridad de los medicamentos, los resúmenes de dos estudios sobre la vacuna contra el herpes zóster: uno sobre la seguridad de la vacuna </w:t>
      </w:r>
      <w:proofErr w:type="spellStart"/>
      <w:r w:rsidRPr="006B28E8">
        <w:rPr>
          <w:rFonts w:cs="Times New Roman"/>
          <w:szCs w:val="20"/>
          <w:lang w:val="es-ES"/>
        </w:rPr>
        <w:t>Shingrix</w:t>
      </w:r>
      <w:proofErr w:type="spellEnd"/>
      <w:r w:rsidRPr="006B28E8">
        <w:rPr>
          <w:rFonts w:cs="Times New Roman"/>
          <w:szCs w:val="20"/>
          <w:lang w:val="es-ES"/>
        </w:rPr>
        <w:t xml:space="preserve"> y el otro sobre su eficacia [7]. La vacuna </w:t>
      </w:r>
      <w:proofErr w:type="spellStart"/>
      <w:r w:rsidRPr="006B28E8">
        <w:rPr>
          <w:rFonts w:cs="Times New Roman"/>
          <w:szCs w:val="20"/>
          <w:lang w:val="es-ES"/>
        </w:rPr>
        <w:t>Shingrix</w:t>
      </w:r>
      <w:proofErr w:type="spellEnd"/>
      <w:r w:rsidRPr="006B28E8">
        <w:rPr>
          <w:rFonts w:cs="Times New Roman"/>
          <w:szCs w:val="20"/>
          <w:lang w:val="es-ES"/>
        </w:rPr>
        <w:t>, aprobada por primera vez por la FDA en 2017, se utiliza para la prevención del herpes zóster en adultos de 50 años o más, y en adultos de 18 años o más con un riesgo elevado debido a inmunodeficiencia o inmunosupresión [8].</w:t>
      </w:r>
    </w:p>
    <w:p w14:paraId="42041094" w14:textId="77777777" w:rsidR="003A775F" w:rsidRPr="006B28E8" w:rsidRDefault="003A775F" w:rsidP="003A775F">
      <w:pPr>
        <w:contextualSpacing/>
        <w:rPr>
          <w:rFonts w:cs="Times New Roman"/>
          <w:szCs w:val="20"/>
          <w:lang w:val="es-ES"/>
        </w:rPr>
      </w:pPr>
    </w:p>
    <w:p w14:paraId="30FCE0AC" w14:textId="77777777" w:rsidR="003A775F" w:rsidRDefault="003A775F" w:rsidP="003A775F">
      <w:pPr>
        <w:contextualSpacing/>
        <w:rPr>
          <w:rFonts w:cs="Times New Roman"/>
          <w:szCs w:val="20"/>
          <w:lang w:val="es-ES"/>
        </w:rPr>
      </w:pPr>
      <w:r w:rsidRPr="006B28E8">
        <w:rPr>
          <w:rFonts w:cs="Times New Roman"/>
          <w:szCs w:val="20"/>
          <w:lang w:val="es-ES"/>
        </w:rPr>
        <w:t xml:space="preserve">El Senado celebrará audiencias de confirmación para los puestos vacantes de comisionado de la FDA y director de los CDC. </w:t>
      </w:r>
    </w:p>
    <w:p w14:paraId="7043F754" w14:textId="77777777" w:rsidR="003A775F" w:rsidRDefault="003A775F" w:rsidP="003A775F">
      <w:pPr>
        <w:contextualSpacing/>
        <w:rPr>
          <w:rFonts w:cs="Times New Roman"/>
          <w:szCs w:val="20"/>
          <w:lang w:val="es-ES"/>
        </w:rPr>
      </w:pPr>
      <w:r w:rsidRPr="006B28E8">
        <w:rPr>
          <w:rFonts w:cs="Times New Roman"/>
          <w:szCs w:val="20"/>
          <w:lang w:val="es-ES"/>
        </w:rPr>
        <w:t xml:space="preserve">Los candidatos deben comprometerse a revocar las decisiones de bloquear los estudios y permitir que se publiquen sin demora. </w:t>
      </w:r>
    </w:p>
    <w:p w14:paraId="7A745157" w14:textId="77777777" w:rsidR="003A775F" w:rsidRPr="006B28E8" w:rsidRDefault="003A775F" w:rsidP="003A775F">
      <w:pPr>
        <w:contextualSpacing/>
        <w:rPr>
          <w:rFonts w:cs="Times New Roman"/>
          <w:szCs w:val="20"/>
          <w:lang w:val="es-ES"/>
        </w:rPr>
      </w:pPr>
      <w:r w:rsidRPr="006B28E8">
        <w:rPr>
          <w:rFonts w:cs="Times New Roman"/>
          <w:szCs w:val="20"/>
          <w:lang w:val="es-ES"/>
        </w:rPr>
        <w:t>Los candidatos deben garantizar al pueblo estadounidense que, si son confirmados, las agencias que dirijan no censurarán la publicación de investigaciones científicas. Las agencias de salud pública responsables no censuran investigaciones serias sobre vacunas.</w:t>
      </w:r>
    </w:p>
    <w:p w14:paraId="5B617250" w14:textId="77777777" w:rsidR="003A775F" w:rsidRPr="006B28E8" w:rsidRDefault="003A775F" w:rsidP="003A775F">
      <w:pPr>
        <w:contextualSpacing/>
        <w:rPr>
          <w:rFonts w:cs="Times New Roman"/>
          <w:szCs w:val="20"/>
          <w:lang w:val="es-ES"/>
        </w:rPr>
      </w:pPr>
    </w:p>
    <w:p w14:paraId="446B3CB5" w14:textId="77777777" w:rsidR="003A775F" w:rsidRPr="00AE4DAB" w:rsidRDefault="003A775F" w:rsidP="003A775F">
      <w:pPr>
        <w:contextualSpacing/>
        <w:rPr>
          <w:rFonts w:cs="Times New Roman"/>
          <w:b/>
          <w:bCs/>
          <w:iCs/>
          <w:szCs w:val="20"/>
        </w:rPr>
      </w:pPr>
      <w:r w:rsidRPr="00AE4DAB">
        <w:rPr>
          <w:rFonts w:cs="Times New Roman"/>
          <w:b/>
          <w:bCs/>
          <w:iCs/>
          <w:szCs w:val="20"/>
        </w:rPr>
        <w:t>Referencias</w:t>
      </w:r>
    </w:p>
    <w:p w14:paraId="6104B6D5" w14:textId="77777777" w:rsidR="003A775F" w:rsidRPr="00F25512" w:rsidRDefault="003A775F" w:rsidP="00F25512">
      <w:pPr>
        <w:numPr>
          <w:ilvl w:val="0"/>
          <w:numId w:val="23"/>
        </w:numPr>
        <w:spacing w:after="160"/>
        <w:ind w:left="180" w:hanging="180"/>
        <w:contextualSpacing/>
        <w:rPr>
          <w:rFonts w:eastAsiaTheme="minorEastAsia" w:cs="Times New Roman"/>
          <w:sz w:val="18"/>
          <w:szCs w:val="18"/>
          <w:lang w:val="en-US" w:eastAsia="ja-JP"/>
        </w:rPr>
      </w:pPr>
      <w:r>
        <w:rPr>
          <w:rFonts w:eastAsiaTheme="minorEastAsia" w:cs="Times New Roman"/>
          <w:sz w:val="18"/>
          <w:szCs w:val="18"/>
          <w:lang w:val="en-US" w:eastAsia="ja-JP"/>
        </w:rPr>
        <w:t xml:space="preserve"> </w:t>
      </w:r>
      <w:r w:rsidRPr="00F25512">
        <w:rPr>
          <w:rFonts w:eastAsiaTheme="minorEastAsia" w:cs="Times New Roman"/>
          <w:sz w:val="18"/>
          <w:szCs w:val="18"/>
          <w:lang w:val="en-US" w:eastAsia="ja-JP"/>
        </w:rPr>
        <w:t xml:space="preserve">Sun, L. H. CDC won’t publish report showing covid shots cut likelihood of hospital visits. The Washington Post, 22 de </w:t>
      </w:r>
      <w:proofErr w:type="spellStart"/>
      <w:r w:rsidRPr="00F25512">
        <w:rPr>
          <w:rFonts w:eastAsiaTheme="minorEastAsia" w:cs="Times New Roman"/>
          <w:sz w:val="18"/>
          <w:szCs w:val="18"/>
          <w:lang w:val="en-US" w:eastAsia="ja-JP"/>
        </w:rPr>
        <w:t>abril</w:t>
      </w:r>
      <w:proofErr w:type="spellEnd"/>
      <w:r w:rsidRPr="00F25512">
        <w:rPr>
          <w:rFonts w:eastAsiaTheme="minorEastAsia" w:cs="Times New Roman"/>
          <w:sz w:val="18"/>
          <w:szCs w:val="18"/>
          <w:lang w:val="en-US" w:eastAsia="ja-JP"/>
        </w:rPr>
        <w:t xml:space="preserve"> de 2026. </w:t>
      </w:r>
      <w:hyperlink r:id="rId133" w:history="1">
        <w:r w:rsidRPr="00F25512">
          <w:rPr>
            <w:rFonts w:eastAsiaTheme="minorEastAsia" w:cs="Times New Roman"/>
            <w:color w:val="467886" w:themeColor="hyperlink"/>
            <w:sz w:val="18"/>
            <w:szCs w:val="18"/>
            <w:u w:val="single"/>
            <w:lang w:val="en-US" w:eastAsia="ja-JP"/>
          </w:rPr>
          <w:t>https://www.washingtonpost.com/health/2026/04/22/covid-vaccine-report-blocked-cdc-mmwr/</w:t>
        </w:r>
      </w:hyperlink>
    </w:p>
    <w:p w14:paraId="0CE6E35F" w14:textId="77777777" w:rsidR="003A775F" w:rsidRPr="00F25512" w:rsidRDefault="003A775F" w:rsidP="00F25512">
      <w:pPr>
        <w:numPr>
          <w:ilvl w:val="0"/>
          <w:numId w:val="23"/>
        </w:numPr>
        <w:spacing w:after="160"/>
        <w:ind w:left="180" w:hanging="180"/>
        <w:contextualSpacing/>
        <w:rPr>
          <w:rFonts w:eastAsiaTheme="minorEastAsia" w:cs="Times New Roman"/>
          <w:sz w:val="18"/>
          <w:szCs w:val="18"/>
          <w:lang w:val="en-US" w:eastAsia="ja-JP"/>
        </w:rPr>
      </w:pPr>
      <w:r w:rsidRPr="00F25512">
        <w:rPr>
          <w:rFonts w:eastAsiaTheme="minorEastAsia" w:cs="Times New Roman"/>
          <w:sz w:val="18"/>
          <w:szCs w:val="18"/>
          <w:lang w:val="en-US" w:eastAsia="ja-JP"/>
        </w:rPr>
        <w:t xml:space="preserve"> Bhattacharya, J. Under my leadership, the CDC will follow the evidence. The Washington Post, 30 de </w:t>
      </w:r>
      <w:proofErr w:type="spellStart"/>
      <w:r w:rsidRPr="00F25512">
        <w:rPr>
          <w:rFonts w:eastAsiaTheme="minorEastAsia" w:cs="Times New Roman"/>
          <w:sz w:val="18"/>
          <w:szCs w:val="18"/>
          <w:lang w:val="en-US" w:eastAsia="ja-JP"/>
        </w:rPr>
        <w:t>abril</w:t>
      </w:r>
      <w:proofErr w:type="spellEnd"/>
      <w:r w:rsidRPr="00F25512">
        <w:rPr>
          <w:rFonts w:eastAsiaTheme="minorEastAsia" w:cs="Times New Roman"/>
          <w:sz w:val="18"/>
          <w:szCs w:val="18"/>
          <w:lang w:val="en-US" w:eastAsia="ja-JP"/>
        </w:rPr>
        <w:t xml:space="preserve"> de 2026. </w:t>
      </w:r>
      <w:hyperlink r:id="rId134" w:history="1">
        <w:r w:rsidRPr="00F25512">
          <w:rPr>
            <w:rFonts w:eastAsiaTheme="minorEastAsia" w:cs="Times New Roman"/>
            <w:color w:val="467886" w:themeColor="hyperlink"/>
            <w:sz w:val="18"/>
            <w:szCs w:val="18"/>
            <w:u w:val="single"/>
            <w:lang w:val="en-US" w:eastAsia="ja-JP"/>
          </w:rPr>
          <w:t>https://www.washingtonpost.com/opinions/2026/04/30/jay-bhattacharya-cdc-is-committed-upholding-scientific-rigor/</w:t>
        </w:r>
      </w:hyperlink>
    </w:p>
    <w:p w14:paraId="10AD6CC3" w14:textId="77777777" w:rsidR="003A775F" w:rsidRPr="00F25512" w:rsidRDefault="003A775F" w:rsidP="00F25512">
      <w:pPr>
        <w:numPr>
          <w:ilvl w:val="0"/>
          <w:numId w:val="23"/>
        </w:numPr>
        <w:spacing w:after="160"/>
        <w:ind w:left="180" w:hanging="180"/>
        <w:contextualSpacing/>
        <w:rPr>
          <w:rFonts w:eastAsiaTheme="minorEastAsia" w:cs="Times New Roman"/>
          <w:sz w:val="18"/>
          <w:szCs w:val="18"/>
          <w:lang w:val="en-US" w:eastAsia="ja-JP"/>
        </w:rPr>
      </w:pPr>
      <w:r w:rsidRPr="00F25512">
        <w:rPr>
          <w:rFonts w:eastAsiaTheme="minorEastAsia" w:cs="Times New Roman"/>
          <w:sz w:val="18"/>
          <w:szCs w:val="18"/>
          <w:lang w:val="en-US" w:eastAsia="ja-JP"/>
        </w:rPr>
        <w:t xml:space="preserve"> Sun, L. H. CDC won’t publish report showing covid shots cut likelihood of hospital visits. The Washington Post, 22 de </w:t>
      </w:r>
      <w:proofErr w:type="spellStart"/>
      <w:r w:rsidRPr="00F25512">
        <w:rPr>
          <w:rFonts w:eastAsiaTheme="minorEastAsia" w:cs="Times New Roman"/>
          <w:sz w:val="18"/>
          <w:szCs w:val="18"/>
          <w:lang w:val="en-US" w:eastAsia="ja-JP"/>
        </w:rPr>
        <w:t>abril</w:t>
      </w:r>
      <w:proofErr w:type="spellEnd"/>
      <w:r w:rsidRPr="00F25512">
        <w:rPr>
          <w:rFonts w:eastAsiaTheme="minorEastAsia" w:cs="Times New Roman"/>
          <w:sz w:val="18"/>
          <w:szCs w:val="18"/>
          <w:lang w:val="en-US" w:eastAsia="ja-JP"/>
        </w:rPr>
        <w:t xml:space="preserve"> de 2026-b. </w:t>
      </w:r>
      <w:hyperlink r:id="rId135" w:history="1">
        <w:r w:rsidRPr="00F25512">
          <w:rPr>
            <w:rFonts w:eastAsiaTheme="minorEastAsia" w:cs="Times New Roman"/>
            <w:color w:val="467886" w:themeColor="hyperlink"/>
            <w:sz w:val="18"/>
            <w:szCs w:val="18"/>
            <w:u w:val="single"/>
            <w:lang w:val="en-US" w:eastAsia="ja-JP"/>
          </w:rPr>
          <w:t>https://www.washingtonpost.com/health/2026/04/22/covid-vaccine-report-blocked-cdc-mmwr/</w:t>
        </w:r>
      </w:hyperlink>
    </w:p>
    <w:p w14:paraId="68321F9F" w14:textId="77777777" w:rsidR="003A775F" w:rsidRPr="00F25512" w:rsidRDefault="003A775F" w:rsidP="00F25512">
      <w:pPr>
        <w:numPr>
          <w:ilvl w:val="0"/>
          <w:numId w:val="23"/>
        </w:numPr>
        <w:spacing w:after="160"/>
        <w:ind w:left="180" w:hanging="180"/>
        <w:contextualSpacing/>
        <w:rPr>
          <w:rFonts w:eastAsiaTheme="minorEastAsia" w:cs="Times New Roman"/>
          <w:sz w:val="18"/>
          <w:szCs w:val="18"/>
          <w:lang w:val="en-US" w:eastAsia="ja-JP"/>
        </w:rPr>
      </w:pPr>
      <w:r w:rsidRPr="00F25512">
        <w:rPr>
          <w:rFonts w:eastAsiaTheme="minorEastAsia" w:cs="Times New Roman"/>
          <w:sz w:val="18"/>
          <w:szCs w:val="18"/>
          <w:lang w:val="en-US" w:eastAsia="ja-JP"/>
        </w:rPr>
        <w:t xml:space="preserve"> Irving S.A, Rowley E.A.K, Chickery S. y 35 </w:t>
      </w:r>
      <w:proofErr w:type="spellStart"/>
      <w:r w:rsidRPr="00F25512">
        <w:rPr>
          <w:rFonts w:eastAsiaTheme="minorEastAsia" w:cs="Times New Roman"/>
          <w:sz w:val="18"/>
          <w:szCs w:val="18"/>
          <w:lang w:val="en-US" w:eastAsia="ja-JP"/>
        </w:rPr>
        <w:t>autores</w:t>
      </w:r>
      <w:proofErr w:type="spellEnd"/>
      <w:r w:rsidRPr="00F25512">
        <w:rPr>
          <w:rFonts w:eastAsiaTheme="minorEastAsia" w:cs="Times New Roman"/>
          <w:sz w:val="18"/>
          <w:szCs w:val="18"/>
          <w:lang w:val="en-US" w:eastAsia="ja-JP"/>
        </w:rPr>
        <w:t xml:space="preserve"> </w:t>
      </w:r>
      <w:proofErr w:type="spellStart"/>
      <w:r w:rsidRPr="00F25512">
        <w:rPr>
          <w:rFonts w:eastAsiaTheme="minorEastAsia" w:cs="Times New Roman"/>
          <w:sz w:val="18"/>
          <w:szCs w:val="18"/>
          <w:lang w:val="en-US" w:eastAsia="ja-JP"/>
        </w:rPr>
        <w:t>más</w:t>
      </w:r>
      <w:proofErr w:type="spellEnd"/>
      <w:r w:rsidRPr="00F25512">
        <w:rPr>
          <w:rFonts w:eastAsiaTheme="minorEastAsia" w:cs="Times New Roman"/>
          <w:sz w:val="18"/>
          <w:szCs w:val="18"/>
          <w:lang w:val="en-US" w:eastAsia="ja-JP"/>
        </w:rPr>
        <w:t xml:space="preserve">. Effectiveness of 2024–2025 COVID-19 vaccines in children in the United States. </w:t>
      </w:r>
      <w:r w:rsidRPr="00F25512">
        <w:rPr>
          <w:rFonts w:eastAsiaTheme="minorEastAsia" w:cs="Times New Roman"/>
          <w:sz w:val="18"/>
          <w:szCs w:val="18"/>
          <w:lang w:val="es-ES" w:eastAsia="ja-JP"/>
        </w:rPr>
        <w:t xml:space="preserve">VISION, 29 de agosto de 2024–2 de septiembre de 2025. CDC, 11 de diciembre de 2025. </w:t>
      </w:r>
      <w:hyperlink r:id="rId136" w:history="1">
        <w:r w:rsidRPr="00F25512">
          <w:rPr>
            <w:rFonts w:eastAsiaTheme="minorEastAsia" w:cs="Times New Roman"/>
            <w:color w:val="467886" w:themeColor="hyperlink"/>
            <w:sz w:val="18"/>
            <w:szCs w:val="18"/>
            <w:u w:val="single"/>
            <w:lang w:val="en-US" w:eastAsia="ja-JP"/>
          </w:rPr>
          <w:t>https://www.cdc.gov/mmwr/volumes/74/wr/mm7440a1.htm</w:t>
        </w:r>
      </w:hyperlink>
    </w:p>
    <w:p w14:paraId="65F40C19" w14:textId="77777777" w:rsidR="003A775F" w:rsidRPr="00F25512" w:rsidRDefault="003A775F" w:rsidP="00F25512">
      <w:pPr>
        <w:numPr>
          <w:ilvl w:val="0"/>
          <w:numId w:val="23"/>
        </w:numPr>
        <w:spacing w:after="160"/>
        <w:ind w:left="180" w:hanging="180"/>
        <w:contextualSpacing/>
        <w:rPr>
          <w:rFonts w:eastAsiaTheme="minorEastAsia" w:cs="Times New Roman"/>
          <w:sz w:val="18"/>
          <w:szCs w:val="18"/>
          <w:lang w:val="en-US" w:eastAsia="ja-JP"/>
        </w:rPr>
      </w:pPr>
      <w:r w:rsidRPr="00F25512">
        <w:rPr>
          <w:rFonts w:eastAsiaTheme="minorEastAsia" w:cs="Times New Roman"/>
          <w:sz w:val="18"/>
          <w:szCs w:val="18"/>
          <w:lang w:val="en-US" w:eastAsia="ja-JP"/>
        </w:rPr>
        <w:t xml:space="preserve"> Jewett, C. FDA blocked publication of research finding covid and shingles vaccines were safe. The New York Times, 5 de mayo de 2026. </w:t>
      </w:r>
      <w:hyperlink r:id="rId137" w:history="1">
        <w:r w:rsidRPr="00F25512">
          <w:rPr>
            <w:rFonts w:eastAsiaTheme="minorEastAsia" w:cs="Times New Roman"/>
            <w:color w:val="467886" w:themeColor="hyperlink"/>
            <w:sz w:val="18"/>
            <w:szCs w:val="18"/>
            <w:u w:val="single"/>
            <w:lang w:val="en-US" w:eastAsia="ja-JP"/>
          </w:rPr>
          <w:t>https://www.nytimes.com/2026/05/05/us/politics/fda-covid-vaccine-studies.html</w:t>
        </w:r>
      </w:hyperlink>
    </w:p>
    <w:p w14:paraId="5E810627" w14:textId="77777777" w:rsidR="003A775F" w:rsidRPr="00F25512" w:rsidRDefault="003A775F" w:rsidP="00F25512">
      <w:pPr>
        <w:numPr>
          <w:ilvl w:val="0"/>
          <w:numId w:val="23"/>
        </w:numPr>
        <w:spacing w:after="160"/>
        <w:ind w:left="180" w:hanging="180"/>
        <w:contextualSpacing/>
        <w:rPr>
          <w:rFonts w:eastAsiaTheme="minorEastAsia" w:cs="Times New Roman"/>
          <w:sz w:val="18"/>
          <w:szCs w:val="18"/>
          <w:lang w:val="es-MX" w:eastAsia="ja-JP"/>
        </w:rPr>
      </w:pPr>
      <w:r w:rsidRPr="00F25512">
        <w:rPr>
          <w:rFonts w:eastAsiaTheme="minorEastAsia" w:cs="Times New Roman"/>
          <w:i/>
          <w:iCs/>
          <w:sz w:val="18"/>
          <w:szCs w:val="18"/>
          <w:lang w:val="en-US" w:eastAsia="ja-JP"/>
        </w:rPr>
        <w:t xml:space="preserve"> 2025 ISPE Annual Meeting</w:t>
      </w:r>
      <w:r w:rsidRPr="00F25512">
        <w:rPr>
          <w:rFonts w:eastAsiaTheme="minorEastAsia" w:cs="Times New Roman"/>
          <w:sz w:val="18"/>
          <w:szCs w:val="18"/>
          <w:lang w:val="en-US" w:eastAsia="ja-JP"/>
        </w:rPr>
        <w:t xml:space="preserve">. (n.d.). </w:t>
      </w:r>
      <w:hyperlink r:id="rId138" w:history="1">
        <w:r w:rsidRPr="00F25512">
          <w:rPr>
            <w:rFonts w:eastAsiaTheme="minorEastAsia" w:cs="Times New Roman"/>
            <w:color w:val="467886" w:themeColor="hyperlink"/>
            <w:sz w:val="18"/>
            <w:szCs w:val="18"/>
            <w:u w:val="single"/>
            <w:lang w:val="es-MX" w:eastAsia="ja-JP"/>
          </w:rPr>
          <w:t>https://2025ispe.eventscribe.net/fsPopup.asp?PresenterID=1839098&amp;mode=posterPresenterInfo</w:t>
        </w:r>
      </w:hyperlink>
    </w:p>
    <w:p w14:paraId="16D5F5AA" w14:textId="77777777" w:rsidR="003A775F" w:rsidRPr="00F25512" w:rsidRDefault="003A775F" w:rsidP="00F25512">
      <w:pPr>
        <w:numPr>
          <w:ilvl w:val="0"/>
          <w:numId w:val="23"/>
        </w:numPr>
        <w:spacing w:after="160"/>
        <w:ind w:left="180" w:hanging="180"/>
        <w:contextualSpacing/>
        <w:rPr>
          <w:rFonts w:eastAsiaTheme="minorEastAsia" w:cs="Times New Roman"/>
          <w:sz w:val="18"/>
          <w:szCs w:val="18"/>
          <w:lang w:val="es-ES" w:eastAsia="ja-JP"/>
        </w:rPr>
      </w:pPr>
      <w:r w:rsidRPr="00F25512">
        <w:rPr>
          <w:rFonts w:eastAsiaTheme="minorEastAsia" w:cs="Times New Roman"/>
          <w:sz w:val="18"/>
          <w:szCs w:val="18"/>
          <w:lang w:val="es-MX" w:eastAsia="ja-JP"/>
        </w:rPr>
        <w:t xml:space="preserve"> </w:t>
      </w:r>
      <w:proofErr w:type="spellStart"/>
      <w:r w:rsidRPr="00F25512">
        <w:rPr>
          <w:rFonts w:eastAsiaTheme="minorEastAsia" w:cs="Times New Roman"/>
          <w:sz w:val="18"/>
          <w:szCs w:val="18"/>
          <w:lang w:val="es-MX" w:eastAsia="ja-JP"/>
        </w:rPr>
        <w:t>Gruber</w:t>
      </w:r>
      <w:proofErr w:type="spellEnd"/>
      <w:r w:rsidRPr="00F25512">
        <w:rPr>
          <w:rFonts w:eastAsiaTheme="minorEastAsia" w:cs="Times New Roman"/>
          <w:sz w:val="18"/>
          <w:szCs w:val="18"/>
          <w:lang w:val="es-MX" w:eastAsia="ja-JP"/>
        </w:rPr>
        <w:t xml:space="preserve">, J.F., </w:t>
      </w:r>
      <w:proofErr w:type="spellStart"/>
      <w:r w:rsidRPr="00F25512">
        <w:rPr>
          <w:rFonts w:eastAsiaTheme="minorEastAsia" w:cs="Times New Roman"/>
          <w:sz w:val="18"/>
          <w:szCs w:val="18"/>
          <w:lang w:val="es-MX" w:eastAsia="ja-JP"/>
        </w:rPr>
        <w:t>Ondari</w:t>
      </w:r>
      <w:proofErr w:type="spellEnd"/>
      <w:r w:rsidRPr="00F25512">
        <w:rPr>
          <w:rFonts w:eastAsiaTheme="minorEastAsia" w:cs="Times New Roman"/>
          <w:sz w:val="18"/>
          <w:szCs w:val="18"/>
          <w:lang w:val="es-MX" w:eastAsia="ja-JP"/>
        </w:rPr>
        <w:t xml:space="preserve">, M., Zelaya, C.E., et al. </w:t>
      </w:r>
      <w:r w:rsidRPr="00F25512">
        <w:rPr>
          <w:rFonts w:eastAsiaTheme="minorEastAsia" w:cs="Times New Roman"/>
          <w:sz w:val="18"/>
          <w:szCs w:val="18"/>
          <w:lang w:val="en-US" w:eastAsia="ja-JP"/>
        </w:rPr>
        <w:t xml:space="preserve">Safety monitoring of multiple health outcomes following 2023–2024 COVID-19 vaccination among Medicare beneficiaries aged 65 years and older in the United States. </w:t>
      </w:r>
      <w:proofErr w:type="spellStart"/>
      <w:r w:rsidRPr="00F25512">
        <w:rPr>
          <w:rFonts w:eastAsiaTheme="minorEastAsia" w:cs="Times New Roman"/>
          <w:sz w:val="18"/>
          <w:szCs w:val="18"/>
          <w:lang w:val="es-ES" w:eastAsia="ja-JP"/>
        </w:rPr>
        <w:t>MedRxiv</w:t>
      </w:r>
      <w:proofErr w:type="spellEnd"/>
      <w:r w:rsidRPr="00F25512">
        <w:rPr>
          <w:rFonts w:eastAsiaTheme="minorEastAsia" w:cs="Times New Roman"/>
          <w:sz w:val="18"/>
          <w:szCs w:val="18"/>
          <w:lang w:val="es-ES" w:eastAsia="ja-JP"/>
        </w:rPr>
        <w:t xml:space="preserve">., 1 de marzo de 2025. </w:t>
      </w:r>
      <w:hyperlink r:id="rId139" w:history="1">
        <w:r w:rsidRPr="00F25512">
          <w:rPr>
            <w:rFonts w:eastAsiaTheme="minorEastAsia" w:cs="Times New Roman"/>
            <w:color w:val="467886" w:themeColor="hyperlink"/>
            <w:sz w:val="18"/>
            <w:szCs w:val="18"/>
            <w:u w:val="single"/>
            <w:lang w:val="es-ES" w:eastAsia="ja-JP"/>
          </w:rPr>
          <w:t>https://www.medrxiv.org/content/10.1101/2025.01.03.25319975v1.full</w:t>
        </w:r>
      </w:hyperlink>
    </w:p>
    <w:p w14:paraId="293E3906" w14:textId="77777777" w:rsidR="003A775F" w:rsidRPr="00F25512" w:rsidRDefault="003A775F" w:rsidP="00F25512">
      <w:pPr>
        <w:numPr>
          <w:ilvl w:val="0"/>
          <w:numId w:val="23"/>
        </w:numPr>
        <w:ind w:left="180" w:hanging="180"/>
        <w:contextualSpacing/>
        <w:rPr>
          <w:rFonts w:eastAsiaTheme="minorEastAsia" w:cs="Times New Roman"/>
          <w:sz w:val="18"/>
          <w:szCs w:val="18"/>
          <w:lang w:val="en-US" w:eastAsia="ja-JP"/>
        </w:rPr>
      </w:pPr>
      <w:r w:rsidRPr="00F25512">
        <w:rPr>
          <w:rFonts w:eastAsiaTheme="minorEastAsia" w:cs="Times New Roman"/>
          <w:sz w:val="18"/>
          <w:szCs w:val="18"/>
          <w:lang w:val="es-ES" w:eastAsia="ja-JP"/>
        </w:rPr>
        <w:t xml:space="preserve"> </w:t>
      </w:r>
      <w:r w:rsidRPr="00F25512">
        <w:rPr>
          <w:rFonts w:eastAsiaTheme="minorEastAsia" w:cs="Times New Roman"/>
          <w:sz w:val="18"/>
          <w:szCs w:val="18"/>
          <w:lang w:val="en-US" w:eastAsia="ja-JP"/>
        </w:rPr>
        <w:t xml:space="preserve">Jewett, C. FDA blocked publication of research finding covid and shingles vaccines were safe. The New York Times, 5 de mayo de 2026-b. </w:t>
      </w:r>
      <w:hyperlink r:id="rId140" w:history="1">
        <w:r w:rsidRPr="00F25512">
          <w:rPr>
            <w:rFonts w:eastAsiaTheme="minorEastAsia" w:cs="Times New Roman"/>
            <w:color w:val="467886" w:themeColor="hyperlink"/>
            <w:sz w:val="18"/>
            <w:szCs w:val="18"/>
            <w:u w:val="single"/>
            <w:lang w:val="en-US" w:eastAsia="ja-JP"/>
          </w:rPr>
          <w:t>https://www.nytimes.com/2026/05/05/us/politics/fda-covid-vaccine-studies.html</w:t>
        </w:r>
      </w:hyperlink>
    </w:p>
    <w:p w14:paraId="0AD729F8" w14:textId="77777777" w:rsidR="00421B71" w:rsidRDefault="00421B71" w:rsidP="003A775F">
      <w:pPr>
        <w:contextualSpacing/>
        <w:jc w:val="center"/>
        <w:rPr>
          <w:rFonts w:eastAsia="Times New Roman" w:cs="Times New Roman"/>
          <w:color w:val="0D0D0D" w:themeColor="text1" w:themeTint="F2"/>
          <w:szCs w:val="20"/>
          <w:lang w:val="en-US"/>
        </w:rPr>
        <w:sectPr w:rsidR="00421B71" w:rsidSect="00421B71">
          <w:type w:val="continuous"/>
          <w:pgSz w:w="12240" w:h="15840" w:code="1"/>
          <w:pgMar w:top="720" w:right="720" w:bottom="720" w:left="720" w:header="288" w:footer="288" w:gutter="0"/>
          <w:cols w:num="2" w:space="288"/>
          <w:docGrid w:linePitch="360"/>
        </w:sectPr>
      </w:pPr>
    </w:p>
    <w:p w14:paraId="531E72D8" w14:textId="132B9A9D" w:rsidR="003A775F" w:rsidRPr="00F25512" w:rsidRDefault="003A775F" w:rsidP="003A775F">
      <w:pPr>
        <w:contextualSpacing/>
        <w:jc w:val="center"/>
        <w:rPr>
          <w:rFonts w:eastAsia="Times New Roman" w:cs="Times New Roman"/>
          <w:color w:val="0D0D0D" w:themeColor="text1" w:themeTint="F2"/>
          <w:szCs w:val="20"/>
          <w:lang w:val="en-US"/>
        </w:rPr>
      </w:pPr>
    </w:p>
    <w:p w14:paraId="5228B63D" w14:textId="77777777" w:rsidR="003A775F" w:rsidRPr="00F25512" w:rsidRDefault="003A775F" w:rsidP="003A775F">
      <w:pPr>
        <w:contextualSpacing/>
        <w:jc w:val="center"/>
        <w:rPr>
          <w:rFonts w:eastAsia="Times New Roman" w:cs="Times New Roman"/>
          <w:color w:val="0D0D0D" w:themeColor="text1" w:themeTint="F2"/>
          <w:szCs w:val="20"/>
          <w:lang w:val="en-US"/>
        </w:rPr>
      </w:pPr>
    </w:p>
    <w:p w14:paraId="7EE41FF8" w14:textId="77777777" w:rsidR="003A775F" w:rsidRPr="00734FD6" w:rsidRDefault="003A775F" w:rsidP="003A775F">
      <w:pPr>
        <w:contextualSpacing/>
        <w:jc w:val="center"/>
        <w:rPr>
          <w:rFonts w:eastAsia="Times New Roman" w:cs="Times New Roman"/>
          <w:color w:val="FF0000"/>
          <w:szCs w:val="20"/>
        </w:rPr>
      </w:pPr>
      <w:r>
        <w:rPr>
          <w:rFonts w:eastAsia="Times New Roman" w:cs="Times New Roman"/>
          <w:color w:val="0D0D0D" w:themeColor="text1" w:themeTint="F2"/>
          <w:szCs w:val="20"/>
        </w:rPr>
        <w:t xml:space="preserve">EE UU. </w:t>
      </w:r>
      <w:r w:rsidRPr="00EA71DA">
        <w:rPr>
          <w:rFonts w:eastAsia="Times New Roman" w:cs="Times New Roman"/>
          <w:b/>
          <w:bCs/>
          <w:color w:val="0D0D0D" w:themeColor="text1" w:themeTint="F2"/>
          <w:szCs w:val="20"/>
        </w:rPr>
        <w:t>Denuncias sobre el uso inadecuado de antibióticos en animales</w:t>
      </w:r>
    </w:p>
    <w:p w14:paraId="10AB56D2" w14:textId="77777777" w:rsidR="003A775F" w:rsidRDefault="003A775F" w:rsidP="003A775F">
      <w:pPr>
        <w:contextualSpacing/>
        <w:jc w:val="center"/>
        <w:rPr>
          <w:rFonts w:eastAsia="Times New Roman" w:cs="Times New Roman"/>
          <w:color w:val="0D0D0D" w:themeColor="text1" w:themeTint="F2"/>
          <w:szCs w:val="20"/>
        </w:rPr>
      </w:pPr>
      <w:r>
        <w:rPr>
          <w:rFonts w:eastAsia="Times New Roman" w:cs="Times New Roman"/>
          <w:color w:val="0D0D0D" w:themeColor="text1" w:themeTint="F2"/>
          <w:szCs w:val="20"/>
        </w:rPr>
        <w:t>Salud y Fármacos</w:t>
      </w:r>
    </w:p>
    <w:p w14:paraId="182E7528" w14:textId="77777777" w:rsidR="003A775F" w:rsidRPr="00A21F37" w:rsidRDefault="003A775F" w:rsidP="003A775F">
      <w:pPr>
        <w:jc w:val="center"/>
        <w:rPr>
          <w:lang w:val="es-ES"/>
        </w:rPr>
      </w:pPr>
      <w:r w:rsidRPr="00CA0441">
        <w:rPr>
          <w:rFonts w:cs="Times New Roman"/>
          <w:i/>
          <w:iCs/>
          <w:szCs w:val="20"/>
          <w:lang w:val="es-ES"/>
        </w:rPr>
        <w:t xml:space="preserve">Boletín Fármacos: </w:t>
      </w:r>
      <w:r>
        <w:rPr>
          <w:rFonts w:eastAsia="Times New Roman" w:cs="Times New Roman"/>
          <w:bCs/>
          <w:i/>
          <w:iCs/>
          <w:color w:val="000000" w:themeColor="text1"/>
          <w:szCs w:val="16"/>
          <w:lang w:val="es-ES"/>
        </w:rPr>
        <w:t>Age</w:t>
      </w:r>
      <w:r w:rsidRPr="00A21F37">
        <w:rPr>
          <w:rFonts w:eastAsia="Times New Roman" w:cs="Times New Roman"/>
          <w:bCs/>
          <w:i/>
          <w:iCs/>
          <w:color w:val="000000" w:themeColor="text1"/>
          <w:szCs w:val="16"/>
          <w:lang w:val="es-ES"/>
        </w:rPr>
        <w:t>ncia</w:t>
      </w:r>
      <w:r>
        <w:rPr>
          <w:rFonts w:eastAsia="Times New Roman" w:cs="Times New Roman"/>
          <w:bCs/>
          <w:i/>
          <w:iCs/>
          <w:color w:val="000000" w:themeColor="text1"/>
          <w:szCs w:val="16"/>
          <w:lang w:val="es-ES"/>
        </w:rPr>
        <w:t>s Reguladoras</w:t>
      </w:r>
      <w:r w:rsidRPr="00A21F37">
        <w:rPr>
          <w:rFonts w:eastAsia="Times New Roman" w:cs="Times New Roman"/>
          <w:bCs/>
          <w:i/>
          <w:iCs/>
          <w:color w:val="000000" w:themeColor="text1"/>
          <w:szCs w:val="16"/>
          <w:lang w:val="es-ES"/>
        </w:rPr>
        <w:t xml:space="preserve"> 2026; 29(</w:t>
      </w:r>
      <w:r>
        <w:rPr>
          <w:rFonts w:eastAsia="Times New Roman" w:cs="Times New Roman"/>
          <w:bCs/>
          <w:i/>
          <w:iCs/>
          <w:color w:val="000000" w:themeColor="text1"/>
          <w:szCs w:val="16"/>
          <w:lang w:val="es-ES"/>
        </w:rPr>
        <w:t>3</w:t>
      </w:r>
      <w:r w:rsidRPr="00A21F37">
        <w:rPr>
          <w:rFonts w:eastAsia="Times New Roman" w:cs="Times New Roman"/>
          <w:bCs/>
          <w:i/>
          <w:iCs/>
          <w:color w:val="000000" w:themeColor="text1"/>
          <w:szCs w:val="16"/>
          <w:lang w:val="es-ES"/>
        </w:rPr>
        <w:t>)</w:t>
      </w:r>
    </w:p>
    <w:p w14:paraId="49514238" w14:textId="77777777" w:rsidR="003A775F" w:rsidRPr="00CA0441" w:rsidRDefault="003A775F" w:rsidP="003A775F">
      <w:pPr>
        <w:rPr>
          <w:rFonts w:eastAsia="Times New Roman" w:cs="Times New Roman"/>
          <w:szCs w:val="20"/>
          <w:lang w:val="es-ES"/>
        </w:rPr>
      </w:pPr>
    </w:p>
    <w:p w14:paraId="54062672" w14:textId="77777777" w:rsidR="00421B71" w:rsidRDefault="00421B71" w:rsidP="003A775F">
      <w:pPr>
        <w:contextualSpacing/>
        <w:rPr>
          <w:rFonts w:eastAsia="Times New Roman" w:cs="Times New Roman"/>
          <w:b/>
          <w:bCs/>
          <w:sz w:val="18"/>
          <w:szCs w:val="18"/>
          <w:lang w:val="es-ES"/>
        </w:rPr>
        <w:sectPr w:rsidR="00421B71" w:rsidSect="00F25512">
          <w:type w:val="continuous"/>
          <w:pgSz w:w="12240" w:h="15840" w:code="1"/>
          <w:pgMar w:top="720" w:right="720" w:bottom="720" w:left="720" w:header="288" w:footer="288" w:gutter="0"/>
          <w:cols w:space="288"/>
          <w:docGrid w:linePitch="360"/>
        </w:sectPr>
      </w:pPr>
    </w:p>
    <w:p w14:paraId="4D662B25" w14:textId="7B71B3A8" w:rsidR="003A775F" w:rsidRPr="003B37EC" w:rsidRDefault="003A775F" w:rsidP="003A775F">
      <w:pPr>
        <w:contextualSpacing/>
        <w:rPr>
          <w:rFonts w:eastAsia="Times New Roman" w:cs="Times New Roman"/>
          <w:b/>
          <w:bCs/>
          <w:sz w:val="16"/>
          <w:szCs w:val="16"/>
          <w:lang w:val="es-ES"/>
        </w:rPr>
      </w:pPr>
      <w:r w:rsidRPr="00CA0441">
        <w:rPr>
          <w:rFonts w:eastAsia="Times New Roman" w:cs="Times New Roman"/>
          <w:b/>
          <w:bCs/>
          <w:sz w:val="18"/>
          <w:szCs w:val="18"/>
          <w:lang w:val="es-ES"/>
        </w:rPr>
        <w:t>Tags:</w:t>
      </w:r>
      <w:r>
        <w:rPr>
          <w:rFonts w:eastAsia="Times New Roman" w:cs="Times New Roman"/>
          <w:b/>
          <w:bCs/>
          <w:sz w:val="18"/>
          <w:szCs w:val="18"/>
          <w:lang w:val="es-ES"/>
        </w:rPr>
        <w:t xml:space="preserve"> </w:t>
      </w:r>
      <w:r w:rsidRPr="003B37EC">
        <w:rPr>
          <w:rFonts w:eastAsia="Times New Roman" w:cs="Times New Roman"/>
          <w:b/>
          <w:bCs/>
          <w:color w:val="0D0D0D" w:themeColor="text1" w:themeTint="F2"/>
          <w:sz w:val="18"/>
          <w:szCs w:val="18"/>
        </w:rPr>
        <w:t>uso inadecuado de antibióticos, antibióticos en animales, antibióticos y sector agroalimentario</w:t>
      </w:r>
    </w:p>
    <w:p w14:paraId="63920B3F" w14:textId="77777777" w:rsidR="003A775F" w:rsidRDefault="003A775F" w:rsidP="003A775F">
      <w:pPr>
        <w:contextualSpacing/>
        <w:rPr>
          <w:rFonts w:eastAsia="Times New Roman" w:cs="Times New Roman"/>
          <w:b/>
          <w:bCs/>
          <w:sz w:val="18"/>
          <w:szCs w:val="18"/>
          <w:lang w:val="es-ES"/>
        </w:rPr>
      </w:pPr>
    </w:p>
    <w:p w14:paraId="74C663CC" w14:textId="77777777" w:rsidR="003A775F" w:rsidRPr="00D37A37" w:rsidRDefault="003A775F" w:rsidP="003A775F">
      <w:pPr>
        <w:contextualSpacing/>
        <w:rPr>
          <w:rFonts w:eastAsia="Times New Roman" w:cs="Times New Roman"/>
          <w:color w:val="0D0D0D" w:themeColor="text1" w:themeTint="F2"/>
          <w:szCs w:val="20"/>
        </w:rPr>
      </w:pPr>
      <w:r w:rsidRPr="00D37A37">
        <w:rPr>
          <w:rFonts w:eastAsia="Times New Roman" w:cs="Times New Roman"/>
          <w:color w:val="0D0D0D" w:themeColor="text1" w:themeTint="F2"/>
          <w:szCs w:val="20"/>
        </w:rPr>
        <w:t xml:space="preserve">Más de 60 organizaciones </w:t>
      </w:r>
      <w:r>
        <w:rPr>
          <w:rFonts w:eastAsia="Times New Roman" w:cs="Times New Roman"/>
          <w:color w:val="0D0D0D" w:themeColor="text1" w:themeTint="F2"/>
          <w:szCs w:val="20"/>
        </w:rPr>
        <w:t>de activistas exigen</w:t>
      </w:r>
      <w:r w:rsidRPr="00D37A37">
        <w:rPr>
          <w:rFonts w:eastAsia="Times New Roman" w:cs="Times New Roman"/>
          <w:color w:val="0D0D0D" w:themeColor="text1" w:themeTint="F2"/>
          <w:szCs w:val="20"/>
        </w:rPr>
        <w:t xml:space="preserve"> </w:t>
      </w:r>
      <w:r>
        <w:rPr>
          <w:rFonts w:eastAsia="Times New Roman" w:cs="Times New Roman"/>
          <w:color w:val="0D0D0D" w:themeColor="text1" w:themeTint="F2"/>
          <w:szCs w:val="20"/>
        </w:rPr>
        <w:t>que</w:t>
      </w:r>
      <w:r w:rsidRPr="00D37A37">
        <w:rPr>
          <w:rFonts w:eastAsia="Times New Roman" w:cs="Times New Roman"/>
          <w:color w:val="0D0D0D" w:themeColor="text1" w:themeTint="F2"/>
          <w:szCs w:val="20"/>
        </w:rPr>
        <w:t xml:space="preserve"> la FDA retir</w:t>
      </w:r>
      <w:r>
        <w:rPr>
          <w:rFonts w:eastAsia="Times New Roman" w:cs="Times New Roman"/>
          <w:color w:val="0D0D0D" w:themeColor="text1" w:themeTint="F2"/>
          <w:szCs w:val="20"/>
        </w:rPr>
        <w:t>e</w:t>
      </w:r>
      <w:r w:rsidRPr="00D37A37">
        <w:rPr>
          <w:rFonts w:eastAsia="Times New Roman" w:cs="Times New Roman"/>
          <w:color w:val="0D0D0D" w:themeColor="text1" w:themeTint="F2"/>
          <w:szCs w:val="20"/>
        </w:rPr>
        <w:t xml:space="preserve"> la aprobación del uso</w:t>
      </w:r>
      <w:r>
        <w:rPr>
          <w:rFonts w:eastAsia="Times New Roman" w:cs="Times New Roman"/>
          <w:color w:val="0D0D0D" w:themeColor="text1" w:themeTint="F2"/>
          <w:szCs w:val="20"/>
        </w:rPr>
        <w:t xml:space="preserve"> </w:t>
      </w:r>
      <w:r w:rsidRPr="00D37A37">
        <w:rPr>
          <w:rFonts w:eastAsia="Times New Roman" w:cs="Times New Roman"/>
          <w:color w:val="0D0D0D" w:themeColor="text1" w:themeTint="F2"/>
          <w:szCs w:val="20"/>
        </w:rPr>
        <w:t xml:space="preserve">de antibióticos para </w:t>
      </w:r>
      <w:r>
        <w:rPr>
          <w:rFonts w:eastAsia="Times New Roman" w:cs="Times New Roman"/>
          <w:color w:val="0D0D0D" w:themeColor="text1" w:themeTint="F2"/>
          <w:szCs w:val="20"/>
        </w:rPr>
        <w:t xml:space="preserve">la </w:t>
      </w:r>
      <w:r w:rsidRPr="00D37A37">
        <w:rPr>
          <w:rFonts w:eastAsia="Times New Roman" w:cs="Times New Roman"/>
          <w:color w:val="0D0D0D" w:themeColor="text1" w:themeTint="F2"/>
          <w:szCs w:val="20"/>
        </w:rPr>
        <w:t>preven</w:t>
      </w:r>
      <w:r>
        <w:rPr>
          <w:rFonts w:eastAsia="Times New Roman" w:cs="Times New Roman"/>
          <w:color w:val="0D0D0D" w:themeColor="text1" w:themeTint="F2"/>
          <w:szCs w:val="20"/>
        </w:rPr>
        <w:t>ción</w:t>
      </w:r>
      <w:r w:rsidRPr="00D37A37">
        <w:rPr>
          <w:rFonts w:eastAsia="Times New Roman" w:cs="Times New Roman"/>
          <w:color w:val="0D0D0D" w:themeColor="text1" w:themeTint="F2"/>
          <w:szCs w:val="20"/>
        </w:rPr>
        <w:t xml:space="preserve"> </w:t>
      </w:r>
      <w:r>
        <w:rPr>
          <w:rFonts w:eastAsia="Times New Roman" w:cs="Times New Roman"/>
          <w:color w:val="0D0D0D" w:themeColor="text1" w:themeTint="F2"/>
          <w:szCs w:val="20"/>
        </w:rPr>
        <w:t xml:space="preserve">de </w:t>
      </w:r>
      <w:r w:rsidRPr="00D37A37">
        <w:rPr>
          <w:rFonts w:eastAsia="Times New Roman" w:cs="Times New Roman"/>
          <w:color w:val="0D0D0D" w:themeColor="text1" w:themeTint="F2"/>
          <w:szCs w:val="20"/>
        </w:rPr>
        <w:t xml:space="preserve">enfermedades en el ganado </w:t>
      </w:r>
      <w:r>
        <w:rPr>
          <w:rFonts w:eastAsia="Times New Roman" w:cs="Times New Roman"/>
          <w:color w:val="0D0D0D" w:themeColor="text1" w:themeTint="F2"/>
          <w:szCs w:val="20"/>
        </w:rPr>
        <w:t>que se utilizará</w:t>
      </w:r>
      <w:r w:rsidRPr="00D37A37">
        <w:rPr>
          <w:rFonts w:eastAsia="Times New Roman" w:cs="Times New Roman"/>
          <w:color w:val="0D0D0D" w:themeColor="text1" w:themeTint="F2"/>
          <w:szCs w:val="20"/>
        </w:rPr>
        <w:t xml:space="preserve"> </w:t>
      </w:r>
      <w:r>
        <w:rPr>
          <w:rFonts w:eastAsia="Times New Roman" w:cs="Times New Roman"/>
          <w:color w:val="0D0D0D" w:themeColor="text1" w:themeTint="F2"/>
          <w:szCs w:val="20"/>
        </w:rPr>
        <w:t>par</w:t>
      </w:r>
      <w:r w:rsidRPr="00D37A37">
        <w:rPr>
          <w:rFonts w:eastAsia="Times New Roman" w:cs="Times New Roman"/>
          <w:color w:val="0D0D0D" w:themeColor="text1" w:themeTint="F2"/>
          <w:szCs w:val="20"/>
        </w:rPr>
        <w:t>a la producción de alimentos</w:t>
      </w:r>
      <w:r>
        <w:rPr>
          <w:rFonts w:eastAsia="Times New Roman" w:cs="Times New Roman"/>
          <w:color w:val="0D0D0D" w:themeColor="text1" w:themeTint="F2"/>
          <w:szCs w:val="20"/>
        </w:rPr>
        <w:t xml:space="preserve">. </w:t>
      </w:r>
      <w:r w:rsidRPr="00D37A37">
        <w:rPr>
          <w:rFonts w:eastAsia="Times New Roman" w:cs="Times New Roman"/>
          <w:color w:val="0D0D0D" w:themeColor="text1" w:themeTint="F2"/>
          <w:szCs w:val="20"/>
        </w:rPr>
        <w:t xml:space="preserve"> </w:t>
      </w:r>
      <w:r>
        <w:rPr>
          <w:rFonts w:eastAsia="Times New Roman" w:cs="Times New Roman"/>
          <w:color w:val="0D0D0D" w:themeColor="text1" w:themeTint="F2"/>
          <w:szCs w:val="20"/>
        </w:rPr>
        <w:t xml:space="preserve">Consideran que son </w:t>
      </w:r>
      <w:r w:rsidRPr="00D37A37">
        <w:rPr>
          <w:rFonts w:eastAsia="Times New Roman" w:cs="Times New Roman"/>
          <w:color w:val="0D0D0D" w:themeColor="text1" w:themeTint="F2"/>
          <w:szCs w:val="20"/>
        </w:rPr>
        <w:t>inseguro</w:t>
      </w:r>
      <w:r>
        <w:rPr>
          <w:rFonts w:eastAsia="Times New Roman" w:cs="Times New Roman"/>
          <w:color w:val="0D0D0D" w:themeColor="text1" w:themeTint="F2"/>
          <w:szCs w:val="20"/>
        </w:rPr>
        <w:t>s y que l</w:t>
      </w:r>
      <w:r w:rsidRPr="00D37A37">
        <w:rPr>
          <w:rFonts w:eastAsia="Times New Roman" w:cs="Times New Roman"/>
          <w:color w:val="0D0D0D" w:themeColor="text1" w:themeTint="F2"/>
          <w:szCs w:val="20"/>
        </w:rPr>
        <w:t>a FDA de</w:t>
      </w:r>
      <w:r>
        <w:rPr>
          <w:rFonts w:eastAsia="Times New Roman" w:cs="Times New Roman"/>
          <w:color w:val="0D0D0D" w:themeColor="text1" w:themeTint="F2"/>
          <w:szCs w:val="20"/>
        </w:rPr>
        <w:t>be</w:t>
      </w:r>
      <w:r w:rsidRPr="00D37A37">
        <w:rPr>
          <w:rFonts w:eastAsia="Times New Roman" w:cs="Times New Roman"/>
          <w:color w:val="0D0D0D" w:themeColor="text1" w:themeTint="F2"/>
          <w:szCs w:val="20"/>
        </w:rPr>
        <w:t xml:space="preserve"> </w:t>
      </w:r>
      <w:r>
        <w:rPr>
          <w:rFonts w:eastAsia="Times New Roman" w:cs="Times New Roman"/>
          <w:color w:val="0D0D0D" w:themeColor="text1" w:themeTint="F2"/>
          <w:szCs w:val="20"/>
        </w:rPr>
        <w:t>vel</w:t>
      </w:r>
      <w:r w:rsidRPr="00D37A37">
        <w:rPr>
          <w:rFonts w:eastAsia="Times New Roman" w:cs="Times New Roman"/>
          <w:color w:val="0D0D0D" w:themeColor="text1" w:themeTint="F2"/>
          <w:szCs w:val="20"/>
        </w:rPr>
        <w:t xml:space="preserve">ar </w:t>
      </w:r>
      <w:r>
        <w:rPr>
          <w:rFonts w:eastAsia="Times New Roman" w:cs="Times New Roman"/>
          <w:color w:val="0D0D0D" w:themeColor="text1" w:themeTint="F2"/>
          <w:szCs w:val="20"/>
        </w:rPr>
        <w:t>por</w:t>
      </w:r>
      <w:r w:rsidRPr="00D37A37">
        <w:rPr>
          <w:rFonts w:eastAsia="Times New Roman" w:cs="Times New Roman"/>
          <w:color w:val="0D0D0D" w:themeColor="text1" w:themeTint="F2"/>
          <w:szCs w:val="20"/>
        </w:rPr>
        <w:t>que los medicamentos administrados a los animales no</w:t>
      </w:r>
      <w:r>
        <w:rPr>
          <w:rFonts w:eastAsia="Times New Roman" w:cs="Times New Roman"/>
          <w:color w:val="0D0D0D" w:themeColor="text1" w:themeTint="F2"/>
          <w:szCs w:val="20"/>
        </w:rPr>
        <w:t xml:space="preserve"> causen</w:t>
      </w:r>
      <w:r w:rsidRPr="00D37A37">
        <w:rPr>
          <w:rFonts w:eastAsia="Times New Roman" w:cs="Times New Roman"/>
          <w:color w:val="0D0D0D" w:themeColor="text1" w:themeTint="F2"/>
          <w:szCs w:val="20"/>
        </w:rPr>
        <w:t xml:space="preserve"> dañ</w:t>
      </w:r>
      <w:r>
        <w:rPr>
          <w:rFonts w:eastAsia="Times New Roman" w:cs="Times New Roman"/>
          <w:color w:val="0D0D0D" w:themeColor="text1" w:themeTint="F2"/>
          <w:szCs w:val="20"/>
        </w:rPr>
        <w:t>o</w:t>
      </w:r>
      <w:r w:rsidRPr="00D37A37">
        <w:rPr>
          <w:rFonts w:eastAsia="Times New Roman" w:cs="Times New Roman"/>
          <w:color w:val="0D0D0D" w:themeColor="text1" w:themeTint="F2"/>
          <w:szCs w:val="20"/>
        </w:rPr>
        <w:t xml:space="preserve"> a los</w:t>
      </w:r>
      <w:r>
        <w:rPr>
          <w:rFonts w:eastAsia="Times New Roman" w:cs="Times New Roman"/>
          <w:color w:val="0D0D0D" w:themeColor="text1" w:themeTint="F2"/>
          <w:szCs w:val="20"/>
        </w:rPr>
        <w:t xml:space="preserve"> seres</w:t>
      </w:r>
      <w:r w:rsidRPr="00D37A37">
        <w:rPr>
          <w:rFonts w:eastAsia="Times New Roman" w:cs="Times New Roman"/>
          <w:color w:val="0D0D0D" w:themeColor="text1" w:themeTint="F2"/>
          <w:szCs w:val="20"/>
        </w:rPr>
        <w:t xml:space="preserve"> humanos</w:t>
      </w:r>
      <w:r>
        <w:rPr>
          <w:rFonts w:eastAsia="Times New Roman" w:cs="Times New Roman"/>
          <w:color w:val="0D0D0D" w:themeColor="text1" w:themeTint="F2"/>
          <w:szCs w:val="20"/>
        </w:rPr>
        <w:t>.</w:t>
      </w:r>
    </w:p>
    <w:p w14:paraId="79EF893C" w14:textId="77777777" w:rsidR="003A775F" w:rsidRPr="00D37A37" w:rsidRDefault="003A775F" w:rsidP="003A775F">
      <w:pPr>
        <w:contextualSpacing/>
        <w:rPr>
          <w:rFonts w:eastAsia="Times New Roman" w:cs="Times New Roman"/>
          <w:color w:val="0D0D0D" w:themeColor="text1" w:themeTint="F2"/>
          <w:szCs w:val="20"/>
        </w:rPr>
      </w:pPr>
    </w:p>
    <w:p w14:paraId="7570B403" w14:textId="77777777" w:rsidR="003A775F" w:rsidRDefault="003A775F" w:rsidP="003A775F">
      <w:pPr>
        <w:contextualSpacing/>
        <w:rPr>
          <w:rFonts w:eastAsia="Times New Roman" w:cs="Times New Roman"/>
          <w:color w:val="0D0D0D" w:themeColor="text1" w:themeTint="F2"/>
          <w:szCs w:val="20"/>
        </w:rPr>
      </w:pPr>
      <w:r w:rsidRPr="00D37A37">
        <w:rPr>
          <w:rFonts w:eastAsia="Times New Roman" w:cs="Times New Roman"/>
          <w:color w:val="0D0D0D" w:themeColor="text1" w:themeTint="F2"/>
          <w:szCs w:val="20"/>
        </w:rPr>
        <w:t>Las organizaciones argument</w:t>
      </w:r>
      <w:r>
        <w:rPr>
          <w:rFonts w:eastAsia="Times New Roman" w:cs="Times New Roman"/>
          <w:color w:val="0D0D0D" w:themeColor="text1" w:themeTint="F2"/>
          <w:szCs w:val="20"/>
        </w:rPr>
        <w:t>an</w:t>
      </w:r>
      <w:r w:rsidRPr="00D37A37">
        <w:rPr>
          <w:rFonts w:eastAsia="Times New Roman" w:cs="Times New Roman"/>
          <w:color w:val="0D0D0D" w:themeColor="text1" w:themeTint="F2"/>
          <w:szCs w:val="20"/>
        </w:rPr>
        <w:t xml:space="preserve"> que </w:t>
      </w:r>
      <w:r>
        <w:rPr>
          <w:rFonts w:eastAsia="Times New Roman" w:cs="Times New Roman"/>
          <w:color w:val="0D0D0D" w:themeColor="text1" w:themeTint="F2"/>
          <w:szCs w:val="20"/>
        </w:rPr>
        <w:t xml:space="preserve">anualmente </w:t>
      </w:r>
      <w:r w:rsidRPr="00D37A37">
        <w:rPr>
          <w:rFonts w:eastAsia="Times New Roman" w:cs="Times New Roman"/>
          <w:color w:val="0D0D0D" w:themeColor="text1" w:themeTint="F2"/>
          <w:szCs w:val="20"/>
        </w:rPr>
        <w:t xml:space="preserve">se </w:t>
      </w:r>
      <w:r>
        <w:rPr>
          <w:rFonts w:eastAsia="Times New Roman" w:cs="Times New Roman"/>
          <w:color w:val="0D0D0D" w:themeColor="text1" w:themeTint="F2"/>
          <w:szCs w:val="20"/>
        </w:rPr>
        <w:t xml:space="preserve">mezclan </w:t>
      </w:r>
      <w:r w:rsidRPr="00D37A37">
        <w:rPr>
          <w:rFonts w:eastAsia="Times New Roman" w:cs="Times New Roman"/>
          <w:color w:val="0D0D0D" w:themeColor="text1" w:themeTint="F2"/>
          <w:szCs w:val="20"/>
        </w:rPr>
        <w:t>34 millones de libras de antibióticos en el alimento y el agua del ganado para tratar enfermedades</w:t>
      </w:r>
      <w:r>
        <w:rPr>
          <w:rFonts w:eastAsia="Times New Roman" w:cs="Times New Roman"/>
          <w:color w:val="0D0D0D" w:themeColor="text1" w:themeTint="F2"/>
          <w:szCs w:val="20"/>
        </w:rPr>
        <w:t>,</w:t>
      </w:r>
      <w:r w:rsidRPr="00D37A37">
        <w:rPr>
          <w:rFonts w:eastAsia="Times New Roman" w:cs="Times New Roman"/>
          <w:color w:val="0D0D0D" w:themeColor="text1" w:themeTint="F2"/>
          <w:szCs w:val="20"/>
        </w:rPr>
        <w:t xml:space="preserve"> </w:t>
      </w:r>
      <w:r>
        <w:rPr>
          <w:rFonts w:eastAsia="Times New Roman" w:cs="Times New Roman"/>
          <w:color w:val="0D0D0D" w:themeColor="text1" w:themeTint="F2"/>
          <w:szCs w:val="20"/>
        </w:rPr>
        <w:t>l</w:t>
      </w:r>
      <w:r w:rsidRPr="00D37A37">
        <w:rPr>
          <w:rFonts w:eastAsia="Times New Roman" w:cs="Times New Roman"/>
          <w:color w:val="0D0D0D" w:themeColor="text1" w:themeTint="F2"/>
          <w:szCs w:val="20"/>
        </w:rPr>
        <w:t>o</w:t>
      </w:r>
      <w:r>
        <w:rPr>
          <w:rFonts w:eastAsia="Times New Roman" w:cs="Times New Roman"/>
          <w:color w:val="0D0D0D" w:themeColor="text1" w:themeTint="F2"/>
          <w:szCs w:val="20"/>
        </w:rPr>
        <w:t xml:space="preserve"> cual</w:t>
      </w:r>
      <w:r w:rsidRPr="00D37A37">
        <w:rPr>
          <w:rFonts w:eastAsia="Times New Roman" w:cs="Times New Roman"/>
          <w:color w:val="0D0D0D" w:themeColor="text1" w:themeTint="F2"/>
          <w:szCs w:val="20"/>
        </w:rPr>
        <w:t xml:space="preserve"> con</w:t>
      </w:r>
      <w:r>
        <w:rPr>
          <w:rFonts w:eastAsia="Times New Roman" w:cs="Times New Roman"/>
          <w:color w:val="0D0D0D" w:themeColor="text1" w:themeTint="F2"/>
          <w:szCs w:val="20"/>
        </w:rPr>
        <w:t>tribuye a empeorar el panorama</w:t>
      </w:r>
      <w:r w:rsidRPr="00D37A37">
        <w:rPr>
          <w:rFonts w:eastAsia="Times New Roman" w:cs="Times New Roman"/>
          <w:color w:val="0D0D0D" w:themeColor="text1" w:themeTint="F2"/>
          <w:szCs w:val="20"/>
        </w:rPr>
        <w:t xml:space="preserve"> de</w:t>
      </w:r>
      <w:r>
        <w:rPr>
          <w:rFonts w:eastAsia="Times New Roman" w:cs="Times New Roman"/>
          <w:color w:val="0D0D0D" w:themeColor="text1" w:themeTint="F2"/>
          <w:szCs w:val="20"/>
        </w:rPr>
        <w:t xml:space="preserve"> la</w:t>
      </w:r>
      <w:r w:rsidRPr="00D37A37">
        <w:rPr>
          <w:rFonts w:eastAsia="Times New Roman" w:cs="Times New Roman"/>
          <w:color w:val="0D0D0D" w:themeColor="text1" w:themeTint="F2"/>
          <w:szCs w:val="20"/>
        </w:rPr>
        <w:t xml:space="preserve"> resisten</w:t>
      </w:r>
      <w:r>
        <w:rPr>
          <w:rFonts w:eastAsia="Times New Roman" w:cs="Times New Roman"/>
          <w:color w:val="0D0D0D" w:themeColor="text1" w:themeTint="F2"/>
          <w:szCs w:val="20"/>
        </w:rPr>
        <w:t>cia</w:t>
      </w:r>
      <w:r w:rsidRPr="00D37A37">
        <w:rPr>
          <w:rFonts w:eastAsia="Times New Roman" w:cs="Times New Roman"/>
          <w:color w:val="0D0D0D" w:themeColor="text1" w:themeTint="F2"/>
          <w:szCs w:val="20"/>
        </w:rPr>
        <w:t xml:space="preserve"> a los anti</w:t>
      </w:r>
      <w:r>
        <w:rPr>
          <w:rFonts w:eastAsia="Times New Roman" w:cs="Times New Roman"/>
          <w:color w:val="0D0D0D" w:themeColor="text1" w:themeTint="F2"/>
          <w:szCs w:val="20"/>
        </w:rPr>
        <w:t>microbian</w:t>
      </w:r>
      <w:r w:rsidRPr="00D37A37">
        <w:rPr>
          <w:rFonts w:eastAsia="Times New Roman" w:cs="Times New Roman"/>
          <w:color w:val="0D0D0D" w:themeColor="text1" w:themeTint="F2"/>
          <w:szCs w:val="20"/>
        </w:rPr>
        <w:t>os</w:t>
      </w:r>
      <w:r>
        <w:rPr>
          <w:rFonts w:eastAsia="Times New Roman" w:cs="Times New Roman"/>
          <w:color w:val="0D0D0D" w:themeColor="text1" w:themeTint="F2"/>
          <w:szCs w:val="20"/>
        </w:rPr>
        <w:t>, que causa</w:t>
      </w:r>
      <w:r w:rsidRPr="00D37A37">
        <w:rPr>
          <w:rFonts w:eastAsia="Times New Roman" w:cs="Times New Roman"/>
          <w:color w:val="0D0D0D" w:themeColor="text1" w:themeTint="F2"/>
          <w:szCs w:val="20"/>
        </w:rPr>
        <w:t xml:space="preserve"> aproximadamente 35.000 muertes y más de 2 millones de enfermedades cada año en E</w:t>
      </w:r>
      <w:r>
        <w:rPr>
          <w:rFonts w:eastAsia="Times New Roman" w:cs="Times New Roman"/>
          <w:color w:val="0D0D0D" w:themeColor="text1" w:themeTint="F2"/>
          <w:szCs w:val="20"/>
        </w:rPr>
        <w:t>E</w:t>
      </w:r>
      <w:r w:rsidRPr="00D37A37">
        <w:rPr>
          <w:rFonts w:eastAsia="Times New Roman" w:cs="Times New Roman"/>
          <w:color w:val="0D0D0D" w:themeColor="text1" w:themeTint="F2"/>
          <w:szCs w:val="20"/>
        </w:rPr>
        <w:t xml:space="preserve"> U</w:t>
      </w:r>
      <w:r>
        <w:rPr>
          <w:rFonts w:eastAsia="Times New Roman" w:cs="Times New Roman"/>
          <w:color w:val="0D0D0D" w:themeColor="text1" w:themeTint="F2"/>
          <w:szCs w:val="20"/>
        </w:rPr>
        <w:t>U</w:t>
      </w:r>
      <w:r w:rsidRPr="00D37A37">
        <w:rPr>
          <w:rFonts w:eastAsia="Times New Roman" w:cs="Times New Roman"/>
          <w:color w:val="0D0D0D" w:themeColor="text1" w:themeTint="F2"/>
          <w:szCs w:val="20"/>
        </w:rPr>
        <w:t>.</w:t>
      </w:r>
      <w:r>
        <w:rPr>
          <w:rFonts w:eastAsia="Times New Roman" w:cs="Times New Roman"/>
          <w:color w:val="0D0D0D" w:themeColor="text1" w:themeTint="F2"/>
          <w:szCs w:val="20"/>
        </w:rPr>
        <w:t xml:space="preserve"> </w:t>
      </w:r>
    </w:p>
    <w:p w14:paraId="7FB6C29C" w14:textId="77777777" w:rsidR="003A775F" w:rsidRDefault="003A775F" w:rsidP="003A775F">
      <w:pPr>
        <w:contextualSpacing/>
        <w:rPr>
          <w:rFonts w:eastAsia="Times New Roman" w:cs="Times New Roman"/>
          <w:color w:val="0D0D0D" w:themeColor="text1" w:themeTint="F2"/>
          <w:szCs w:val="20"/>
        </w:rPr>
      </w:pPr>
    </w:p>
    <w:p w14:paraId="2154CDB0" w14:textId="77777777" w:rsidR="003A775F" w:rsidRPr="00D37A37" w:rsidRDefault="003A775F" w:rsidP="003A775F">
      <w:pPr>
        <w:contextualSpacing/>
        <w:rPr>
          <w:rFonts w:eastAsia="Times New Roman" w:cs="Times New Roman"/>
          <w:color w:val="0D0D0D" w:themeColor="text1" w:themeTint="F2"/>
          <w:szCs w:val="20"/>
        </w:rPr>
      </w:pPr>
      <w:r>
        <w:rPr>
          <w:rFonts w:eastAsia="Times New Roman" w:cs="Times New Roman"/>
          <w:color w:val="0D0D0D" w:themeColor="text1" w:themeTint="F2"/>
          <w:szCs w:val="20"/>
        </w:rPr>
        <w:t xml:space="preserve">Los activistas no cuestionan el uso de </w:t>
      </w:r>
      <w:proofErr w:type="spellStart"/>
      <w:r>
        <w:rPr>
          <w:rFonts w:eastAsia="Times New Roman" w:cs="Times New Roman"/>
          <w:color w:val="0D0D0D" w:themeColor="text1" w:themeTint="F2"/>
          <w:szCs w:val="20"/>
        </w:rPr>
        <w:t>antibioticos</w:t>
      </w:r>
      <w:proofErr w:type="spellEnd"/>
      <w:r>
        <w:rPr>
          <w:rFonts w:eastAsia="Times New Roman" w:cs="Times New Roman"/>
          <w:color w:val="0D0D0D" w:themeColor="text1" w:themeTint="F2"/>
          <w:szCs w:val="20"/>
        </w:rPr>
        <w:t xml:space="preserve"> en animales enfermos, sino su utilización para la prevención de enfermedades o para el engorde.</w:t>
      </w:r>
      <w:r w:rsidRPr="00734FD6">
        <w:t xml:space="preserve"> </w:t>
      </w:r>
      <w:r w:rsidRPr="00734FD6">
        <w:rPr>
          <w:rFonts w:eastAsia="Times New Roman" w:cs="Times New Roman"/>
          <w:color w:val="0D0D0D" w:themeColor="text1" w:themeTint="F2"/>
          <w:szCs w:val="20"/>
        </w:rPr>
        <w:t xml:space="preserve">También solicitaron a la agencia que prohibiera las prescripciones veterinarias de antibióticos para uso prolongado, exigiera la recopilación y publicación de registros de uso y estableciera objetivos específicos de reducción </w:t>
      </w:r>
      <w:r>
        <w:rPr>
          <w:rFonts w:eastAsia="Times New Roman" w:cs="Times New Roman"/>
          <w:color w:val="0D0D0D" w:themeColor="text1" w:themeTint="F2"/>
          <w:szCs w:val="20"/>
        </w:rPr>
        <w:t xml:space="preserve">de uso </w:t>
      </w:r>
      <w:r w:rsidRPr="00734FD6">
        <w:rPr>
          <w:rFonts w:eastAsia="Times New Roman" w:cs="Times New Roman"/>
          <w:color w:val="0D0D0D" w:themeColor="text1" w:themeTint="F2"/>
          <w:szCs w:val="20"/>
        </w:rPr>
        <w:t>para la industria cárnica.</w:t>
      </w:r>
    </w:p>
    <w:p w14:paraId="4D63ABE2" w14:textId="77777777" w:rsidR="003A775F" w:rsidRDefault="003A775F" w:rsidP="003A775F">
      <w:pPr>
        <w:contextualSpacing/>
        <w:rPr>
          <w:rFonts w:eastAsia="Times New Roman" w:cs="Times New Roman"/>
          <w:color w:val="0D0D0D" w:themeColor="text1" w:themeTint="F2"/>
          <w:szCs w:val="20"/>
        </w:rPr>
      </w:pPr>
    </w:p>
    <w:p w14:paraId="03C5D9DE" w14:textId="77777777" w:rsidR="003A775F" w:rsidRPr="00734FD6" w:rsidRDefault="003A775F" w:rsidP="003A775F">
      <w:pPr>
        <w:contextualSpacing/>
        <w:rPr>
          <w:rFonts w:eastAsia="Times New Roman" w:cs="Times New Roman"/>
          <w:color w:val="0D0D0D" w:themeColor="text1" w:themeTint="F2"/>
          <w:szCs w:val="20"/>
        </w:rPr>
      </w:pPr>
      <w:r w:rsidRPr="00734FD6">
        <w:rPr>
          <w:rFonts w:eastAsia="Times New Roman" w:cs="Times New Roman"/>
          <w:color w:val="0D0D0D" w:themeColor="text1" w:themeTint="F2"/>
          <w:szCs w:val="20"/>
        </w:rPr>
        <w:t>La última vez que la FDA abord</w:t>
      </w:r>
      <w:r>
        <w:rPr>
          <w:rFonts w:eastAsia="Times New Roman" w:cs="Times New Roman"/>
          <w:color w:val="0D0D0D" w:themeColor="text1" w:themeTint="F2"/>
          <w:szCs w:val="20"/>
        </w:rPr>
        <w:t>ó</w:t>
      </w:r>
      <w:r w:rsidRPr="00734FD6">
        <w:rPr>
          <w:rFonts w:eastAsia="Times New Roman" w:cs="Times New Roman"/>
          <w:color w:val="0D0D0D" w:themeColor="text1" w:themeTint="F2"/>
          <w:szCs w:val="20"/>
        </w:rPr>
        <w:t xml:space="preserve"> el uso excesivo de antibióticos en el ganado </w:t>
      </w:r>
      <w:r>
        <w:rPr>
          <w:rFonts w:eastAsia="Times New Roman" w:cs="Times New Roman"/>
          <w:color w:val="0D0D0D" w:themeColor="text1" w:themeTint="F2"/>
          <w:szCs w:val="20"/>
        </w:rPr>
        <w:t xml:space="preserve">para </w:t>
      </w:r>
      <w:r w:rsidRPr="00734FD6">
        <w:rPr>
          <w:rFonts w:eastAsia="Times New Roman" w:cs="Times New Roman"/>
          <w:color w:val="0D0D0D" w:themeColor="text1" w:themeTint="F2"/>
          <w:szCs w:val="20"/>
        </w:rPr>
        <w:t xml:space="preserve">la producción de alimentos fue en 2017. En </w:t>
      </w:r>
      <w:r>
        <w:rPr>
          <w:rFonts w:eastAsia="Times New Roman" w:cs="Times New Roman"/>
          <w:color w:val="0D0D0D" w:themeColor="text1" w:themeTint="F2"/>
          <w:szCs w:val="20"/>
        </w:rPr>
        <w:t>ese momento,</w:t>
      </w:r>
      <w:r w:rsidRPr="00734FD6">
        <w:rPr>
          <w:rFonts w:eastAsia="Times New Roman" w:cs="Times New Roman"/>
          <w:color w:val="0D0D0D" w:themeColor="text1" w:themeTint="F2"/>
          <w:szCs w:val="20"/>
        </w:rPr>
        <w:t xml:space="preserve"> la agencia implementó una norma voluntaria que prohibía legalmente administrar antibióticos a animales sanos para acelerar su crecimiento.</w:t>
      </w:r>
    </w:p>
    <w:p w14:paraId="5843C82E" w14:textId="77777777" w:rsidR="003A775F" w:rsidRPr="00734FD6" w:rsidRDefault="003A775F" w:rsidP="003A775F">
      <w:pPr>
        <w:contextualSpacing/>
        <w:rPr>
          <w:rFonts w:eastAsia="Times New Roman" w:cs="Times New Roman"/>
          <w:color w:val="0D0D0D" w:themeColor="text1" w:themeTint="F2"/>
          <w:szCs w:val="20"/>
        </w:rPr>
      </w:pPr>
    </w:p>
    <w:p w14:paraId="3B635ED5" w14:textId="77777777" w:rsidR="003A775F" w:rsidRPr="00734FD6" w:rsidRDefault="003A775F" w:rsidP="003A775F">
      <w:pPr>
        <w:contextualSpacing/>
        <w:rPr>
          <w:rFonts w:eastAsia="Times New Roman" w:cs="Times New Roman"/>
          <w:color w:val="0D0D0D" w:themeColor="text1" w:themeTint="F2"/>
          <w:szCs w:val="20"/>
        </w:rPr>
      </w:pPr>
      <w:r w:rsidRPr="00734FD6">
        <w:rPr>
          <w:rFonts w:eastAsia="Times New Roman" w:cs="Times New Roman"/>
          <w:color w:val="0D0D0D" w:themeColor="text1" w:themeTint="F2"/>
          <w:szCs w:val="20"/>
        </w:rPr>
        <w:t xml:space="preserve">El cambio tenía como objetivo incentivar a los fabricantes de medicamentos a eliminar de las etiquetas de los </w:t>
      </w:r>
      <w:r>
        <w:rPr>
          <w:rFonts w:eastAsia="Times New Roman" w:cs="Times New Roman"/>
          <w:color w:val="0D0D0D" w:themeColor="text1" w:themeTint="F2"/>
          <w:szCs w:val="20"/>
        </w:rPr>
        <w:t xml:space="preserve">medicamentos </w:t>
      </w:r>
      <w:r>
        <w:rPr>
          <w:rFonts w:eastAsia="Times New Roman" w:cs="Times New Roman"/>
          <w:color w:val="0D0D0D" w:themeColor="text1" w:themeTint="F2"/>
          <w:szCs w:val="20"/>
        </w:rPr>
        <w:lastRenderedPageBreak/>
        <w:t>que los</w:t>
      </w:r>
      <w:r w:rsidRPr="00734FD6">
        <w:rPr>
          <w:rFonts w:eastAsia="Times New Roman" w:cs="Times New Roman"/>
          <w:color w:val="0D0D0D" w:themeColor="text1" w:themeTint="F2"/>
          <w:szCs w:val="20"/>
        </w:rPr>
        <w:t xml:space="preserve"> antibióticos </w:t>
      </w:r>
      <w:r>
        <w:rPr>
          <w:rFonts w:eastAsia="Times New Roman" w:cs="Times New Roman"/>
          <w:color w:val="0D0D0D" w:themeColor="text1" w:themeTint="F2"/>
          <w:szCs w:val="20"/>
        </w:rPr>
        <w:t xml:space="preserve">se </w:t>
      </w:r>
      <w:r w:rsidRPr="00734FD6">
        <w:rPr>
          <w:rFonts w:eastAsia="Times New Roman" w:cs="Times New Roman"/>
          <w:color w:val="0D0D0D" w:themeColor="text1" w:themeTint="F2"/>
          <w:szCs w:val="20"/>
        </w:rPr>
        <w:t xml:space="preserve">podían utilizar para favorecer el aumento de peso. Sin embargo, estos </w:t>
      </w:r>
      <w:r>
        <w:rPr>
          <w:rFonts w:eastAsia="Times New Roman" w:cs="Times New Roman"/>
          <w:color w:val="0D0D0D" w:themeColor="text1" w:themeTint="F2"/>
          <w:szCs w:val="20"/>
        </w:rPr>
        <w:t xml:space="preserve">mismos </w:t>
      </w:r>
      <w:r w:rsidRPr="00734FD6">
        <w:rPr>
          <w:rFonts w:eastAsia="Times New Roman" w:cs="Times New Roman"/>
          <w:color w:val="0D0D0D" w:themeColor="text1" w:themeTint="F2"/>
          <w:szCs w:val="20"/>
        </w:rPr>
        <w:t>fármacos</w:t>
      </w:r>
      <w:r>
        <w:rPr>
          <w:rFonts w:eastAsia="Times New Roman" w:cs="Times New Roman"/>
          <w:color w:val="0D0D0D" w:themeColor="text1" w:themeTint="F2"/>
          <w:szCs w:val="20"/>
        </w:rPr>
        <w:t xml:space="preserve"> se</w:t>
      </w:r>
      <w:r w:rsidRPr="00734FD6">
        <w:rPr>
          <w:rFonts w:eastAsia="Times New Roman" w:cs="Times New Roman"/>
          <w:color w:val="0D0D0D" w:themeColor="text1" w:themeTint="F2"/>
          <w:szCs w:val="20"/>
        </w:rPr>
        <w:t xml:space="preserve"> pueden emplear para prevenir y tratar enfermedades</w:t>
      </w:r>
      <w:r>
        <w:rPr>
          <w:rFonts w:eastAsia="Times New Roman" w:cs="Times New Roman"/>
          <w:color w:val="0D0D0D" w:themeColor="text1" w:themeTint="F2"/>
          <w:szCs w:val="20"/>
        </w:rPr>
        <w:t>.</w:t>
      </w:r>
      <w:r w:rsidRPr="00734FD6">
        <w:rPr>
          <w:rFonts w:eastAsia="Times New Roman" w:cs="Times New Roman"/>
          <w:color w:val="0D0D0D" w:themeColor="text1" w:themeTint="F2"/>
          <w:szCs w:val="20"/>
        </w:rPr>
        <w:t xml:space="preserve"> </w:t>
      </w:r>
      <w:r>
        <w:rPr>
          <w:rFonts w:eastAsia="Times New Roman" w:cs="Times New Roman"/>
          <w:color w:val="0D0D0D" w:themeColor="text1" w:themeTint="F2"/>
          <w:szCs w:val="20"/>
        </w:rPr>
        <w:t xml:space="preserve">Los activistas dicen que </w:t>
      </w:r>
      <w:r w:rsidRPr="00734FD6">
        <w:rPr>
          <w:rFonts w:eastAsia="Times New Roman" w:cs="Times New Roman"/>
          <w:color w:val="0D0D0D" w:themeColor="text1" w:themeTint="F2"/>
          <w:szCs w:val="20"/>
        </w:rPr>
        <w:t>esto constituye un vacío legal, ya que muchos antibióticos aprobados para el aumento de peso también están autorizados para la prevención y el tratamiento de enfermedades.</w:t>
      </w:r>
    </w:p>
    <w:p w14:paraId="6E39EE36" w14:textId="77777777" w:rsidR="003A775F" w:rsidRPr="00734FD6" w:rsidRDefault="003A775F" w:rsidP="003A775F">
      <w:pPr>
        <w:contextualSpacing/>
        <w:rPr>
          <w:rFonts w:eastAsia="Times New Roman" w:cs="Times New Roman"/>
          <w:color w:val="0D0D0D" w:themeColor="text1" w:themeTint="F2"/>
          <w:szCs w:val="20"/>
        </w:rPr>
      </w:pPr>
    </w:p>
    <w:p w14:paraId="3F748FD8" w14:textId="77777777" w:rsidR="003A775F" w:rsidRPr="00734FD6" w:rsidRDefault="003A775F" w:rsidP="003A775F">
      <w:pPr>
        <w:contextualSpacing/>
        <w:rPr>
          <w:rFonts w:eastAsia="Times New Roman" w:cs="Times New Roman"/>
          <w:color w:val="0D0D0D" w:themeColor="text1" w:themeTint="F2"/>
          <w:szCs w:val="20"/>
        </w:rPr>
      </w:pPr>
      <w:r w:rsidRPr="00734FD6">
        <w:rPr>
          <w:rFonts w:eastAsia="Times New Roman" w:cs="Times New Roman"/>
          <w:color w:val="0D0D0D" w:themeColor="text1" w:themeTint="F2"/>
          <w:szCs w:val="20"/>
        </w:rPr>
        <w:t>En 2018, la agencia presentó un plan quinquenal para el uso responsable de antibióticos que incluía una "duración de uso adecua</w:t>
      </w:r>
      <w:r>
        <w:rPr>
          <w:rFonts w:eastAsia="Times New Roman" w:cs="Times New Roman"/>
          <w:color w:val="0D0D0D" w:themeColor="text1" w:themeTint="F2"/>
          <w:szCs w:val="20"/>
        </w:rPr>
        <w:t>do</w:t>
      </w:r>
      <w:r w:rsidRPr="00734FD6">
        <w:rPr>
          <w:rFonts w:eastAsia="Times New Roman" w:cs="Times New Roman"/>
          <w:color w:val="0D0D0D" w:themeColor="text1" w:themeTint="F2"/>
          <w:szCs w:val="20"/>
        </w:rPr>
        <w:t xml:space="preserve"> definida" y, en 2021, publicó un documento técnico con el fin de definir dicho concepto. A principios de este año la FDA dio seguimiento a esta iniciativa emitiendo una guía para </w:t>
      </w:r>
      <w:r>
        <w:rPr>
          <w:rFonts w:eastAsia="Times New Roman" w:cs="Times New Roman"/>
          <w:color w:val="0D0D0D" w:themeColor="text1" w:themeTint="F2"/>
          <w:szCs w:val="20"/>
        </w:rPr>
        <w:t>establecer</w:t>
      </w:r>
      <w:r w:rsidRPr="00734FD6">
        <w:rPr>
          <w:rFonts w:eastAsia="Times New Roman" w:cs="Times New Roman"/>
          <w:color w:val="0D0D0D" w:themeColor="text1" w:themeTint="F2"/>
          <w:szCs w:val="20"/>
        </w:rPr>
        <w:t xml:space="preserve"> durante cuánto tiempo </w:t>
      </w:r>
      <w:r>
        <w:rPr>
          <w:rFonts w:eastAsia="Times New Roman" w:cs="Times New Roman"/>
          <w:color w:val="0D0D0D" w:themeColor="text1" w:themeTint="F2"/>
          <w:szCs w:val="20"/>
        </w:rPr>
        <w:t xml:space="preserve">se </w:t>
      </w:r>
      <w:r w:rsidRPr="00734FD6">
        <w:rPr>
          <w:rFonts w:eastAsia="Times New Roman" w:cs="Times New Roman"/>
          <w:color w:val="0D0D0D" w:themeColor="text1" w:themeTint="F2"/>
          <w:szCs w:val="20"/>
        </w:rPr>
        <w:t>deben administrar</w:t>
      </w:r>
      <w:r>
        <w:rPr>
          <w:rFonts w:eastAsia="Times New Roman" w:cs="Times New Roman"/>
          <w:color w:val="0D0D0D" w:themeColor="text1" w:themeTint="F2"/>
          <w:szCs w:val="20"/>
        </w:rPr>
        <w:t xml:space="preserve"> </w:t>
      </w:r>
      <w:r w:rsidRPr="00734FD6">
        <w:rPr>
          <w:rFonts w:eastAsia="Times New Roman" w:cs="Times New Roman"/>
          <w:color w:val="0D0D0D" w:themeColor="text1" w:themeTint="F2"/>
          <w:szCs w:val="20"/>
        </w:rPr>
        <w:t>antibióticos de importancia médica a los animales destinados a la producción de alimentos.</w:t>
      </w:r>
    </w:p>
    <w:p w14:paraId="75BF1F9E" w14:textId="77777777" w:rsidR="003A775F" w:rsidRDefault="003A775F" w:rsidP="003A775F">
      <w:pPr>
        <w:contextualSpacing/>
        <w:rPr>
          <w:rFonts w:eastAsia="Times New Roman" w:cs="Times New Roman"/>
          <w:color w:val="0D0D0D" w:themeColor="text1" w:themeTint="F2"/>
          <w:szCs w:val="20"/>
        </w:rPr>
      </w:pPr>
    </w:p>
    <w:p w14:paraId="402CDB8C" w14:textId="77777777" w:rsidR="003A775F" w:rsidRPr="00734FD6" w:rsidRDefault="003A775F" w:rsidP="003A775F">
      <w:pPr>
        <w:contextualSpacing/>
        <w:rPr>
          <w:rFonts w:eastAsia="Times New Roman" w:cs="Times New Roman"/>
          <w:color w:val="0D0D0D" w:themeColor="text1" w:themeTint="F2"/>
          <w:szCs w:val="20"/>
        </w:rPr>
      </w:pPr>
      <w:r w:rsidRPr="00734FD6">
        <w:rPr>
          <w:rFonts w:eastAsia="Times New Roman" w:cs="Times New Roman"/>
          <w:color w:val="0D0D0D" w:themeColor="text1" w:themeTint="F2"/>
          <w:szCs w:val="20"/>
        </w:rPr>
        <w:t xml:space="preserve">Actualmente, alrededor del 28% de todos los antibióticos de importancia médica </w:t>
      </w:r>
      <w:r>
        <w:rPr>
          <w:rFonts w:eastAsia="Times New Roman" w:cs="Times New Roman"/>
          <w:color w:val="0D0D0D" w:themeColor="text1" w:themeTint="F2"/>
          <w:szCs w:val="20"/>
        </w:rPr>
        <w:t xml:space="preserve">que se </w:t>
      </w:r>
      <w:r w:rsidRPr="00734FD6">
        <w:rPr>
          <w:rFonts w:eastAsia="Times New Roman" w:cs="Times New Roman"/>
          <w:color w:val="0D0D0D" w:themeColor="text1" w:themeTint="F2"/>
          <w:szCs w:val="20"/>
        </w:rPr>
        <w:t>administra</w:t>
      </w:r>
      <w:r>
        <w:rPr>
          <w:rFonts w:eastAsia="Times New Roman" w:cs="Times New Roman"/>
          <w:color w:val="0D0D0D" w:themeColor="text1" w:themeTint="F2"/>
          <w:szCs w:val="20"/>
        </w:rPr>
        <w:t>n</w:t>
      </w:r>
      <w:r w:rsidRPr="00734FD6">
        <w:rPr>
          <w:rFonts w:eastAsia="Times New Roman" w:cs="Times New Roman"/>
          <w:color w:val="0D0D0D" w:themeColor="text1" w:themeTint="F2"/>
          <w:szCs w:val="20"/>
        </w:rPr>
        <w:t xml:space="preserve"> a </w:t>
      </w:r>
      <w:r>
        <w:rPr>
          <w:rFonts w:eastAsia="Times New Roman" w:cs="Times New Roman"/>
          <w:color w:val="0D0D0D" w:themeColor="text1" w:themeTint="F2"/>
          <w:szCs w:val="20"/>
        </w:rPr>
        <w:t xml:space="preserve">este tipo de </w:t>
      </w:r>
      <w:r w:rsidRPr="00734FD6">
        <w:rPr>
          <w:rFonts w:eastAsia="Times New Roman" w:cs="Times New Roman"/>
          <w:color w:val="0D0D0D" w:themeColor="text1" w:themeTint="F2"/>
          <w:szCs w:val="20"/>
        </w:rPr>
        <w:t xml:space="preserve">animales </w:t>
      </w:r>
      <w:r>
        <w:rPr>
          <w:rFonts w:eastAsia="Times New Roman" w:cs="Times New Roman"/>
          <w:color w:val="0D0D0D" w:themeColor="text1" w:themeTint="F2"/>
          <w:szCs w:val="20"/>
        </w:rPr>
        <w:t xml:space="preserve">se </w:t>
      </w:r>
      <w:r w:rsidRPr="00734FD6">
        <w:rPr>
          <w:rFonts w:eastAsia="Times New Roman" w:cs="Times New Roman"/>
          <w:color w:val="0D0D0D" w:themeColor="text1" w:themeTint="F2"/>
          <w:szCs w:val="20"/>
        </w:rPr>
        <w:t xml:space="preserve">pueden utilizar de forma continua para al menos una indicación aprobada, como el tratamiento o la prevención de una enfermedad específica. </w:t>
      </w:r>
      <w:r>
        <w:rPr>
          <w:rFonts w:eastAsia="Times New Roman" w:cs="Times New Roman"/>
          <w:color w:val="0D0D0D" w:themeColor="text1" w:themeTint="F2"/>
          <w:szCs w:val="20"/>
        </w:rPr>
        <w:t>L</w:t>
      </w:r>
      <w:r w:rsidRPr="00734FD6">
        <w:rPr>
          <w:rFonts w:eastAsia="Times New Roman" w:cs="Times New Roman"/>
          <w:color w:val="0D0D0D" w:themeColor="text1" w:themeTint="F2"/>
          <w:szCs w:val="20"/>
        </w:rPr>
        <w:t>os críticos argumentaron que la reciente guía no tuvo en cuenta el impacto en la salud humana y señalaron que no es vinculante para los fabricantes de medicamentos.</w:t>
      </w:r>
    </w:p>
    <w:p w14:paraId="13EF5A1C" w14:textId="77777777" w:rsidR="003A775F" w:rsidRPr="00734FD6" w:rsidRDefault="003A775F" w:rsidP="003A775F">
      <w:pPr>
        <w:contextualSpacing/>
        <w:rPr>
          <w:rFonts w:eastAsia="Times New Roman" w:cs="Times New Roman"/>
          <w:color w:val="0D0D0D" w:themeColor="text1" w:themeTint="F2"/>
          <w:szCs w:val="20"/>
        </w:rPr>
      </w:pPr>
    </w:p>
    <w:p w14:paraId="6060AC40" w14:textId="77777777" w:rsidR="003A775F" w:rsidRDefault="003A775F" w:rsidP="003A775F">
      <w:pPr>
        <w:contextualSpacing/>
        <w:rPr>
          <w:rFonts w:eastAsia="Times New Roman" w:cs="Times New Roman"/>
          <w:color w:val="0D0D0D" w:themeColor="text1" w:themeTint="F2"/>
          <w:szCs w:val="20"/>
        </w:rPr>
      </w:pPr>
      <w:r w:rsidRPr="00734FD6">
        <w:rPr>
          <w:rFonts w:eastAsia="Times New Roman" w:cs="Times New Roman"/>
          <w:color w:val="0D0D0D" w:themeColor="text1" w:themeTint="F2"/>
          <w:szCs w:val="20"/>
        </w:rPr>
        <w:t xml:space="preserve">Los </w:t>
      </w:r>
      <w:r>
        <w:rPr>
          <w:rFonts w:eastAsia="Times New Roman" w:cs="Times New Roman"/>
          <w:color w:val="0D0D0D" w:themeColor="text1" w:themeTint="F2"/>
          <w:szCs w:val="20"/>
        </w:rPr>
        <w:t>activistas</w:t>
      </w:r>
      <w:r w:rsidRPr="00734FD6">
        <w:rPr>
          <w:rFonts w:eastAsia="Times New Roman" w:cs="Times New Roman"/>
          <w:color w:val="0D0D0D" w:themeColor="text1" w:themeTint="F2"/>
          <w:szCs w:val="20"/>
        </w:rPr>
        <w:t xml:space="preserve"> también responsabilizaron a la industria farmacéutica de contribuir al problema.</w:t>
      </w:r>
      <w:r>
        <w:rPr>
          <w:rFonts w:eastAsia="Times New Roman" w:cs="Times New Roman"/>
          <w:color w:val="0D0D0D" w:themeColor="text1" w:themeTint="F2"/>
          <w:szCs w:val="20"/>
        </w:rPr>
        <w:t xml:space="preserve"> </w:t>
      </w:r>
      <w:r w:rsidRPr="00734FD6">
        <w:rPr>
          <w:rFonts w:eastAsia="Times New Roman" w:cs="Times New Roman"/>
          <w:color w:val="0D0D0D" w:themeColor="text1" w:themeTint="F2"/>
          <w:szCs w:val="20"/>
        </w:rPr>
        <w:t>La petición cita informes de estudios de mercado</w:t>
      </w:r>
      <w:r>
        <w:rPr>
          <w:rFonts w:eastAsia="Times New Roman" w:cs="Times New Roman"/>
          <w:color w:val="0D0D0D" w:themeColor="text1" w:themeTint="F2"/>
          <w:szCs w:val="20"/>
        </w:rPr>
        <w:t xml:space="preserve"> que</w:t>
      </w:r>
      <w:r w:rsidRPr="00734FD6">
        <w:rPr>
          <w:rFonts w:eastAsia="Times New Roman" w:cs="Times New Roman"/>
          <w:color w:val="0D0D0D" w:themeColor="text1" w:themeTint="F2"/>
          <w:szCs w:val="20"/>
        </w:rPr>
        <w:t xml:space="preserve"> </w:t>
      </w:r>
      <w:r>
        <w:rPr>
          <w:rFonts w:eastAsia="Times New Roman" w:cs="Times New Roman"/>
          <w:color w:val="0D0D0D" w:themeColor="text1" w:themeTint="F2"/>
          <w:szCs w:val="20"/>
        </w:rPr>
        <w:t xml:space="preserve">indican que </w:t>
      </w:r>
      <w:r w:rsidRPr="00734FD6">
        <w:rPr>
          <w:rFonts w:eastAsia="Times New Roman" w:cs="Times New Roman"/>
          <w:color w:val="0D0D0D" w:themeColor="text1" w:themeTint="F2"/>
          <w:szCs w:val="20"/>
        </w:rPr>
        <w:t xml:space="preserve">el mercado </w:t>
      </w:r>
      <w:r w:rsidRPr="00734FD6">
        <w:rPr>
          <w:rFonts w:eastAsia="Times New Roman" w:cs="Times New Roman"/>
          <w:color w:val="0D0D0D" w:themeColor="text1" w:themeTint="F2"/>
          <w:szCs w:val="20"/>
        </w:rPr>
        <w:t xml:space="preserve">estadounidense de medicamentos para el ganado destinado a la producción de alimentos asciende a unos </w:t>
      </w:r>
      <w:r>
        <w:rPr>
          <w:rFonts w:eastAsia="Times New Roman" w:cs="Times New Roman"/>
          <w:color w:val="0D0D0D" w:themeColor="text1" w:themeTint="F2"/>
          <w:szCs w:val="20"/>
        </w:rPr>
        <w:t>US$</w:t>
      </w:r>
      <w:r w:rsidRPr="00734FD6">
        <w:rPr>
          <w:rFonts w:eastAsia="Times New Roman" w:cs="Times New Roman"/>
          <w:color w:val="0D0D0D" w:themeColor="text1" w:themeTint="F2"/>
          <w:szCs w:val="20"/>
        </w:rPr>
        <w:t>8</w:t>
      </w:r>
      <w:r>
        <w:rPr>
          <w:rFonts w:eastAsia="Times New Roman" w:cs="Times New Roman"/>
          <w:color w:val="0D0D0D" w:themeColor="text1" w:themeTint="F2"/>
          <w:szCs w:val="20"/>
        </w:rPr>
        <w:t>.</w:t>
      </w:r>
      <w:r w:rsidRPr="00734FD6">
        <w:rPr>
          <w:rFonts w:eastAsia="Times New Roman" w:cs="Times New Roman"/>
          <w:color w:val="0D0D0D" w:themeColor="text1" w:themeTint="F2"/>
          <w:szCs w:val="20"/>
        </w:rPr>
        <w:t>000 millones anuales. Uno de los informes señalaba que este crecimiento está impulsado por "el uso generalizado de medicamentos en el ganado y</w:t>
      </w:r>
      <w:r>
        <w:rPr>
          <w:rFonts w:eastAsia="Times New Roman" w:cs="Times New Roman"/>
          <w:color w:val="0D0D0D" w:themeColor="text1" w:themeTint="F2"/>
          <w:szCs w:val="20"/>
        </w:rPr>
        <w:t xml:space="preserve"> por</w:t>
      </w:r>
      <w:r w:rsidRPr="00734FD6">
        <w:rPr>
          <w:rFonts w:eastAsia="Times New Roman" w:cs="Times New Roman"/>
          <w:color w:val="0D0D0D" w:themeColor="text1" w:themeTint="F2"/>
          <w:szCs w:val="20"/>
        </w:rPr>
        <w:t xml:space="preserve"> el creciente énfasis en la prevención y el control de enfermedades"</w:t>
      </w:r>
      <w:r>
        <w:rPr>
          <w:rFonts w:eastAsia="Times New Roman" w:cs="Times New Roman"/>
          <w:color w:val="0D0D0D" w:themeColor="text1" w:themeTint="F2"/>
          <w:szCs w:val="20"/>
        </w:rPr>
        <w:t xml:space="preserve"> [1]</w:t>
      </w:r>
      <w:r w:rsidRPr="00734FD6">
        <w:rPr>
          <w:rFonts w:eastAsia="Times New Roman" w:cs="Times New Roman"/>
          <w:color w:val="0D0D0D" w:themeColor="text1" w:themeTint="F2"/>
          <w:szCs w:val="20"/>
        </w:rPr>
        <w:t>.</w:t>
      </w:r>
    </w:p>
    <w:p w14:paraId="77BD0969" w14:textId="77777777" w:rsidR="003A775F" w:rsidRPr="00D37A37" w:rsidRDefault="003A775F" w:rsidP="003A775F">
      <w:pPr>
        <w:contextualSpacing/>
        <w:rPr>
          <w:rFonts w:eastAsia="Times New Roman" w:cs="Times New Roman"/>
          <w:color w:val="0D0D0D" w:themeColor="text1" w:themeTint="F2"/>
          <w:szCs w:val="20"/>
        </w:rPr>
      </w:pPr>
    </w:p>
    <w:p w14:paraId="2A1EEC25" w14:textId="77777777" w:rsidR="003A775F" w:rsidRDefault="003A775F" w:rsidP="003A775F">
      <w:pPr>
        <w:contextualSpacing/>
        <w:rPr>
          <w:rFonts w:eastAsia="Times New Roman" w:cs="Times New Roman"/>
          <w:color w:val="0D0D0D" w:themeColor="text1" w:themeTint="F2"/>
          <w:szCs w:val="20"/>
        </w:rPr>
      </w:pPr>
      <w:r w:rsidRPr="00B46E3D">
        <w:rPr>
          <w:rFonts w:eastAsia="Times New Roman" w:cs="Times New Roman"/>
          <w:b/>
          <w:bCs/>
          <w:color w:val="0D0D0D" w:themeColor="text1" w:themeTint="F2"/>
          <w:szCs w:val="20"/>
        </w:rPr>
        <w:t>Nota de Salud y Fármacos:</w:t>
      </w:r>
      <w:r>
        <w:rPr>
          <w:rFonts w:eastAsia="Times New Roman" w:cs="Times New Roman"/>
          <w:color w:val="0D0D0D" w:themeColor="text1" w:themeTint="F2"/>
          <w:szCs w:val="20"/>
        </w:rPr>
        <w:t xml:space="preserve"> Amplíe aquí la información sobre la</w:t>
      </w:r>
      <w:r w:rsidRPr="00711BAD">
        <w:rPr>
          <w:rFonts w:eastAsia="Times New Roman" w:cs="Times New Roman"/>
          <w:b/>
          <w:bCs/>
          <w:color w:val="0D0D0D" w:themeColor="text1" w:themeTint="F2"/>
          <w:szCs w:val="20"/>
        </w:rPr>
        <w:t xml:space="preserve"> </w:t>
      </w:r>
      <w:r w:rsidRPr="00711BAD">
        <w:rPr>
          <w:rFonts w:eastAsia="Times New Roman" w:cs="Times New Roman"/>
          <w:color w:val="0D0D0D" w:themeColor="text1" w:themeTint="F2"/>
          <w:szCs w:val="20"/>
        </w:rPr>
        <w:t>creciente amenaza global de la RAMI</w:t>
      </w:r>
      <w:r>
        <w:rPr>
          <w:rFonts w:eastAsia="Times New Roman" w:cs="Times New Roman"/>
          <w:color w:val="0D0D0D" w:themeColor="text1" w:themeTint="F2"/>
          <w:szCs w:val="20"/>
        </w:rPr>
        <w:t xml:space="preserve">, </w:t>
      </w:r>
      <w:r w:rsidRPr="00B46E3D">
        <w:rPr>
          <w:rFonts w:eastAsia="Times New Roman" w:cs="Times New Roman"/>
          <w:color w:val="0D0D0D" w:themeColor="text1" w:themeTint="F2"/>
          <w:szCs w:val="20"/>
        </w:rPr>
        <w:t>el marco de Una Salud para la gestión global y local a lo largo del ciclo de vida de los antimicrobianos y la Declaración Política sobre la RAMI de 2024: Rendición de cuentas de la industria y equidad en la transformación del sector agroalimentario</w:t>
      </w:r>
      <w:r>
        <w:rPr>
          <w:rFonts w:eastAsia="Times New Roman" w:cs="Times New Roman"/>
          <w:color w:val="0D0D0D" w:themeColor="text1" w:themeTint="F2"/>
          <w:szCs w:val="20"/>
        </w:rPr>
        <w:t>:</w:t>
      </w:r>
    </w:p>
    <w:p w14:paraId="7F560999" w14:textId="77777777" w:rsidR="003A775F" w:rsidRDefault="00B00DA4" w:rsidP="003A775F">
      <w:pPr>
        <w:contextualSpacing/>
        <w:rPr>
          <w:rFonts w:eastAsia="Times New Roman" w:cs="Times New Roman"/>
          <w:color w:val="0D0D0D" w:themeColor="text1" w:themeTint="F2"/>
          <w:szCs w:val="20"/>
        </w:rPr>
      </w:pPr>
      <w:hyperlink r:id="rId141" w:history="1">
        <w:r w:rsidR="003A775F" w:rsidRPr="001F29B1">
          <w:rPr>
            <w:rStyle w:val="Hipervnculo"/>
            <w:rFonts w:eastAsia="Times New Roman" w:cs="Times New Roman"/>
            <w:szCs w:val="20"/>
          </w:rPr>
          <w:t>https://www.saludyfarmacos.org/boletin-farmacos/boletines/feb202605/28_la/</w:t>
        </w:r>
      </w:hyperlink>
    </w:p>
    <w:p w14:paraId="22BB41B2" w14:textId="77777777" w:rsidR="003A775F" w:rsidRDefault="00B00DA4" w:rsidP="003A775F">
      <w:pPr>
        <w:contextualSpacing/>
        <w:rPr>
          <w:rFonts w:eastAsia="Times New Roman" w:cs="Times New Roman"/>
          <w:color w:val="0D0D0D" w:themeColor="text1" w:themeTint="F2"/>
          <w:szCs w:val="20"/>
        </w:rPr>
      </w:pPr>
      <w:hyperlink r:id="rId142" w:history="1">
        <w:r w:rsidR="003A775F" w:rsidRPr="001F29B1">
          <w:rPr>
            <w:rStyle w:val="Hipervnculo"/>
            <w:rFonts w:eastAsia="Times New Roman" w:cs="Times New Roman"/>
            <w:szCs w:val="20"/>
          </w:rPr>
          <w:t>https://www.saludyfarmacos.org/boletin-farmacos/boletines/feb202605/33_un/</w:t>
        </w:r>
      </w:hyperlink>
    </w:p>
    <w:p w14:paraId="04D4211C" w14:textId="77777777" w:rsidR="003A775F" w:rsidRDefault="00B00DA4" w:rsidP="003A775F">
      <w:pPr>
        <w:contextualSpacing/>
        <w:rPr>
          <w:rFonts w:eastAsia="Times New Roman" w:cs="Times New Roman"/>
          <w:color w:val="0D0D0D" w:themeColor="text1" w:themeTint="F2"/>
          <w:szCs w:val="20"/>
        </w:rPr>
      </w:pPr>
      <w:hyperlink r:id="rId143" w:history="1">
        <w:r w:rsidR="003A775F" w:rsidRPr="001F29B1">
          <w:rPr>
            <w:rStyle w:val="Hipervnculo"/>
            <w:rFonts w:eastAsia="Times New Roman" w:cs="Times New Roman"/>
            <w:szCs w:val="20"/>
          </w:rPr>
          <w:t>https://www.saludyfarmacos.org/boletin-farmacos/boletines/nov202505/30_im/</w:t>
        </w:r>
      </w:hyperlink>
    </w:p>
    <w:p w14:paraId="5906E1AC" w14:textId="77777777" w:rsidR="003A775F" w:rsidRDefault="003A775F" w:rsidP="003A775F">
      <w:pPr>
        <w:contextualSpacing/>
        <w:rPr>
          <w:rFonts w:eastAsia="Times New Roman" w:cs="Times New Roman"/>
          <w:color w:val="0D0D0D" w:themeColor="text1" w:themeTint="F2"/>
          <w:szCs w:val="20"/>
        </w:rPr>
      </w:pPr>
    </w:p>
    <w:p w14:paraId="780C6DA8" w14:textId="77777777" w:rsidR="003A775F" w:rsidRPr="00231582" w:rsidRDefault="003A775F" w:rsidP="003A775F">
      <w:pPr>
        <w:contextualSpacing/>
        <w:rPr>
          <w:rFonts w:eastAsia="Times New Roman" w:cs="Times New Roman"/>
          <w:b/>
          <w:bCs/>
          <w:color w:val="0D0D0D" w:themeColor="text1" w:themeTint="F2"/>
          <w:sz w:val="18"/>
          <w:szCs w:val="18"/>
          <w:lang w:val="en-US"/>
        </w:rPr>
      </w:pPr>
      <w:r w:rsidRPr="00231582">
        <w:rPr>
          <w:rFonts w:eastAsia="Times New Roman" w:cs="Times New Roman"/>
          <w:b/>
          <w:bCs/>
          <w:color w:val="0D0D0D" w:themeColor="text1" w:themeTint="F2"/>
          <w:sz w:val="18"/>
          <w:szCs w:val="18"/>
          <w:lang w:val="en-US"/>
        </w:rPr>
        <w:t>Fuente Original:</w:t>
      </w:r>
    </w:p>
    <w:p w14:paraId="456E9FF9" w14:textId="77777777" w:rsidR="00421B71" w:rsidRDefault="003A775F" w:rsidP="003A775F">
      <w:pPr>
        <w:ind w:left="180" w:hanging="180"/>
        <w:contextualSpacing/>
        <w:rPr>
          <w:rStyle w:val="Hipervnculo"/>
          <w:rFonts w:eastAsia="Times New Roman" w:cs="Times New Roman"/>
          <w:sz w:val="18"/>
          <w:szCs w:val="18"/>
        </w:rPr>
        <w:sectPr w:rsidR="00421B71" w:rsidSect="00421B71">
          <w:type w:val="continuous"/>
          <w:pgSz w:w="12240" w:h="15840" w:code="1"/>
          <w:pgMar w:top="720" w:right="720" w:bottom="720" w:left="720" w:header="288" w:footer="288" w:gutter="0"/>
          <w:cols w:num="2" w:space="288"/>
          <w:docGrid w:linePitch="360"/>
        </w:sectPr>
      </w:pPr>
      <w:r w:rsidRPr="00D37A37">
        <w:rPr>
          <w:rFonts w:eastAsia="Times New Roman" w:cs="Times New Roman"/>
          <w:color w:val="0D0D0D" w:themeColor="text1" w:themeTint="F2"/>
          <w:sz w:val="18"/>
          <w:szCs w:val="18"/>
          <w:lang w:val="en-US"/>
        </w:rPr>
        <w:t xml:space="preserve">1.Silverman E. Advocacy groups petition FDA to withdraw approval of ‘unsafe’ use of antibiotics given to livestock. </w:t>
      </w:r>
      <w:proofErr w:type="spellStart"/>
      <w:r w:rsidRPr="00D37A37">
        <w:rPr>
          <w:rFonts w:eastAsia="Times New Roman" w:cs="Times New Roman"/>
          <w:i/>
          <w:iCs/>
          <w:color w:val="0D0D0D" w:themeColor="text1" w:themeTint="F2"/>
          <w:sz w:val="18"/>
          <w:szCs w:val="18"/>
        </w:rPr>
        <w:t>Statnews</w:t>
      </w:r>
      <w:proofErr w:type="spellEnd"/>
      <w:r w:rsidRPr="00D37A37">
        <w:rPr>
          <w:rFonts w:eastAsia="Times New Roman" w:cs="Times New Roman"/>
          <w:i/>
          <w:iCs/>
          <w:color w:val="0D0D0D" w:themeColor="text1" w:themeTint="F2"/>
          <w:sz w:val="18"/>
          <w:szCs w:val="18"/>
        </w:rPr>
        <w:t>,</w:t>
      </w:r>
      <w:r w:rsidRPr="00D37A37">
        <w:rPr>
          <w:rFonts w:eastAsia="Times New Roman" w:cs="Times New Roman"/>
          <w:color w:val="0D0D0D" w:themeColor="text1" w:themeTint="F2"/>
          <w:sz w:val="18"/>
          <w:szCs w:val="18"/>
        </w:rPr>
        <w:t xml:space="preserve"> 17 de junio de 2026 </w:t>
      </w:r>
      <w:hyperlink r:id="rId144" w:history="1">
        <w:r w:rsidRPr="00D37A37">
          <w:rPr>
            <w:rStyle w:val="Hipervnculo"/>
            <w:rFonts w:eastAsia="Times New Roman" w:cs="Times New Roman"/>
            <w:sz w:val="18"/>
            <w:szCs w:val="18"/>
          </w:rPr>
          <w:t>https://www.statnews.com/pharmalot/2026/06/17/advocates-petition-fda-withdraw-approval-unsafe-use-antibiotics-given-livestock/</w:t>
        </w:r>
      </w:hyperlink>
    </w:p>
    <w:p w14:paraId="0FD7AEA2" w14:textId="0AFDCB58" w:rsidR="003A775F" w:rsidRPr="00D37A37" w:rsidRDefault="003A775F" w:rsidP="003A775F">
      <w:pPr>
        <w:ind w:left="180" w:hanging="180"/>
        <w:contextualSpacing/>
        <w:rPr>
          <w:rFonts w:eastAsia="Times New Roman" w:cs="Times New Roman"/>
          <w:color w:val="0D0D0D" w:themeColor="text1" w:themeTint="F2"/>
          <w:sz w:val="18"/>
          <w:szCs w:val="18"/>
        </w:rPr>
      </w:pPr>
    </w:p>
    <w:p w14:paraId="7DF2CCAC" w14:textId="77777777" w:rsidR="003A775F" w:rsidRDefault="003A775F" w:rsidP="00421B71">
      <w:pPr>
        <w:rPr>
          <w:rFonts w:eastAsia="Times New Roman" w:cs="Times New Roman"/>
          <w:color w:val="0D0D0D" w:themeColor="text1" w:themeTint="F2"/>
          <w:szCs w:val="20"/>
        </w:rPr>
      </w:pPr>
    </w:p>
    <w:p w14:paraId="1632DB37" w14:textId="64881257" w:rsidR="003A775F" w:rsidRPr="00EA71DA" w:rsidRDefault="003A775F" w:rsidP="003A775F">
      <w:pPr>
        <w:jc w:val="center"/>
        <w:rPr>
          <w:rFonts w:eastAsia="Times New Roman" w:cs="Times New Roman"/>
          <w:color w:val="0D0D0D" w:themeColor="text1" w:themeTint="F2"/>
          <w:szCs w:val="20"/>
        </w:rPr>
      </w:pPr>
      <w:r>
        <w:rPr>
          <w:rFonts w:eastAsia="Times New Roman" w:cs="Times New Roman"/>
          <w:color w:val="0D0D0D" w:themeColor="text1" w:themeTint="F2"/>
          <w:szCs w:val="20"/>
        </w:rPr>
        <w:t xml:space="preserve">EE UU. </w:t>
      </w:r>
      <w:r w:rsidRPr="00EA71DA">
        <w:rPr>
          <w:rFonts w:eastAsia="Times New Roman" w:cs="Times New Roman"/>
          <w:b/>
          <w:bCs/>
          <w:color w:val="0D0D0D" w:themeColor="text1" w:themeTint="F2"/>
          <w:szCs w:val="20"/>
        </w:rPr>
        <w:t>Características de quienes presentan durante las reuniones de Comités Asesores de la FDA para la aprobación de medicamentos</w:t>
      </w:r>
      <w:r w:rsidRPr="00EA71DA">
        <w:rPr>
          <w:rFonts w:eastAsia="Times New Roman" w:cs="Times New Roman"/>
          <w:color w:val="0D0D0D" w:themeColor="text1" w:themeTint="F2"/>
          <w:szCs w:val="20"/>
        </w:rPr>
        <w:t xml:space="preserve"> </w:t>
      </w:r>
      <w:r w:rsidRPr="00EA71DA">
        <w:rPr>
          <w:rFonts w:eastAsia="Times New Roman" w:cs="Times New Roman"/>
          <w:i/>
          <w:iCs/>
          <w:color w:val="0D0D0D" w:themeColor="text1" w:themeTint="F2"/>
          <w:szCs w:val="20"/>
        </w:rPr>
        <w:t>(</w:t>
      </w:r>
      <w:proofErr w:type="spellStart"/>
      <w:r w:rsidRPr="00EA71DA">
        <w:rPr>
          <w:rFonts w:eastAsia="Times New Roman" w:cs="Times New Roman"/>
          <w:i/>
          <w:iCs/>
          <w:color w:val="0D0D0D" w:themeColor="text1" w:themeTint="F2"/>
          <w:szCs w:val="20"/>
        </w:rPr>
        <w:t>Characteristics</w:t>
      </w:r>
      <w:proofErr w:type="spellEnd"/>
      <w:r w:rsidRPr="00EA71DA">
        <w:rPr>
          <w:rFonts w:eastAsia="Times New Roman" w:cs="Times New Roman"/>
          <w:i/>
          <w:iCs/>
          <w:color w:val="0D0D0D" w:themeColor="text1" w:themeTint="F2"/>
          <w:szCs w:val="20"/>
        </w:rPr>
        <w:t xml:space="preserve"> of </w:t>
      </w:r>
      <w:proofErr w:type="spellStart"/>
      <w:r w:rsidRPr="00EA71DA">
        <w:rPr>
          <w:rFonts w:eastAsia="Times New Roman" w:cs="Times New Roman"/>
          <w:i/>
          <w:iCs/>
          <w:color w:val="0D0D0D" w:themeColor="text1" w:themeTint="F2"/>
          <w:szCs w:val="20"/>
        </w:rPr>
        <w:t>Speakers</w:t>
      </w:r>
      <w:proofErr w:type="spellEnd"/>
      <w:r w:rsidRPr="00EA71DA">
        <w:rPr>
          <w:rFonts w:eastAsia="Times New Roman" w:cs="Times New Roman"/>
          <w:i/>
          <w:iCs/>
          <w:color w:val="0D0D0D" w:themeColor="text1" w:themeTint="F2"/>
          <w:szCs w:val="20"/>
        </w:rPr>
        <w:t xml:space="preserve"> at US FDA Advisory </w:t>
      </w:r>
      <w:proofErr w:type="spellStart"/>
      <w:r w:rsidRPr="00EA71DA">
        <w:rPr>
          <w:rFonts w:eastAsia="Times New Roman" w:cs="Times New Roman"/>
          <w:i/>
          <w:iCs/>
          <w:color w:val="0D0D0D" w:themeColor="text1" w:themeTint="F2"/>
          <w:szCs w:val="20"/>
        </w:rPr>
        <w:t>Committee</w:t>
      </w:r>
      <w:proofErr w:type="spellEnd"/>
      <w:r w:rsidRPr="00EA71DA">
        <w:rPr>
          <w:rFonts w:eastAsia="Times New Roman" w:cs="Times New Roman"/>
          <w:i/>
          <w:iCs/>
          <w:color w:val="0D0D0D" w:themeColor="text1" w:themeTint="F2"/>
          <w:szCs w:val="20"/>
        </w:rPr>
        <w:t xml:space="preserve"> Meetings </w:t>
      </w:r>
      <w:proofErr w:type="spellStart"/>
      <w:r w:rsidRPr="00EA71DA">
        <w:rPr>
          <w:rFonts w:eastAsia="Times New Roman" w:cs="Times New Roman"/>
          <w:i/>
          <w:iCs/>
          <w:color w:val="0D0D0D" w:themeColor="text1" w:themeTint="F2"/>
          <w:szCs w:val="20"/>
        </w:rPr>
        <w:t>on</w:t>
      </w:r>
      <w:proofErr w:type="spellEnd"/>
      <w:r w:rsidRPr="00EA71DA">
        <w:rPr>
          <w:rFonts w:eastAsia="Times New Roman" w:cs="Times New Roman"/>
          <w:i/>
          <w:iCs/>
          <w:color w:val="0D0D0D" w:themeColor="text1" w:themeTint="F2"/>
          <w:szCs w:val="20"/>
        </w:rPr>
        <w:t xml:space="preserve"> </w:t>
      </w:r>
      <w:proofErr w:type="spellStart"/>
      <w:r w:rsidRPr="00EA71DA">
        <w:rPr>
          <w:rFonts w:eastAsia="Times New Roman" w:cs="Times New Roman"/>
          <w:i/>
          <w:iCs/>
          <w:color w:val="0D0D0D" w:themeColor="text1" w:themeTint="F2"/>
          <w:szCs w:val="20"/>
        </w:rPr>
        <w:t>Drug</w:t>
      </w:r>
      <w:proofErr w:type="spellEnd"/>
      <w:r w:rsidRPr="00EA71DA">
        <w:rPr>
          <w:rFonts w:eastAsia="Times New Roman" w:cs="Times New Roman"/>
          <w:i/>
          <w:iCs/>
          <w:color w:val="0D0D0D" w:themeColor="text1" w:themeTint="F2"/>
          <w:szCs w:val="20"/>
        </w:rPr>
        <w:t xml:space="preserve"> </w:t>
      </w:r>
      <w:proofErr w:type="spellStart"/>
      <w:r w:rsidRPr="00EA71DA">
        <w:rPr>
          <w:rFonts w:eastAsia="Times New Roman" w:cs="Times New Roman"/>
          <w:i/>
          <w:iCs/>
          <w:color w:val="0D0D0D" w:themeColor="text1" w:themeTint="F2"/>
          <w:szCs w:val="20"/>
        </w:rPr>
        <w:t>Approval</w:t>
      </w:r>
      <w:proofErr w:type="spellEnd"/>
      <w:r w:rsidRPr="00EA71DA">
        <w:rPr>
          <w:rFonts w:eastAsia="Times New Roman" w:cs="Times New Roman"/>
          <w:i/>
          <w:iCs/>
          <w:color w:val="0D0D0D" w:themeColor="text1" w:themeTint="F2"/>
          <w:szCs w:val="20"/>
        </w:rPr>
        <w:t>)</w:t>
      </w:r>
    </w:p>
    <w:p w14:paraId="3810851A" w14:textId="77777777" w:rsidR="003A775F" w:rsidRDefault="003A775F" w:rsidP="003A775F">
      <w:pPr>
        <w:jc w:val="center"/>
        <w:rPr>
          <w:rFonts w:eastAsia="Times New Roman" w:cs="Times New Roman"/>
          <w:color w:val="0D0D0D" w:themeColor="text1" w:themeTint="F2"/>
          <w:szCs w:val="20"/>
          <w:lang w:val="en-US"/>
        </w:rPr>
      </w:pPr>
      <w:r w:rsidRPr="00EA71DA">
        <w:rPr>
          <w:rFonts w:eastAsia="Times New Roman" w:cs="Times New Roman"/>
          <w:color w:val="0D0D0D" w:themeColor="text1" w:themeTint="F2"/>
          <w:szCs w:val="20"/>
          <w:lang w:val="en-US"/>
        </w:rPr>
        <w:t>LZ</w:t>
      </w:r>
      <w:r>
        <w:rPr>
          <w:rFonts w:eastAsia="Times New Roman" w:cs="Times New Roman"/>
          <w:color w:val="0D0D0D" w:themeColor="text1" w:themeTint="F2"/>
          <w:szCs w:val="20"/>
          <w:lang w:val="en-US"/>
        </w:rPr>
        <w:t xml:space="preserve"> </w:t>
      </w:r>
      <w:r w:rsidRPr="00B045FC">
        <w:rPr>
          <w:rFonts w:eastAsia="Times New Roman" w:cs="Times New Roman"/>
          <w:color w:val="0D0D0D" w:themeColor="text1" w:themeTint="F2"/>
          <w:szCs w:val="20"/>
          <w:lang w:val="en-US"/>
        </w:rPr>
        <w:t>Rand,</w:t>
      </w:r>
      <w:r>
        <w:rPr>
          <w:rFonts w:eastAsia="Times New Roman" w:cs="Times New Roman"/>
          <w:color w:val="0D0D0D" w:themeColor="text1" w:themeTint="F2"/>
          <w:szCs w:val="20"/>
          <w:lang w:val="en-US"/>
        </w:rPr>
        <w:t xml:space="preserve"> H </w:t>
      </w:r>
      <w:r w:rsidRPr="00B045FC">
        <w:rPr>
          <w:rFonts w:eastAsia="Times New Roman" w:cs="Times New Roman"/>
          <w:color w:val="0D0D0D" w:themeColor="text1" w:themeTint="F2"/>
          <w:szCs w:val="20"/>
          <w:lang w:val="en-US"/>
        </w:rPr>
        <w:t>Mooney,</w:t>
      </w:r>
      <w:r>
        <w:rPr>
          <w:rFonts w:eastAsia="Times New Roman" w:cs="Times New Roman"/>
          <w:color w:val="0D0D0D" w:themeColor="text1" w:themeTint="F2"/>
          <w:szCs w:val="20"/>
          <w:lang w:val="en-US"/>
        </w:rPr>
        <w:t xml:space="preserve"> D </w:t>
      </w:r>
      <w:r w:rsidRPr="00B045FC">
        <w:rPr>
          <w:rFonts w:eastAsia="Times New Roman" w:cs="Times New Roman"/>
          <w:color w:val="0D0D0D" w:themeColor="text1" w:themeTint="F2"/>
          <w:szCs w:val="20"/>
          <w:lang w:val="en-US"/>
        </w:rPr>
        <w:t>Hong,</w:t>
      </w:r>
      <w:r>
        <w:rPr>
          <w:rFonts w:eastAsia="Times New Roman" w:cs="Times New Roman"/>
          <w:color w:val="0D0D0D" w:themeColor="text1" w:themeTint="F2"/>
          <w:szCs w:val="20"/>
          <w:lang w:val="en-US"/>
        </w:rPr>
        <w:t xml:space="preserve"> D </w:t>
      </w:r>
      <w:proofErr w:type="spellStart"/>
      <w:r w:rsidRPr="00B045FC">
        <w:rPr>
          <w:rFonts w:eastAsia="Times New Roman" w:cs="Times New Roman"/>
          <w:color w:val="0D0D0D" w:themeColor="text1" w:themeTint="F2"/>
          <w:szCs w:val="20"/>
          <w:lang w:val="en-US"/>
        </w:rPr>
        <w:t>Eisenkraft</w:t>
      </w:r>
      <w:proofErr w:type="spellEnd"/>
      <w:r w:rsidRPr="00B045FC">
        <w:rPr>
          <w:rFonts w:eastAsia="Times New Roman" w:cs="Times New Roman"/>
          <w:color w:val="0D0D0D" w:themeColor="text1" w:themeTint="F2"/>
          <w:szCs w:val="20"/>
          <w:lang w:val="en-US"/>
        </w:rPr>
        <w:t xml:space="preserve"> Klein,</w:t>
      </w:r>
      <w:r>
        <w:rPr>
          <w:rFonts w:eastAsia="Times New Roman" w:cs="Times New Roman"/>
          <w:color w:val="0D0D0D" w:themeColor="text1" w:themeTint="F2"/>
          <w:szCs w:val="20"/>
          <w:lang w:val="en-US"/>
        </w:rPr>
        <w:t xml:space="preserve"> AS </w:t>
      </w:r>
      <w:proofErr w:type="spellStart"/>
      <w:r w:rsidRPr="00B045FC">
        <w:rPr>
          <w:rFonts w:eastAsia="Times New Roman" w:cs="Times New Roman"/>
          <w:color w:val="0D0D0D" w:themeColor="text1" w:themeTint="F2"/>
          <w:szCs w:val="20"/>
          <w:lang w:val="en-US"/>
        </w:rPr>
        <w:t>Kesselheim</w:t>
      </w:r>
      <w:proofErr w:type="spellEnd"/>
      <w:r>
        <w:rPr>
          <w:rFonts w:eastAsia="Times New Roman" w:cs="Times New Roman"/>
          <w:color w:val="0D0D0D" w:themeColor="text1" w:themeTint="F2"/>
          <w:szCs w:val="20"/>
          <w:lang w:val="en-US"/>
        </w:rPr>
        <w:t xml:space="preserve"> y BN </w:t>
      </w:r>
      <w:r w:rsidRPr="00B045FC">
        <w:rPr>
          <w:rFonts w:eastAsia="Times New Roman" w:cs="Times New Roman"/>
          <w:color w:val="0D0D0D" w:themeColor="text1" w:themeTint="F2"/>
          <w:szCs w:val="20"/>
          <w:lang w:val="en-US"/>
        </w:rPr>
        <w:t>Rome</w:t>
      </w:r>
    </w:p>
    <w:p w14:paraId="6CCF1228" w14:textId="77777777" w:rsidR="003A775F" w:rsidRPr="00B045FC" w:rsidRDefault="003A775F" w:rsidP="003A775F">
      <w:pPr>
        <w:jc w:val="center"/>
        <w:rPr>
          <w:rFonts w:eastAsia="Times New Roman" w:cs="Times New Roman"/>
          <w:color w:val="0D0D0D" w:themeColor="text1" w:themeTint="F2"/>
          <w:szCs w:val="20"/>
          <w:lang w:val="en-US"/>
        </w:rPr>
      </w:pPr>
      <w:r w:rsidRPr="00B045FC">
        <w:rPr>
          <w:rFonts w:eastAsia="Times New Roman" w:cs="Times New Roman"/>
          <w:i/>
          <w:iCs/>
          <w:color w:val="0D0D0D" w:themeColor="text1" w:themeTint="F2"/>
          <w:szCs w:val="20"/>
          <w:lang w:val="en-US"/>
        </w:rPr>
        <w:t>JAMA Intern Med.</w:t>
      </w:r>
      <w:r>
        <w:rPr>
          <w:rFonts w:eastAsia="Times New Roman" w:cs="Times New Roman"/>
          <w:color w:val="0D0D0D" w:themeColor="text1" w:themeTint="F2"/>
          <w:szCs w:val="20"/>
          <w:lang w:val="en-US"/>
        </w:rPr>
        <w:t xml:space="preserve"> </w:t>
      </w:r>
      <w:r w:rsidRPr="00B045FC">
        <w:rPr>
          <w:rFonts w:eastAsia="Times New Roman" w:cs="Times New Roman"/>
          <w:color w:val="0D0D0D" w:themeColor="text1" w:themeTint="F2"/>
          <w:szCs w:val="20"/>
          <w:lang w:val="en-US"/>
        </w:rPr>
        <w:t xml:space="preserve">2026;186(1):139–141. </w:t>
      </w:r>
      <w:r>
        <w:rPr>
          <w:rFonts w:eastAsia="Times New Roman" w:cs="Times New Roman"/>
          <w:color w:val="0D0D0D" w:themeColor="text1" w:themeTint="F2"/>
          <w:szCs w:val="20"/>
          <w:lang w:val="en-US"/>
        </w:rPr>
        <w:t>DOI</w:t>
      </w:r>
      <w:r w:rsidRPr="00B045FC">
        <w:rPr>
          <w:rFonts w:eastAsia="Times New Roman" w:cs="Times New Roman"/>
          <w:color w:val="0D0D0D" w:themeColor="text1" w:themeTint="F2"/>
          <w:szCs w:val="20"/>
          <w:lang w:val="en-US"/>
        </w:rPr>
        <w:t>:10.1001/jamainternmed.2025.6107</w:t>
      </w:r>
    </w:p>
    <w:p w14:paraId="5EF86EF5" w14:textId="77777777" w:rsidR="003A775F" w:rsidRDefault="00B00DA4" w:rsidP="003A775F">
      <w:pPr>
        <w:jc w:val="center"/>
        <w:rPr>
          <w:rFonts w:eastAsia="Times New Roman" w:cs="Times New Roman"/>
          <w:color w:val="0D0D0D" w:themeColor="text1" w:themeTint="F2"/>
          <w:szCs w:val="20"/>
          <w:lang w:val="en-US"/>
        </w:rPr>
      </w:pPr>
      <w:hyperlink r:id="rId145" w:history="1">
        <w:r w:rsidR="003A775F" w:rsidRPr="001F29B1">
          <w:rPr>
            <w:rStyle w:val="Hipervnculo"/>
            <w:rFonts w:eastAsia="Times New Roman" w:cs="Times New Roman"/>
            <w:szCs w:val="20"/>
            <w:lang w:val="en-US"/>
          </w:rPr>
          <w:t>https://jamanetwork.com/journals/jamainternalmedicine/article-abstract/2841276</w:t>
        </w:r>
      </w:hyperlink>
    </w:p>
    <w:p w14:paraId="7BC59287" w14:textId="77777777" w:rsidR="003A775F" w:rsidRPr="00EB773A" w:rsidRDefault="003A775F" w:rsidP="003A775F">
      <w:pPr>
        <w:jc w:val="center"/>
      </w:pPr>
      <w:r>
        <w:rPr>
          <w:rFonts w:eastAsia="Times New Roman" w:cs="Times New Roman"/>
          <w:szCs w:val="20"/>
        </w:rPr>
        <w:t xml:space="preserve">Traducido por Salud y Fármacos, publicado en </w:t>
      </w:r>
      <w:r w:rsidRPr="00CA5ACC">
        <w:rPr>
          <w:rFonts w:cs="Times New Roman"/>
          <w:i/>
          <w:iCs/>
          <w:szCs w:val="20"/>
        </w:rPr>
        <w:t>Boletín Fármacos:</w:t>
      </w:r>
      <w:r>
        <w:rPr>
          <w:rFonts w:cs="Times New Roman"/>
          <w:i/>
          <w:iCs/>
          <w:szCs w:val="20"/>
        </w:rPr>
        <w:t xml:space="preserve"> </w:t>
      </w:r>
      <w:r>
        <w:rPr>
          <w:i/>
          <w:iCs/>
          <w:szCs w:val="20"/>
        </w:rPr>
        <w:t>Agen</w:t>
      </w:r>
      <w:r w:rsidRPr="001900D6">
        <w:rPr>
          <w:i/>
          <w:iCs/>
          <w:szCs w:val="20"/>
        </w:rPr>
        <w:t xml:space="preserve">cias </w:t>
      </w:r>
      <w:r>
        <w:rPr>
          <w:i/>
          <w:iCs/>
          <w:szCs w:val="20"/>
        </w:rPr>
        <w:t>Reguladoras</w:t>
      </w:r>
      <w:r w:rsidRPr="001900D6">
        <w:rPr>
          <w:i/>
          <w:iCs/>
          <w:szCs w:val="20"/>
        </w:rPr>
        <w:t xml:space="preserve"> 2026; 29(</w:t>
      </w:r>
      <w:r>
        <w:rPr>
          <w:i/>
          <w:iCs/>
          <w:szCs w:val="20"/>
        </w:rPr>
        <w:t>3</w:t>
      </w:r>
      <w:r w:rsidRPr="001900D6">
        <w:rPr>
          <w:i/>
          <w:iCs/>
          <w:szCs w:val="20"/>
        </w:rPr>
        <w:t>)</w:t>
      </w:r>
    </w:p>
    <w:p w14:paraId="659349F7" w14:textId="77777777" w:rsidR="003A775F" w:rsidRPr="00FD0655" w:rsidRDefault="003A775F" w:rsidP="003A775F">
      <w:pPr>
        <w:rPr>
          <w:szCs w:val="20"/>
        </w:rPr>
      </w:pPr>
    </w:p>
    <w:p w14:paraId="3D9A9BFD" w14:textId="77777777" w:rsidR="00421B71" w:rsidRDefault="00421B71" w:rsidP="003A775F">
      <w:pPr>
        <w:rPr>
          <w:b/>
          <w:bCs/>
          <w:sz w:val="18"/>
          <w:szCs w:val="18"/>
        </w:rPr>
        <w:sectPr w:rsidR="00421B71" w:rsidSect="00F25512">
          <w:type w:val="continuous"/>
          <w:pgSz w:w="12240" w:h="15840" w:code="1"/>
          <w:pgMar w:top="720" w:right="720" w:bottom="720" w:left="720" w:header="288" w:footer="288" w:gutter="0"/>
          <w:cols w:space="288"/>
          <w:docGrid w:linePitch="360"/>
        </w:sectPr>
      </w:pPr>
    </w:p>
    <w:p w14:paraId="5E896B8F" w14:textId="3FFBE55B" w:rsidR="003A775F" w:rsidRDefault="003A775F" w:rsidP="003A775F">
      <w:pPr>
        <w:rPr>
          <w:b/>
          <w:bCs/>
          <w:sz w:val="18"/>
          <w:szCs w:val="18"/>
        </w:rPr>
      </w:pPr>
      <w:r w:rsidRPr="00FD0655">
        <w:rPr>
          <w:b/>
          <w:bCs/>
          <w:sz w:val="18"/>
          <w:szCs w:val="18"/>
        </w:rPr>
        <w:t>Tags:</w:t>
      </w:r>
      <w:r>
        <w:rPr>
          <w:b/>
          <w:bCs/>
          <w:sz w:val="18"/>
          <w:szCs w:val="18"/>
        </w:rPr>
        <w:t xml:space="preserve"> </w:t>
      </w:r>
      <w:r w:rsidRPr="00382AF2">
        <w:rPr>
          <w:rFonts w:eastAsia="Times New Roman" w:cs="Times New Roman"/>
          <w:b/>
          <w:bCs/>
          <w:color w:val="0D0D0D" w:themeColor="text1" w:themeTint="F2"/>
          <w:sz w:val="18"/>
          <w:szCs w:val="18"/>
        </w:rPr>
        <w:t>reuniones Comité Asesor FDA, aprobación de medicamentos FDA, oradores y comités FDA</w:t>
      </w:r>
    </w:p>
    <w:p w14:paraId="58F03D31" w14:textId="77777777" w:rsidR="003A775F" w:rsidRPr="00F25512" w:rsidRDefault="003A775F" w:rsidP="003A775F">
      <w:pPr>
        <w:rPr>
          <w:rFonts w:eastAsia="Times New Roman" w:cs="Times New Roman"/>
          <w:color w:val="0D0D0D" w:themeColor="text1" w:themeTint="F2"/>
          <w:szCs w:val="20"/>
          <w:lang w:val="es-ES"/>
        </w:rPr>
      </w:pPr>
    </w:p>
    <w:p w14:paraId="13685E64" w14:textId="77777777" w:rsidR="003A775F" w:rsidRDefault="003A775F" w:rsidP="003A775F">
      <w:pPr>
        <w:rPr>
          <w:rFonts w:eastAsia="Times New Roman" w:cs="Times New Roman"/>
          <w:color w:val="0D0D0D" w:themeColor="text1" w:themeTint="F2"/>
          <w:szCs w:val="20"/>
        </w:rPr>
      </w:pPr>
      <w:r>
        <w:rPr>
          <w:rFonts w:eastAsia="Times New Roman" w:cs="Times New Roman"/>
          <w:color w:val="0D0D0D" w:themeColor="text1" w:themeTint="F2"/>
          <w:szCs w:val="20"/>
        </w:rPr>
        <w:t xml:space="preserve">La </w:t>
      </w:r>
      <w:r w:rsidRPr="00980FE3">
        <w:rPr>
          <w:rFonts w:eastAsia="Times New Roman" w:cs="Times New Roman"/>
          <w:color w:val="0D0D0D" w:themeColor="text1" w:themeTint="F2"/>
          <w:szCs w:val="20"/>
        </w:rPr>
        <w:t xml:space="preserve">FDA convoca reuniones de comités asesores para </w:t>
      </w:r>
      <w:r>
        <w:rPr>
          <w:rFonts w:eastAsia="Times New Roman" w:cs="Times New Roman"/>
          <w:color w:val="0D0D0D" w:themeColor="text1" w:themeTint="F2"/>
          <w:szCs w:val="20"/>
        </w:rPr>
        <w:t>que, como</w:t>
      </w:r>
      <w:r w:rsidRPr="00980FE3">
        <w:rPr>
          <w:rFonts w:eastAsia="Times New Roman" w:cs="Times New Roman"/>
          <w:color w:val="0D0D0D" w:themeColor="text1" w:themeTint="F2"/>
          <w:szCs w:val="20"/>
        </w:rPr>
        <w:t xml:space="preserve"> expertos independientes</w:t>
      </w:r>
      <w:r>
        <w:rPr>
          <w:rFonts w:eastAsia="Times New Roman" w:cs="Times New Roman"/>
          <w:color w:val="0D0D0D" w:themeColor="text1" w:themeTint="F2"/>
          <w:szCs w:val="20"/>
        </w:rPr>
        <w:t>,</w:t>
      </w:r>
      <w:r w:rsidRPr="00980FE3">
        <w:rPr>
          <w:rFonts w:eastAsia="Times New Roman" w:cs="Times New Roman"/>
          <w:color w:val="0D0D0D" w:themeColor="text1" w:themeTint="F2"/>
          <w:szCs w:val="20"/>
        </w:rPr>
        <w:t xml:space="preserve"> </w:t>
      </w:r>
      <w:r>
        <w:rPr>
          <w:rFonts w:eastAsia="Times New Roman" w:cs="Times New Roman"/>
          <w:color w:val="0D0D0D" w:themeColor="text1" w:themeTint="F2"/>
          <w:szCs w:val="20"/>
        </w:rPr>
        <w:t>ofrezcan</w:t>
      </w:r>
      <w:r w:rsidRPr="00980FE3">
        <w:rPr>
          <w:rFonts w:eastAsia="Times New Roman" w:cs="Times New Roman"/>
          <w:color w:val="0D0D0D" w:themeColor="text1" w:themeTint="F2"/>
          <w:szCs w:val="20"/>
        </w:rPr>
        <w:t xml:space="preserve"> recomendaciones sobre las acciones de la agencia, inclu</w:t>
      </w:r>
      <w:r>
        <w:rPr>
          <w:rFonts w:eastAsia="Times New Roman" w:cs="Times New Roman"/>
          <w:color w:val="0D0D0D" w:themeColor="text1" w:themeTint="F2"/>
          <w:szCs w:val="20"/>
        </w:rPr>
        <w:t>yendo</w:t>
      </w:r>
      <w:r w:rsidRPr="00980FE3">
        <w:rPr>
          <w:rFonts w:eastAsia="Times New Roman" w:cs="Times New Roman"/>
          <w:color w:val="0D0D0D" w:themeColor="text1" w:themeTint="F2"/>
          <w:szCs w:val="20"/>
        </w:rPr>
        <w:t xml:space="preserve"> las aprobaciones de medicamentos y productos biológicos. Estas reuniones permiten que miembros del público ofrezcan comentarios durante las sesiones de audiencia pública abiertas</w:t>
      </w:r>
      <w:r>
        <w:rPr>
          <w:rFonts w:eastAsia="Times New Roman" w:cs="Times New Roman"/>
          <w:color w:val="0D0D0D" w:themeColor="text1" w:themeTint="F2"/>
          <w:szCs w:val="20"/>
        </w:rPr>
        <w:t>.</w:t>
      </w:r>
      <w:r w:rsidRPr="00980FE3">
        <w:rPr>
          <w:rFonts w:eastAsia="Times New Roman" w:cs="Times New Roman"/>
          <w:color w:val="0D0D0D" w:themeColor="text1" w:themeTint="F2"/>
          <w:szCs w:val="20"/>
        </w:rPr>
        <w:t xml:space="preserve"> </w:t>
      </w:r>
    </w:p>
    <w:p w14:paraId="25F9D0C9" w14:textId="77777777" w:rsidR="003A775F" w:rsidRDefault="003A775F" w:rsidP="003A775F">
      <w:pPr>
        <w:rPr>
          <w:rFonts w:eastAsia="Times New Roman" w:cs="Times New Roman"/>
          <w:color w:val="0D0D0D" w:themeColor="text1" w:themeTint="F2"/>
          <w:szCs w:val="20"/>
        </w:rPr>
      </w:pPr>
    </w:p>
    <w:p w14:paraId="7BCB7A2B" w14:textId="77777777" w:rsidR="003A775F" w:rsidRDefault="003A775F" w:rsidP="003A775F">
      <w:pPr>
        <w:rPr>
          <w:rFonts w:eastAsia="Times New Roman" w:cs="Times New Roman"/>
          <w:color w:val="0D0D0D" w:themeColor="text1" w:themeTint="F2"/>
          <w:szCs w:val="20"/>
        </w:rPr>
      </w:pPr>
      <w:r w:rsidRPr="00980FE3">
        <w:rPr>
          <w:rFonts w:eastAsia="Times New Roman" w:cs="Times New Roman"/>
          <w:color w:val="0D0D0D" w:themeColor="text1" w:themeTint="F2"/>
          <w:szCs w:val="20"/>
        </w:rPr>
        <w:t xml:space="preserve">Durante la última década, el Congreso y la FDA han enfatizado la importancia de la participación </w:t>
      </w:r>
      <w:r>
        <w:rPr>
          <w:rFonts w:eastAsia="Times New Roman" w:cs="Times New Roman"/>
          <w:color w:val="0D0D0D" w:themeColor="text1" w:themeTint="F2"/>
          <w:szCs w:val="20"/>
        </w:rPr>
        <w:t xml:space="preserve">del </w:t>
      </w:r>
      <w:r w:rsidRPr="00980FE3">
        <w:rPr>
          <w:rFonts w:eastAsia="Times New Roman" w:cs="Times New Roman"/>
          <w:color w:val="0D0D0D" w:themeColor="text1" w:themeTint="F2"/>
          <w:szCs w:val="20"/>
        </w:rPr>
        <w:t>públic</w:t>
      </w:r>
      <w:r>
        <w:rPr>
          <w:rFonts w:eastAsia="Times New Roman" w:cs="Times New Roman"/>
          <w:color w:val="0D0D0D" w:themeColor="text1" w:themeTint="F2"/>
          <w:szCs w:val="20"/>
        </w:rPr>
        <w:t>o</w:t>
      </w:r>
      <w:r w:rsidRPr="00980FE3">
        <w:rPr>
          <w:rFonts w:eastAsia="Times New Roman" w:cs="Times New Roman"/>
          <w:color w:val="0D0D0D" w:themeColor="text1" w:themeTint="F2"/>
          <w:szCs w:val="20"/>
        </w:rPr>
        <w:t>, en particular de los pacientes</w:t>
      </w:r>
      <w:r>
        <w:rPr>
          <w:rFonts w:eastAsia="Times New Roman" w:cs="Times New Roman"/>
          <w:color w:val="0D0D0D" w:themeColor="text1" w:themeTint="F2"/>
          <w:szCs w:val="20"/>
        </w:rPr>
        <w:t>.</w:t>
      </w:r>
      <w:r w:rsidRPr="00980FE3">
        <w:rPr>
          <w:rFonts w:eastAsia="Times New Roman" w:cs="Times New Roman"/>
          <w:color w:val="0D0D0D" w:themeColor="text1" w:themeTint="F2"/>
          <w:szCs w:val="20"/>
        </w:rPr>
        <w:t xml:space="preserve"> Sin embargo, </w:t>
      </w:r>
      <w:r>
        <w:rPr>
          <w:rFonts w:eastAsia="Times New Roman" w:cs="Times New Roman"/>
          <w:color w:val="0D0D0D" w:themeColor="text1" w:themeTint="F2"/>
          <w:szCs w:val="20"/>
        </w:rPr>
        <w:t xml:space="preserve">no se ha hecho una evaluación sistemática sobre </w:t>
      </w:r>
      <w:r w:rsidRPr="00980FE3">
        <w:rPr>
          <w:rFonts w:eastAsia="Times New Roman" w:cs="Times New Roman"/>
          <w:color w:val="0D0D0D" w:themeColor="text1" w:themeTint="F2"/>
          <w:szCs w:val="20"/>
        </w:rPr>
        <w:t xml:space="preserve">quién </w:t>
      </w:r>
      <w:r>
        <w:rPr>
          <w:rFonts w:eastAsia="Times New Roman" w:cs="Times New Roman"/>
          <w:color w:val="0D0D0D" w:themeColor="text1" w:themeTint="F2"/>
          <w:szCs w:val="20"/>
        </w:rPr>
        <w:t>ofrece</w:t>
      </w:r>
      <w:r w:rsidRPr="00980FE3">
        <w:rPr>
          <w:rFonts w:eastAsia="Times New Roman" w:cs="Times New Roman"/>
          <w:color w:val="0D0D0D" w:themeColor="text1" w:themeTint="F2"/>
          <w:szCs w:val="20"/>
        </w:rPr>
        <w:t xml:space="preserve"> comentarios públicos y qué </w:t>
      </w:r>
      <w:r>
        <w:rPr>
          <w:rFonts w:eastAsia="Times New Roman" w:cs="Times New Roman"/>
          <w:color w:val="0D0D0D" w:themeColor="text1" w:themeTint="F2"/>
          <w:szCs w:val="20"/>
        </w:rPr>
        <w:t>recomendaciones hacen a la</w:t>
      </w:r>
      <w:r w:rsidRPr="00980FE3">
        <w:rPr>
          <w:rFonts w:eastAsia="Times New Roman" w:cs="Times New Roman"/>
          <w:color w:val="0D0D0D" w:themeColor="text1" w:themeTint="F2"/>
          <w:szCs w:val="20"/>
        </w:rPr>
        <w:t xml:space="preserve"> FDA</w:t>
      </w:r>
      <w:r>
        <w:rPr>
          <w:rFonts w:eastAsia="Times New Roman" w:cs="Times New Roman"/>
          <w:color w:val="0D0D0D" w:themeColor="text1" w:themeTint="F2"/>
          <w:szCs w:val="20"/>
        </w:rPr>
        <w:t>.</w:t>
      </w:r>
      <w:r w:rsidRPr="00980FE3">
        <w:rPr>
          <w:rFonts w:eastAsia="Times New Roman" w:cs="Times New Roman"/>
          <w:color w:val="0D0D0D" w:themeColor="text1" w:themeTint="F2"/>
          <w:szCs w:val="20"/>
        </w:rPr>
        <w:t xml:space="preserve"> Analizamos </w:t>
      </w:r>
      <w:r>
        <w:rPr>
          <w:rFonts w:eastAsia="Times New Roman" w:cs="Times New Roman"/>
          <w:color w:val="0D0D0D" w:themeColor="text1" w:themeTint="F2"/>
          <w:szCs w:val="20"/>
        </w:rPr>
        <w:t>las transcripciones de las reuniones sostenidas durante nueve</w:t>
      </w:r>
      <w:r w:rsidRPr="00980FE3">
        <w:rPr>
          <w:rFonts w:eastAsia="Times New Roman" w:cs="Times New Roman"/>
          <w:color w:val="0D0D0D" w:themeColor="text1" w:themeTint="F2"/>
          <w:szCs w:val="20"/>
        </w:rPr>
        <w:t xml:space="preserve"> años para identificar las características de los oradores y su asociación con la recomendación de a</w:t>
      </w:r>
      <w:r>
        <w:rPr>
          <w:rFonts w:eastAsia="Times New Roman" w:cs="Times New Roman"/>
          <w:color w:val="0D0D0D" w:themeColor="text1" w:themeTint="F2"/>
          <w:szCs w:val="20"/>
        </w:rPr>
        <w:t>probar los</w:t>
      </w:r>
      <w:r w:rsidRPr="00980FE3">
        <w:rPr>
          <w:rFonts w:eastAsia="Times New Roman" w:cs="Times New Roman"/>
          <w:color w:val="0D0D0D" w:themeColor="text1" w:themeTint="F2"/>
          <w:szCs w:val="20"/>
        </w:rPr>
        <w:t xml:space="preserve"> medicamentos.</w:t>
      </w:r>
    </w:p>
    <w:p w14:paraId="481ACAF1" w14:textId="77777777" w:rsidR="003A775F" w:rsidRDefault="003A775F" w:rsidP="003A775F">
      <w:pPr>
        <w:rPr>
          <w:rFonts w:eastAsia="Times New Roman" w:cs="Times New Roman"/>
          <w:color w:val="0D0D0D" w:themeColor="text1" w:themeTint="F2"/>
          <w:szCs w:val="20"/>
        </w:rPr>
      </w:pPr>
    </w:p>
    <w:p w14:paraId="46E85B30" w14:textId="77777777" w:rsidR="003A775F" w:rsidRPr="0042686B" w:rsidRDefault="003A775F" w:rsidP="003A775F">
      <w:pPr>
        <w:rPr>
          <w:rFonts w:eastAsia="Times New Roman" w:cs="Times New Roman"/>
          <w:b/>
          <w:color w:val="0D0D0D" w:themeColor="text1" w:themeTint="F2"/>
          <w:szCs w:val="20"/>
          <w:lang w:val="es-ES"/>
        </w:rPr>
      </w:pPr>
      <w:r w:rsidRPr="0042686B">
        <w:rPr>
          <w:rFonts w:eastAsia="Times New Roman" w:cs="Times New Roman"/>
          <w:b/>
          <w:color w:val="0D0D0D" w:themeColor="text1" w:themeTint="F2"/>
          <w:szCs w:val="20"/>
          <w:lang w:val="es-ES"/>
        </w:rPr>
        <w:t>Discusión</w:t>
      </w:r>
    </w:p>
    <w:p w14:paraId="5AFF1FE5" w14:textId="77777777" w:rsidR="003A775F" w:rsidRDefault="003A775F" w:rsidP="003A775F">
      <w:pPr>
        <w:rPr>
          <w:rFonts w:eastAsia="Times New Roman" w:cs="Times New Roman"/>
          <w:color w:val="0D0D0D" w:themeColor="text1" w:themeTint="F2"/>
          <w:szCs w:val="20"/>
          <w:lang w:val="es-ES"/>
        </w:rPr>
      </w:pPr>
      <w:r w:rsidRPr="0042686B">
        <w:rPr>
          <w:rFonts w:eastAsia="Times New Roman" w:cs="Times New Roman"/>
          <w:color w:val="0D0D0D" w:themeColor="text1" w:themeTint="F2"/>
          <w:szCs w:val="20"/>
          <w:lang w:val="es-ES"/>
        </w:rPr>
        <w:t>La mayoría de los oradores que asistieron a las reuniones del comité asesor de la FDA sobre nuevos fármacos o indicaciones se mostraron a favor de su aprobación, inclu</w:t>
      </w:r>
      <w:r>
        <w:rPr>
          <w:rFonts w:eastAsia="Times New Roman" w:cs="Times New Roman"/>
          <w:color w:val="0D0D0D" w:themeColor="text1" w:themeTint="F2"/>
          <w:szCs w:val="20"/>
          <w:lang w:val="es-ES"/>
        </w:rPr>
        <w:t>yendo</w:t>
      </w:r>
      <w:r w:rsidRPr="0042686B">
        <w:rPr>
          <w:rFonts w:eastAsia="Times New Roman" w:cs="Times New Roman"/>
          <w:color w:val="0D0D0D" w:themeColor="text1" w:themeTint="F2"/>
          <w:szCs w:val="20"/>
          <w:lang w:val="es-ES"/>
        </w:rPr>
        <w:t xml:space="preserve"> casi todos aquellos que se identificaron como pacientes o familiares. La </w:t>
      </w:r>
      <w:r w:rsidRPr="0042686B">
        <w:rPr>
          <w:rFonts w:eastAsia="Times New Roman" w:cs="Times New Roman"/>
          <w:color w:val="0D0D0D" w:themeColor="text1" w:themeTint="F2"/>
          <w:szCs w:val="20"/>
          <w:lang w:val="es-ES"/>
        </w:rPr>
        <w:t>uniformidad de estas recomendaciones plantea interrogantes sobre si los oradores representan fielmente a la población general de pacientes y a otras partes interesadas, así como sobre qué papel debería desempeñar un conjunto de recomendaciones tan homogéneo en las deliberaciones del comité asesor y en la toma de decisiones de la FDA. Entre las limitaciones del estudio cabe señalar su diseño transversal y la imposibilidad de determinar si las recomendaciones de los oradores influyeron en las votaciones del comité o en las decisiones finales de la FDA.</w:t>
      </w:r>
    </w:p>
    <w:p w14:paraId="08777DC5" w14:textId="77777777" w:rsidR="003A775F" w:rsidRPr="0042686B" w:rsidRDefault="003A775F" w:rsidP="003A775F">
      <w:pPr>
        <w:rPr>
          <w:rFonts w:eastAsia="Times New Roman" w:cs="Times New Roman"/>
          <w:color w:val="0D0D0D" w:themeColor="text1" w:themeTint="F2"/>
          <w:szCs w:val="20"/>
          <w:lang w:val="es-ES"/>
        </w:rPr>
      </w:pPr>
    </w:p>
    <w:p w14:paraId="6B209F6B" w14:textId="77777777" w:rsidR="003A775F" w:rsidRPr="0042686B" w:rsidRDefault="003A775F" w:rsidP="003A775F">
      <w:pPr>
        <w:rPr>
          <w:rFonts w:eastAsia="Times New Roman" w:cs="Times New Roman"/>
          <w:color w:val="0D0D0D" w:themeColor="text1" w:themeTint="F2"/>
          <w:szCs w:val="20"/>
          <w:lang w:val="es-ES"/>
        </w:rPr>
      </w:pPr>
      <w:r w:rsidRPr="0042686B">
        <w:rPr>
          <w:rFonts w:eastAsia="Times New Roman" w:cs="Times New Roman"/>
          <w:color w:val="0D0D0D" w:themeColor="text1" w:themeTint="F2"/>
          <w:szCs w:val="20"/>
          <w:lang w:val="es-ES"/>
        </w:rPr>
        <w:t xml:space="preserve">Casi la mitad de los oradores que intervinieron declararon conflictos de interés; la FDA fomenta estas declaraciones, pero no las exige, lo que puede dar lugar a una </w:t>
      </w:r>
      <w:proofErr w:type="spellStart"/>
      <w:r w:rsidRPr="0042686B">
        <w:rPr>
          <w:rFonts w:eastAsia="Times New Roman" w:cs="Times New Roman"/>
          <w:color w:val="0D0D0D" w:themeColor="text1" w:themeTint="F2"/>
          <w:szCs w:val="20"/>
          <w:lang w:val="es-ES"/>
        </w:rPr>
        <w:t>subnotificación</w:t>
      </w:r>
      <w:proofErr w:type="spellEnd"/>
      <w:r w:rsidRPr="0042686B">
        <w:rPr>
          <w:rFonts w:eastAsia="Times New Roman" w:cs="Times New Roman"/>
          <w:color w:val="0D0D0D" w:themeColor="text1" w:themeTint="F2"/>
          <w:szCs w:val="20"/>
          <w:lang w:val="es-ES"/>
        </w:rPr>
        <w:t xml:space="preserve">. No obstante, observamos que quienes declararon conflictos de interés tenían más probabilidades de apoyar la aprobación. La FDA debería exigir que los oradores declaren estos conflictos y podría verificar dicha información contrastándola con fuentes como </w:t>
      </w:r>
      <w:r w:rsidRPr="0042686B">
        <w:rPr>
          <w:rFonts w:eastAsia="Times New Roman" w:cs="Times New Roman"/>
          <w:i/>
          <w:color w:val="0D0D0D" w:themeColor="text1" w:themeTint="F2"/>
          <w:szCs w:val="20"/>
          <w:lang w:val="es-ES"/>
        </w:rPr>
        <w:t xml:space="preserve">Open </w:t>
      </w:r>
      <w:proofErr w:type="spellStart"/>
      <w:r w:rsidRPr="0042686B">
        <w:rPr>
          <w:rFonts w:eastAsia="Times New Roman" w:cs="Times New Roman"/>
          <w:i/>
          <w:color w:val="0D0D0D" w:themeColor="text1" w:themeTint="F2"/>
          <w:szCs w:val="20"/>
          <w:lang w:val="es-ES"/>
        </w:rPr>
        <w:t>Payments</w:t>
      </w:r>
      <w:proofErr w:type="spellEnd"/>
      <w:r w:rsidRPr="0042686B">
        <w:rPr>
          <w:rFonts w:eastAsia="Times New Roman" w:cs="Times New Roman"/>
          <w:color w:val="0D0D0D" w:themeColor="text1" w:themeTint="F2"/>
          <w:szCs w:val="20"/>
          <w:lang w:val="es-ES"/>
        </w:rPr>
        <w:t xml:space="preserve"> (para </w:t>
      </w:r>
      <w:r>
        <w:rPr>
          <w:rFonts w:eastAsia="Times New Roman" w:cs="Times New Roman"/>
          <w:color w:val="0D0D0D" w:themeColor="text1" w:themeTint="F2"/>
          <w:szCs w:val="20"/>
          <w:lang w:val="es-ES"/>
        </w:rPr>
        <w:t xml:space="preserve">los que son </w:t>
      </w:r>
      <w:r w:rsidRPr="0042686B">
        <w:rPr>
          <w:rFonts w:eastAsia="Times New Roman" w:cs="Times New Roman"/>
          <w:color w:val="0D0D0D" w:themeColor="text1" w:themeTint="F2"/>
          <w:szCs w:val="20"/>
          <w:lang w:val="es-ES"/>
        </w:rPr>
        <w:t>profesionales clínicos) o las declaraciones fiscales de las organizaciones. Dada la elevada prevalencia de conflictos de interés y la gran proporción de oradores partidarios de la aprobación de los fármacos, la FDA debería considerar estrategias para recabar opiniones de un espectro más amplio de partes interesadas y mitigar los conflictos de interés entre los participantes en estas importantes reuniones.</w:t>
      </w:r>
    </w:p>
    <w:p w14:paraId="2F870898" w14:textId="77777777" w:rsidR="00421B71" w:rsidRDefault="00421B71" w:rsidP="003A775F">
      <w:pPr>
        <w:jc w:val="center"/>
        <w:rPr>
          <w:rFonts w:eastAsia="Times New Roman" w:cs="Times New Roman"/>
          <w:color w:val="0D0D0D" w:themeColor="text1" w:themeTint="F2"/>
          <w:szCs w:val="20"/>
          <w:lang w:val="es-ES"/>
        </w:rPr>
        <w:sectPr w:rsidR="00421B71" w:rsidSect="00421B71">
          <w:type w:val="continuous"/>
          <w:pgSz w:w="12240" w:h="15840" w:code="1"/>
          <w:pgMar w:top="720" w:right="720" w:bottom="720" w:left="720" w:header="288" w:footer="288" w:gutter="0"/>
          <w:cols w:num="2" w:space="288"/>
          <w:docGrid w:linePitch="360"/>
        </w:sectPr>
      </w:pPr>
    </w:p>
    <w:p w14:paraId="5D90B631" w14:textId="6F5F2122" w:rsidR="003A775F" w:rsidRDefault="003A775F" w:rsidP="003A775F">
      <w:pPr>
        <w:jc w:val="center"/>
        <w:rPr>
          <w:rFonts w:eastAsia="Times New Roman" w:cs="Times New Roman"/>
          <w:color w:val="0D0D0D" w:themeColor="text1" w:themeTint="F2"/>
          <w:szCs w:val="20"/>
          <w:lang w:val="es-ES"/>
        </w:rPr>
      </w:pPr>
    </w:p>
    <w:p w14:paraId="13AA6C6A" w14:textId="77777777" w:rsidR="003A775F" w:rsidRPr="0042686B" w:rsidRDefault="003A775F" w:rsidP="003A775F">
      <w:pPr>
        <w:jc w:val="center"/>
        <w:rPr>
          <w:rFonts w:eastAsia="Times New Roman" w:cs="Times New Roman"/>
          <w:color w:val="0D0D0D" w:themeColor="text1" w:themeTint="F2"/>
          <w:szCs w:val="20"/>
          <w:lang w:val="es-ES"/>
        </w:rPr>
      </w:pPr>
    </w:p>
    <w:p w14:paraId="0D0F8F30" w14:textId="77777777" w:rsidR="003A775F" w:rsidRPr="00B24E0B" w:rsidRDefault="003A775F" w:rsidP="003A775F">
      <w:pPr>
        <w:jc w:val="center"/>
        <w:rPr>
          <w:rFonts w:eastAsia="Times New Roman" w:cs="Times New Roman"/>
          <w:b/>
          <w:bCs/>
          <w:color w:val="0D0D0D" w:themeColor="text1" w:themeTint="F2"/>
          <w:szCs w:val="20"/>
          <w:lang w:val="en-US"/>
        </w:rPr>
      </w:pPr>
      <w:r w:rsidRPr="00D94CCA">
        <w:rPr>
          <w:rFonts w:eastAsia="Times New Roman" w:cs="Times New Roman"/>
          <w:color w:val="0D0D0D" w:themeColor="text1" w:themeTint="F2"/>
          <w:szCs w:val="20"/>
        </w:rPr>
        <w:lastRenderedPageBreak/>
        <w:t>EE UU.</w:t>
      </w:r>
      <w:r>
        <w:rPr>
          <w:rFonts w:eastAsia="Times New Roman" w:cs="Times New Roman"/>
          <w:b/>
          <w:bCs/>
          <w:color w:val="0D0D0D" w:themeColor="text1" w:themeTint="F2"/>
          <w:szCs w:val="20"/>
        </w:rPr>
        <w:t xml:space="preserve"> </w:t>
      </w:r>
      <w:r w:rsidRPr="00EA71DA">
        <w:rPr>
          <w:rFonts w:eastAsia="Times New Roman" w:cs="Times New Roman"/>
          <w:b/>
          <w:bCs/>
          <w:color w:val="0D0D0D" w:themeColor="text1" w:themeTint="F2"/>
          <w:szCs w:val="20"/>
        </w:rPr>
        <w:t xml:space="preserve">Perspectiva de la FDA sobre las terapias con células T con receptor de antígeno quimérico para enfermedades autoinmunes y reumáticas </w:t>
      </w:r>
      <w:r w:rsidRPr="00EA71DA">
        <w:rPr>
          <w:rFonts w:eastAsia="Times New Roman" w:cs="Times New Roman"/>
          <w:i/>
          <w:iCs/>
          <w:color w:val="0D0D0D" w:themeColor="text1" w:themeTint="F2"/>
          <w:szCs w:val="20"/>
        </w:rPr>
        <w:t>(</w:t>
      </w:r>
      <w:r w:rsidRPr="00B24E0B">
        <w:rPr>
          <w:rFonts w:eastAsia="Times New Roman" w:cs="Times New Roman"/>
          <w:i/>
          <w:iCs/>
          <w:color w:val="0D0D0D" w:themeColor="text1" w:themeTint="F2"/>
          <w:szCs w:val="20"/>
        </w:rPr>
        <w:t xml:space="preserve">EE UU. </w:t>
      </w:r>
      <w:r w:rsidRPr="00830B49">
        <w:rPr>
          <w:rFonts w:cs="Times New Roman"/>
          <w:i/>
          <w:iCs/>
          <w:szCs w:val="20"/>
          <w:lang w:val="en-US"/>
        </w:rPr>
        <w:t>The U.S. Food and Drug Administration’s Perspective on Chimeric Antigen Receptor T-Cell Therapies for Autoimmune and Rheumatic Conditions</w:t>
      </w:r>
      <w:r>
        <w:rPr>
          <w:rFonts w:cs="Times New Roman"/>
          <w:i/>
          <w:iCs/>
          <w:szCs w:val="20"/>
          <w:lang w:val="en-US"/>
        </w:rPr>
        <w:t>)</w:t>
      </w:r>
    </w:p>
    <w:p w14:paraId="28F4EA0C" w14:textId="313D68AB" w:rsidR="003A775F" w:rsidRPr="00F8230F" w:rsidRDefault="003A775F" w:rsidP="003A775F">
      <w:pPr>
        <w:pStyle w:val="Prrafodelista"/>
        <w:ind w:left="0"/>
        <w:jc w:val="center"/>
        <w:rPr>
          <w:rFonts w:cs="Times New Roman"/>
          <w:szCs w:val="20"/>
        </w:rPr>
      </w:pPr>
      <w:r>
        <w:rPr>
          <w:rFonts w:cs="Times New Roman"/>
          <w:szCs w:val="20"/>
        </w:rPr>
        <w:t xml:space="preserve">A </w:t>
      </w:r>
      <w:r w:rsidRPr="00F8230F">
        <w:rPr>
          <w:rFonts w:cs="Times New Roman"/>
          <w:szCs w:val="20"/>
        </w:rPr>
        <w:t>Tariq, V Kumar</w:t>
      </w:r>
      <w:r>
        <w:rPr>
          <w:rFonts w:cs="Times New Roman"/>
          <w:szCs w:val="20"/>
        </w:rPr>
        <w:t xml:space="preserve"> y</w:t>
      </w:r>
      <w:r w:rsidRPr="00F8230F">
        <w:rPr>
          <w:rFonts w:cs="Times New Roman"/>
          <w:szCs w:val="20"/>
        </w:rPr>
        <w:t xml:space="preserve"> V </w:t>
      </w:r>
      <w:proofErr w:type="spellStart"/>
      <w:r w:rsidRPr="00F8230F">
        <w:rPr>
          <w:rFonts w:cs="Times New Roman"/>
          <w:szCs w:val="20"/>
        </w:rPr>
        <w:t>Prasad</w:t>
      </w:r>
      <w:proofErr w:type="spellEnd"/>
    </w:p>
    <w:p w14:paraId="56C39E62" w14:textId="77777777" w:rsidR="003A775F" w:rsidRDefault="003A775F" w:rsidP="003A775F">
      <w:pPr>
        <w:jc w:val="center"/>
        <w:rPr>
          <w:szCs w:val="20"/>
          <w:lang w:val="en-US"/>
        </w:rPr>
      </w:pPr>
      <w:r w:rsidRPr="00FA47C9">
        <w:rPr>
          <w:i/>
          <w:iCs/>
          <w:szCs w:val="20"/>
          <w:lang w:val="en-US"/>
        </w:rPr>
        <w:t xml:space="preserve">Ann Intern Med </w:t>
      </w:r>
      <w:r w:rsidRPr="003A3895">
        <w:rPr>
          <w:szCs w:val="20"/>
          <w:lang w:val="en-US"/>
        </w:rPr>
        <w:t>2026;179(3), 447-448.</w:t>
      </w:r>
      <w:r>
        <w:rPr>
          <w:szCs w:val="20"/>
          <w:lang w:val="en-US"/>
        </w:rPr>
        <w:t xml:space="preserve"> </w:t>
      </w:r>
      <w:r w:rsidRPr="003A3895">
        <w:rPr>
          <w:szCs w:val="20"/>
          <w:lang w:val="en-US"/>
        </w:rPr>
        <w:t>DOI:</w:t>
      </w:r>
      <w:hyperlink r:id="rId146" w:history="1">
        <w:r w:rsidRPr="003A3895">
          <w:rPr>
            <w:lang w:val="en-US"/>
          </w:rPr>
          <w:t>10.7326/ANNALS-25-04559</w:t>
        </w:r>
      </w:hyperlink>
    </w:p>
    <w:p w14:paraId="299FEF24" w14:textId="77777777" w:rsidR="003A775F" w:rsidRPr="00FA47C9" w:rsidRDefault="00B00DA4" w:rsidP="003A775F">
      <w:pPr>
        <w:jc w:val="center"/>
        <w:rPr>
          <w:szCs w:val="20"/>
          <w:lang w:val="en-US"/>
        </w:rPr>
      </w:pPr>
      <w:hyperlink r:id="rId147" w:history="1">
        <w:r w:rsidR="003A775F" w:rsidRPr="00502255">
          <w:rPr>
            <w:rStyle w:val="Hipervnculo"/>
            <w:szCs w:val="20"/>
            <w:lang w:val="en-US"/>
          </w:rPr>
          <w:t>https://www.acpjournals.org/doi/10.7326/ANNALS-25-04559</w:t>
        </w:r>
      </w:hyperlink>
    </w:p>
    <w:p w14:paraId="77A6143D" w14:textId="781D4D6A" w:rsidR="003A775F" w:rsidRPr="001900D6" w:rsidRDefault="00AB1BEF" w:rsidP="003A775F">
      <w:pPr>
        <w:jc w:val="center"/>
        <w:rPr>
          <w:i/>
          <w:iCs/>
          <w:szCs w:val="20"/>
        </w:rPr>
      </w:pPr>
      <w:r>
        <w:rPr>
          <w:szCs w:val="20"/>
        </w:rPr>
        <w:t>T</w:t>
      </w:r>
      <w:r w:rsidR="003A775F" w:rsidRPr="007B5A3A">
        <w:rPr>
          <w:szCs w:val="20"/>
        </w:rPr>
        <w:t>raducido por Salud y Fármacos, publicado en</w:t>
      </w:r>
      <w:r w:rsidR="003A775F" w:rsidRPr="001900D6">
        <w:rPr>
          <w:i/>
          <w:iCs/>
          <w:szCs w:val="20"/>
        </w:rPr>
        <w:t xml:space="preserve"> Boletín Fármacos: </w:t>
      </w:r>
      <w:r w:rsidR="00EA71DA">
        <w:rPr>
          <w:i/>
          <w:iCs/>
          <w:szCs w:val="20"/>
        </w:rPr>
        <w:t>Agencia</w:t>
      </w:r>
      <w:r w:rsidR="003A775F">
        <w:rPr>
          <w:i/>
          <w:iCs/>
          <w:szCs w:val="20"/>
        </w:rPr>
        <w:t>s</w:t>
      </w:r>
      <w:r w:rsidR="00EA71DA">
        <w:rPr>
          <w:i/>
          <w:iCs/>
          <w:szCs w:val="20"/>
        </w:rPr>
        <w:t xml:space="preserve"> Reguladoras</w:t>
      </w:r>
      <w:r w:rsidR="003A775F" w:rsidRPr="001900D6">
        <w:rPr>
          <w:i/>
          <w:iCs/>
          <w:szCs w:val="20"/>
        </w:rPr>
        <w:t xml:space="preserve"> 2026; 29(</w:t>
      </w:r>
      <w:r w:rsidR="003A775F">
        <w:rPr>
          <w:i/>
          <w:iCs/>
          <w:szCs w:val="20"/>
        </w:rPr>
        <w:t>3</w:t>
      </w:r>
      <w:r w:rsidR="003A775F" w:rsidRPr="001900D6">
        <w:rPr>
          <w:i/>
          <w:iCs/>
          <w:szCs w:val="20"/>
        </w:rPr>
        <w:t>)</w:t>
      </w:r>
    </w:p>
    <w:p w14:paraId="39635209" w14:textId="77777777" w:rsidR="003A775F" w:rsidRPr="00C326B6" w:rsidRDefault="003A775F" w:rsidP="003A775F">
      <w:pPr>
        <w:rPr>
          <w:rFonts w:eastAsia="Times New Roman" w:cs="Times New Roman"/>
          <w:color w:val="EE0000"/>
          <w:szCs w:val="20"/>
        </w:rPr>
      </w:pPr>
    </w:p>
    <w:p w14:paraId="2285616F" w14:textId="77777777" w:rsidR="00AB1BEF" w:rsidRDefault="00AB1BEF" w:rsidP="003A775F">
      <w:pPr>
        <w:rPr>
          <w:rFonts w:eastAsia="Times New Roman" w:cs="Times New Roman"/>
          <w:b/>
          <w:bCs/>
          <w:sz w:val="18"/>
          <w:szCs w:val="18"/>
        </w:rPr>
        <w:sectPr w:rsidR="00AB1BEF" w:rsidSect="00F25512">
          <w:type w:val="continuous"/>
          <w:pgSz w:w="12240" w:h="15840" w:code="1"/>
          <w:pgMar w:top="720" w:right="720" w:bottom="720" w:left="720" w:header="288" w:footer="288" w:gutter="0"/>
          <w:cols w:space="288"/>
          <w:docGrid w:linePitch="360"/>
        </w:sectPr>
      </w:pPr>
    </w:p>
    <w:p w14:paraId="324EF012" w14:textId="172FDEDC" w:rsidR="003A775F" w:rsidRPr="00DB57FC" w:rsidRDefault="003A775F" w:rsidP="003A775F">
      <w:pPr>
        <w:rPr>
          <w:rFonts w:cs="Times New Roman"/>
          <w:b/>
          <w:bCs/>
          <w:sz w:val="14"/>
          <w:szCs w:val="14"/>
        </w:rPr>
      </w:pPr>
      <w:r w:rsidRPr="00830B49">
        <w:rPr>
          <w:rFonts w:eastAsia="Times New Roman" w:cs="Times New Roman"/>
          <w:b/>
          <w:bCs/>
          <w:sz w:val="18"/>
          <w:szCs w:val="18"/>
        </w:rPr>
        <w:t xml:space="preserve">Tags: </w:t>
      </w:r>
      <w:r w:rsidRPr="00830B49">
        <w:rPr>
          <w:rFonts w:cs="Times New Roman"/>
          <w:b/>
          <w:bCs/>
          <w:color w:val="000000" w:themeColor="text1"/>
          <w:sz w:val="18"/>
          <w:szCs w:val="18"/>
        </w:rPr>
        <w:t>terapia con células CAR</w:t>
      </w:r>
      <w:r>
        <w:rPr>
          <w:rFonts w:cs="Times New Roman"/>
          <w:b/>
          <w:bCs/>
          <w:color w:val="000000" w:themeColor="text1"/>
          <w:sz w:val="18"/>
          <w:szCs w:val="18"/>
        </w:rPr>
        <w:t>-</w:t>
      </w:r>
      <w:r w:rsidRPr="00830B49">
        <w:rPr>
          <w:rFonts w:cs="Times New Roman"/>
          <w:b/>
          <w:bCs/>
          <w:color w:val="000000" w:themeColor="text1"/>
          <w:sz w:val="18"/>
          <w:szCs w:val="18"/>
        </w:rPr>
        <w:t xml:space="preserve">T, nuevas </w:t>
      </w:r>
      <w:r>
        <w:rPr>
          <w:rFonts w:cs="Times New Roman"/>
          <w:b/>
          <w:bCs/>
          <w:color w:val="000000" w:themeColor="text1"/>
          <w:sz w:val="18"/>
          <w:szCs w:val="18"/>
        </w:rPr>
        <w:t>indicaciones CAR-T</w:t>
      </w:r>
      <w:r w:rsidRPr="00830B49">
        <w:rPr>
          <w:rFonts w:cs="Times New Roman"/>
          <w:b/>
          <w:bCs/>
          <w:color w:val="000000" w:themeColor="text1"/>
          <w:sz w:val="18"/>
          <w:szCs w:val="18"/>
        </w:rPr>
        <w:t xml:space="preserve">, </w:t>
      </w:r>
      <w:r w:rsidRPr="00830B49">
        <w:rPr>
          <w:rFonts w:cs="Times New Roman"/>
          <w:b/>
          <w:bCs/>
          <w:color w:val="0D0D0D" w:themeColor="text1" w:themeTint="F2"/>
          <w:sz w:val="18"/>
          <w:szCs w:val="18"/>
        </w:rPr>
        <w:t>Lupus Eritematoso Sistémico, LES</w:t>
      </w:r>
      <w:r>
        <w:rPr>
          <w:rFonts w:cs="Times New Roman"/>
          <w:b/>
          <w:bCs/>
          <w:color w:val="0D0D0D" w:themeColor="text1" w:themeTint="F2"/>
          <w:sz w:val="18"/>
          <w:szCs w:val="18"/>
        </w:rPr>
        <w:t xml:space="preserve">, </w:t>
      </w:r>
      <w:r w:rsidRPr="0084379D">
        <w:rPr>
          <w:rFonts w:cs="Times New Roman"/>
          <w:b/>
          <w:bCs/>
          <w:color w:val="0D0D0D" w:themeColor="text1" w:themeTint="F2"/>
          <w:sz w:val="18"/>
          <w:szCs w:val="18"/>
        </w:rPr>
        <w:t>nefritis lúpica, esclerosis sistémica</w:t>
      </w:r>
      <w:r>
        <w:rPr>
          <w:rFonts w:cs="Times New Roman"/>
          <w:b/>
          <w:bCs/>
          <w:color w:val="0D0D0D" w:themeColor="text1" w:themeTint="F2"/>
          <w:sz w:val="18"/>
          <w:szCs w:val="18"/>
        </w:rPr>
        <w:t>,</w:t>
      </w:r>
      <w:r w:rsidRPr="0084379D">
        <w:rPr>
          <w:rFonts w:cs="Times New Roman"/>
          <w:b/>
          <w:bCs/>
          <w:color w:val="0D0D0D" w:themeColor="text1" w:themeTint="F2"/>
          <w:sz w:val="18"/>
          <w:szCs w:val="18"/>
        </w:rPr>
        <w:t xml:space="preserve"> miopatías inflamatorias idiopáticas</w:t>
      </w:r>
      <w:r>
        <w:rPr>
          <w:rFonts w:cs="Times New Roman"/>
          <w:b/>
          <w:bCs/>
          <w:color w:val="0D0D0D" w:themeColor="text1" w:themeTint="F2"/>
          <w:sz w:val="18"/>
          <w:szCs w:val="18"/>
        </w:rPr>
        <w:t xml:space="preserve">, </w:t>
      </w:r>
      <w:r w:rsidRPr="00DB57FC">
        <w:rPr>
          <w:rFonts w:cs="Times New Roman"/>
          <w:b/>
          <w:bCs/>
          <w:color w:val="0D0D0D" w:themeColor="text1" w:themeTint="F2"/>
          <w:sz w:val="18"/>
          <w:szCs w:val="18"/>
        </w:rPr>
        <w:t>toxicidad de aparición tardía</w:t>
      </w:r>
      <w:r>
        <w:rPr>
          <w:rFonts w:cs="Times New Roman"/>
          <w:b/>
          <w:bCs/>
          <w:color w:val="0D0D0D" w:themeColor="text1" w:themeTint="F2"/>
          <w:sz w:val="18"/>
          <w:szCs w:val="18"/>
        </w:rPr>
        <w:t xml:space="preserve">, </w:t>
      </w:r>
      <w:r w:rsidRPr="00DB57FC">
        <w:rPr>
          <w:rFonts w:cs="Times New Roman"/>
          <w:b/>
          <w:bCs/>
          <w:color w:val="0D0D0D" w:themeColor="text1" w:themeTint="F2"/>
          <w:sz w:val="18"/>
          <w:szCs w:val="18"/>
        </w:rPr>
        <w:t>enfermedad de Parkinson, enterocolitis, toxicidad motora</w:t>
      </w:r>
      <w:r>
        <w:rPr>
          <w:rFonts w:cs="Times New Roman"/>
          <w:b/>
          <w:bCs/>
          <w:color w:val="0D0D0D" w:themeColor="text1" w:themeTint="F2"/>
          <w:sz w:val="18"/>
          <w:szCs w:val="18"/>
        </w:rPr>
        <w:t>, toxicidad</w:t>
      </w:r>
      <w:r w:rsidRPr="00DB57FC">
        <w:rPr>
          <w:rFonts w:cs="Times New Roman"/>
          <w:b/>
          <w:bCs/>
          <w:color w:val="0D0D0D" w:themeColor="text1" w:themeTint="F2"/>
          <w:sz w:val="18"/>
          <w:szCs w:val="18"/>
        </w:rPr>
        <w:t xml:space="preserve"> neurocognitiva</w:t>
      </w:r>
      <w:r>
        <w:rPr>
          <w:rFonts w:cs="Times New Roman"/>
          <w:b/>
          <w:bCs/>
          <w:color w:val="0D0D0D" w:themeColor="text1" w:themeTint="F2"/>
          <w:sz w:val="18"/>
          <w:szCs w:val="18"/>
        </w:rPr>
        <w:t>,</w:t>
      </w:r>
      <w:r w:rsidRPr="00DB57FC">
        <w:rPr>
          <w:rFonts w:cs="Times New Roman"/>
          <w:b/>
          <w:bCs/>
          <w:color w:val="0D0D0D" w:themeColor="text1" w:themeTint="F2"/>
          <w:sz w:val="18"/>
          <w:szCs w:val="18"/>
        </w:rPr>
        <w:t xml:space="preserve"> cáncer secundario</w:t>
      </w:r>
      <w:r>
        <w:rPr>
          <w:rFonts w:cs="Times New Roman"/>
          <w:b/>
          <w:bCs/>
          <w:color w:val="0D0D0D" w:themeColor="text1" w:themeTint="F2"/>
          <w:sz w:val="18"/>
          <w:szCs w:val="18"/>
        </w:rPr>
        <w:t xml:space="preserve"> a fármacos, </w:t>
      </w:r>
      <w:r w:rsidRPr="00A30DDC">
        <w:rPr>
          <w:rFonts w:cs="Times New Roman"/>
          <w:b/>
          <w:bCs/>
          <w:color w:val="0D0D0D" w:themeColor="text1" w:themeTint="F2"/>
          <w:sz w:val="18"/>
          <w:szCs w:val="18"/>
        </w:rPr>
        <w:t xml:space="preserve">vasculitis asociada a anticuerpos </w:t>
      </w:r>
      <w:proofErr w:type="spellStart"/>
      <w:r w:rsidRPr="00A30DDC">
        <w:rPr>
          <w:rFonts w:cs="Times New Roman"/>
          <w:b/>
          <w:bCs/>
          <w:color w:val="0D0D0D" w:themeColor="text1" w:themeTint="F2"/>
          <w:sz w:val="18"/>
          <w:szCs w:val="18"/>
        </w:rPr>
        <w:t>anticitoplasma</w:t>
      </w:r>
      <w:proofErr w:type="spellEnd"/>
      <w:r w:rsidRPr="00A30DDC">
        <w:rPr>
          <w:rFonts w:cs="Times New Roman"/>
          <w:b/>
          <w:bCs/>
          <w:color w:val="0D0D0D" w:themeColor="text1" w:themeTint="F2"/>
          <w:sz w:val="18"/>
          <w:szCs w:val="18"/>
        </w:rPr>
        <w:t xml:space="preserve"> de neutrófilos</w:t>
      </w:r>
      <w:r>
        <w:rPr>
          <w:rFonts w:cs="Times New Roman"/>
          <w:b/>
          <w:bCs/>
          <w:color w:val="0D0D0D" w:themeColor="text1" w:themeTint="F2"/>
          <w:sz w:val="18"/>
          <w:szCs w:val="18"/>
        </w:rPr>
        <w:t>, CAR T</w:t>
      </w:r>
    </w:p>
    <w:p w14:paraId="195CC359" w14:textId="77777777" w:rsidR="003A775F" w:rsidRPr="00C326B6" w:rsidRDefault="003A775F" w:rsidP="003A775F">
      <w:pPr>
        <w:rPr>
          <w:rFonts w:cs="Times New Roman"/>
          <w:szCs w:val="20"/>
        </w:rPr>
      </w:pPr>
    </w:p>
    <w:p w14:paraId="16BEFAE3" w14:textId="77777777" w:rsidR="003A775F" w:rsidRDefault="003A775F" w:rsidP="003A775F">
      <w:pPr>
        <w:rPr>
          <w:rFonts w:cs="Times New Roman"/>
          <w:color w:val="0D0D0D" w:themeColor="text1" w:themeTint="F2"/>
          <w:szCs w:val="20"/>
        </w:rPr>
      </w:pPr>
      <w:r w:rsidRPr="00C326B6">
        <w:rPr>
          <w:rFonts w:cs="Times New Roman"/>
          <w:color w:val="0D0D0D" w:themeColor="text1" w:themeTint="F2"/>
          <w:szCs w:val="20"/>
        </w:rPr>
        <w:t>La terapia con células T con receptor de antígeno quimérico (células CAR</w:t>
      </w:r>
      <w:r>
        <w:rPr>
          <w:rFonts w:cs="Times New Roman"/>
          <w:color w:val="0D0D0D" w:themeColor="text1" w:themeTint="F2"/>
          <w:szCs w:val="20"/>
        </w:rPr>
        <w:t>-</w:t>
      </w:r>
      <w:r w:rsidRPr="00C326B6">
        <w:rPr>
          <w:rFonts w:cs="Times New Roman"/>
          <w:color w:val="0D0D0D" w:themeColor="text1" w:themeTint="F2"/>
          <w:szCs w:val="20"/>
        </w:rPr>
        <w:t xml:space="preserve">T) </w:t>
      </w:r>
      <w:r>
        <w:rPr>
          <w:rFonts w:cs="Times New Roman"/>
          <w:color w:val="0D0D0D" w:themeColor="text1" w:themeTint="F2"/>
          <w:szCs w:val="20"/>
        </w:rPr>
        <w:t>ofrece</w:t>
      </w:r>
      <w:r w:rsidRPr="00C326B6">
        <w:rPr>
          <w:rFonts w:cs="Times New Roman"/>
          <w:color w:val="0D0D0D" w:themeColor="text1" w:themeTint="F2"/>
          <w:szCs w:val="20"/>
        </w:rPr>
        <w:t xml:space="preserve"> una opción </w:t>
      </w:r>
      <w:r>
        <w:rPr>
          <w:rFonts w:cs="Times New Roman"/>
          <w:color w:val="0D0D0D" w:themeColor="text1" w:themeTint="F2"/>
          <w:szCs w:val="20"/>
        </w:rPr>
        <w:t>de tratamiento integr</w:t>
      </w:r>
      <w:r w:rsidRPr="00C326B6">
        <w:rPr>
          <w:rFonts w:cs="Times New Roman"/>
          <w:color w:val="0D0D0D" w:themeColor="text1" w:themeTint="F2"/>
          <w:szCs w:val="20"/>
        </w:rPr>
        <w:t xml:space="preserve">al </w:t>
      </w:r>
      <w:r>
        <w:rPr>
          <w:rFonts w:cs="Times New Roman"/>
          <w:color w:val="0D0D0D" w:themeColor="text1" w:themeTint="F2"/>
          <w:szCs w:val="20"/>
        </w:rPr>
        <w:t>para</w:t>
      </w:r>
      <w:r w:rsidRPr="00C326B6">
        <w:rPr>
          <w:rFonts w:cs="Times New Roman"/>
          <w:color w:val="0D0D0D" w:themeColor="text1" w:themeTint="F2"/>
          <w:szCs w:val="20"/>
        </w:rPr>
        <w:t xml:space="preserve"> el cáncer hematológico. La aprobación de esta terapia ha generado </w:t>
      </w:r>
      <w:r>
        <w:rPr>
          <w:rFonts w:cs="Times New Roman"/>
          <w:color w:val="0D0D0D" w:themeColor="text1" w:themeTint="F2"/>
          <w:szCs w:val="20"/>
        </w:rPr>
        <w:t>mucho</w:t>
      </w:r>
      <w:r w:rsidRPr="00C326B6">
        <w:rPr>
          <w:rFonts w:cs="Times New Roman"/>
          <w:color w:val="0D0D0D" w:themeColor="text1" w:themeTint="F2"/>
          <w:szCs w:val="20"/>
        </w:rPr>
        <w:t xml:space="preserve"> entusiasmo por</w:t>
      </w:r>
      <w:r>
        <w:rPr>
          <w:rFonts w:cs="Times New Roman"/>
          <w:color w:val="0D0D0D" w:themeColor="text1" w:themeTint="F2"/>
          <w:szCs w:val="20"/>
        </w:rPr>
        <w:t>que podría</w:t>
      </w:r>
      <w:r w:rsidRPr="00C326B6">
        <w:rPr>
          <w:rFonts w:cs="Times New Roman"/>
          <w:color w:val="0D0D0D" w:themeColor="text1" w:themeTint="F2"/>
          <w:szCs w:val="20"/>
        </w:rPr>
        <w:t xml:space="preserve"> lograr </w:t>
      </w:r>
      <w:r>
        <w:rPr>
          <w:rFonts w:cs="Times New Roman"/>
          <w:color w:val="0D0D0D" w:themeColor="text1" w:themeTint="F2"/>
          <w:szCs w:val="20"/>
        </w:rPr>
        <w:t>una</w:t>
      </w:r>
      <w:r w:rsidRPr="00C326B6">
        <w:rPr>
          <w:rFonts w:cs="Times New Roman"/>
          <w:color w:val="0D0D0D" w:themeColor="text1" w:themeTint="F2"/>
          <w:szCs w:val="20"/>
        </w:rPr>
        <w:t xml:space="preserve"> remisión</w:t>
      </w:r>
      <w:r>
        <w:rPr>
          <w:rFonts w:cs="Times New Roman"/>
          <w:color w:val="0D0D0D" w:themeColor="text1" w:themeTint="F2"/>
          <w:szCs w:val="20"/>
        </w:rPr>
        <w:t xml:space="preserve"> duradera y a</w:t>
      </w:r>
      <w:r w:rsidRPr="00C326B6">
        <w:rPr>
          <w:rFonts w:cs="Times New Roman"/>
          <w:color w:val="0D0D0D" w:themeColor="text1" w:themeTint="F2"/>
          <w:szCs w:val="20"/>
        </w:rPr>
        <w:t xml:space="preserve"> largo plazo en </w:t>
      </w:r>
      <w:r>
        <w:rPr>
          <w:rFonts w:cs="Times New Roman"/>
          <w:color w:val="0D0D0D" w:themeColor="text1" w:themeTint="F2"/>
          <w:szCs w:val="20"/>
        </w:rPr>
        <w:t xml:space="preserve">los </w:t>
      </w:r>
      <w:r w:rsidRPr="00C326B6">
        <w:rPr>
          <w:rFonts w:cs="Times New Roman"/>
          <w:color w:val="0D0D0D" w:themeColor="text1" w:themeTint="F2"/>
          <w:szCs w:val="20"/>
        </w:rPr>
        <w:t xml:space="preserve">pacientes con enfermedades reumatológicas o autoinmunes que </w:t>
      </w:r>
      <w:r>
        <w:rPr>
          <w:rFonts w:cs="Times New Roman"/>
          <w:color w:val="0D0D0D" w:themeColor="text1" w:themeTint="F2"/>
          <w:szCs w:val="20"/>
        </w:rPr>
        <w:t>son</w:t>
      </w:r>
      <w:r w:rsidRPr="00C326B6">
        <w:rPr>
          <w:rFonts w:cs="Times New Roman"/>
          <w:color w:val="0D0D0D" w:themeColor="text1" w:themeTint="F2"/>
          <w:szCs w:val="20"/>
        </w:rPr>
        <w:t xml:space="preserve"> refractari</w:t>
      </w:r>
      <w:r>
        <w:rPr>
          <w:rFonts w:cs="Times New Roman"/>
          <w:color w:val="0D0D0D" w:themeColor="text1" w:themeTint="F2"/>
          <w:szCs w:val="20"/>
        </w:rPr>
        <w:t>o</w:t>
      </w:r>
      <w:r w:rsidRPr="00C326B6">
        <w:rPr>
          <w:rFonts w:cs="Times New Roman"/>
          <w:color w:val="0D0D0D" w:themeColor="text1" w:themeTint="F2"/>
          <w:szCs w:val="20"/>
        </w:rPr>
        <w:t xml:space="preserve">s a los tratamientos disponibles. </w:t>
      </w:r>
    </w:p>
    <w:p w14:paraId="37AB89DE" w14:textId="77777777" w:rsidR="003A775F" w:rsidRPr="00C326B6" w:rsidRDefault="003A775F" w:rsidP="003A775F">
      <w:pPr>
        <w:rPr>
          <w:rFonts w:cs="Times New Roman"/>
          <w:color w:val="0D0D0D" w:themeColor="text1" w:themeTint="F2"/>
          <w:szCs w:val="20"/>
        </w:rPr>
      </w:pPr>
    </w:p>
    <w:p w14:paraId="4AD4D45A" w14:textId="77777777" w:rsidR="003A775F" w:rsidRPr="00C326B6" w:rsidRDefault="003A775F" w:rsidP="003A775F">
      <w:pPr>
        <w:rPr>
          <w:rFonts w:cs="Times New Roman"/>
          <w:color w:val="0D0D0D" w:themeColor="text1" w:themeTint="F2"/>
          <w:szCs w:val="20"/>
        </w:rPr>
      </w:pPr>
      <w:r w:rsidRPr="00C326B6">
        <w:rPr>
          <w:rFonts w:cs="Times New Roman"/>
          <w:color w:val="0D0D0D" w:themeColor="text1" w:themeTint="F2"/>
          <w:szCs w:val="20"/>
        </w:rPr>
        <w:t>Las primeras series de casos en enfermedades autoinmunes graves y refractarias, como el Lupus Eritematoso Sistémico (LES), la nefritis lúpica, la esclerosis sistémica y las miopatías inflamatorias idiopáticas, demuestran los posibles efectos transformadores de este tratamiento [1-4].</w:t>
      </w:r>
    </w:p>
    <w:p w14:paraId="61E35E34" w14:textId="77777777" w:rsidR="003A775F" w:rsidRPr="00C326B6" w:rsidRDefault="003A775F" w:rsidP="003A775F">
      <w:pPr>
        <w:rPr>
          <w:rFonts w:cs="Times New Roman"/>
          <w:color w:val="EE0000"/>
          <w:szCs w:val="20"/>
        </w:rPr>
      </w:pPr>
    </w:p>
    <w:p w14:paraId="6AA1E51A" w14:textId="77777777" w:rsidR="003A775F" w:rsidRDefault="003A775F" w:rsidP="003A775F">
      <w:pPr>
        <w:rPr>
          <w:rFonts w:cs="Times New Roman"/>
          <w:color w:val="0D0D0D" w:themeColor="text1" w:themeTint="F2"/>
          <w:szCs w:val="20"/>
        </w:rPr>
      </w:pPr>
      <w:r w:rsidRPr="00C326B6">
        <w:rPr>
          <w:rFonts w:cs="Times New Roman"/>
          <w:color w:val="0D0D0D" w:themeColor="text1" w:themeTint="F2"/>
          <w:szCs w:val="20"/>
        </w:rPr>
        <w:t>A principios de 2024, Müller y colaboradores e</w:t>
      </w:r>
      <w:r>
        <w:rPr>
          <w:rFonts w:cs="Times New Roman"/>
          <w:color w:val="0D0D0D" w:themeColor="text1" w:themeTint="F2"/>
          <w:szCs w:val="20"/>
        </w:rPr>
        <w:t>v</w:t>
      </w:r>
      <w:r w:rsidRPr="00C326B6">
        <w:rPr>
          <w:rFonts w:cs="Times New Roman"/>
          <w:color w:val="0D0D0D" w:themeColor="text1" w:themeTint="F2"/>
          <w:szCs w:val="20"/>
        </w:rPr>
        <w:t>a</w:t>
      </w:r>
      <w:r>
        <w:rPr>
          <w:rFonts w:cs="Times New Roman"/>
          <w:color w:val="0D0D0D" w:themeColor="text1" w:themeTint="F2"/>
          <w:szCs w:val="20"/>
        </w:rPr>
        <w:t>lu</w:t>
      </w:r>
      <w:r w:rsidRPr="00C326B6">
        <w:rPr>
          <w:rFonts w:cs="Times New Roman"/>
          <w:color w:val="0D0D0D" w:themeColor="text1" w:themeTint="F2"/>
          <w:szCs w:val="20"/>
        </w:rPr>
        <w:t>aron a 15 pacientes con LES y demostraron que una terapia con células CAR</w:t>
      </w:r>
      <w:r>
        <w:rPr>
          <w:rFonts w:cs="Times New Roman"/>
          <w:color w:val="0D0D0D" w:themeColor="text1" w:themeTint="F2"/>
          <w:szCs w:val="20"/>
        </w:rPr>
        <w:t>-</w:t>
      </w:r>
      <w:r w:rsidRPr="00C326B6">
        <w:rPr>
          <w:rFonts w:cs="Times New Roman"/>
          <w:color w:val="0D0D0D" w:themeColor="text1" w:themeTint="F2"/>
          <w:szCs w:val="20"/>
        </w:rPr>
        <w:t xml:space="preserve">T dirigida a CD19 producía una depleción de células B a largo plazo y una remisión prolongada [3]. En 2025, </w:t>
      </w:r>
      <w:proofErr w:type="spellStart"/>
      <w:r w:rsidRPr="00C326B6">
        <w:rPr>
          <w:rFonts w:cs="Times New Roman"/>
          <w:color w:val="0D0D0D" w:themeColor="text1" w:themeTint="F2"/>
          <w:szCs w:val="20"/>
        </w:rPr>
        <w:t>Nordmann</w:t>
      </w:r>
      <w:proofErr w:type="spellEnd"/>
      <w:r w:rsidRPr="00C326B6">
        <w:rPr>
          <w:rFonts w:cs="Times New Roman"/>
          <w:color w:val="0D0D0D" w:themeColor="text1" w:themeTint="F2"/>
          <w:szCs w:val="20"/>
        </w:rPr>
        <w:t>-Gomes y colaboradores informaron sobre 16 ensayos clínicos en curso con células CAR</w:t>
      </w:r>
      <w:r>
        <w:rPr>
          <w:rFonts w:cs="Times New Roman"/>
          <w:color w:val="0D0D0D" w:themeColor="text1" w:themeTint="F2"/>
          <w:szCs w:val="20"/>
        </w:rPr>
        <w:t>-</w:t>
      </w:r>
      <w:r w:rsidRPr="00C326B6">
        <w:rPr>
          <w:rFonts w:cs="Times New Roman"/>
          <w:color w:val="0D0D0D" w:themeColor="text1" w:themeTint="F2"/>
          <w:szCs w:val="20"/>
        </w:rPr>
        <w:t xml:space="preserve">T que incluían a 145 pacientes con LES [4]. </w:t>
      </w:r>
    </w:p>
    <w:p w14:paraId="5FDF0C15" w14:textId="77777777" w:rsidR="003A775F" w:rsidRDefault="003A775F" w:rsidP="003A775F">
      <w:pPr>
        <w:rPr>
          <w:rFonts w:cs="Times New Roman"/>
          <w:color w:val="0D0D0D" w:themeColor="text1" w:themeTint="F2"/>
          <w:szCs w:val="20"/>
        </w:rPr>
      </w:pPr>
    </w:p>
    <w:p w14:paraId="0ADF6237" w14:textId="77777777" w:rsidR="003A775F" w:rsidRPr="00C326B6" w:rsidRDefault="003A775F" w:rsidP="003A775F">
      <w:pPr>
        <w:rPr>
          <w:rFonts w:cs="Times New Roman"/>
          <w:color w:val="0D0D0D" w:themeColor="text1" w:themeTint="F2"/>
          <w:szCs w:val="20"/>
        </w:rPr>
      </w:pPr>
      <w:r w:rsidRPr="00C326B6">
        <w:rPr>
          <w:rFonts w:cs="Times New Roman"/>
          <w:color w:val="0D0D0D" w:themeColor="text1" w:themeTint="F2"/>
          <w:szCs w:val="20"/>
        </w:rPr>
        <w:t>Hasta la fecha, el seguimiento ampliado de pacientes con cáncer hematológico ha demostrado que las terapias con células CAR</w:t>
      </w:r>
      <w:r>
        <w:rPr>
          <w:rFonts w:cs="Times New Roman"/>
          <w:color w:val="0D0D0D" w:themeColor="text1" w:themeTint="F2"/>
          <w:szCs w:val="20"/>
        </w:rPr>
        <w:t>-</w:t>
      </w:r>
      <w:r w:rsidRPr="00C326B6">
        <w:rPr>
          <w:rFonts w:cs="Times New Roman"/>
          <w:color w:val="0D0D0D" w:themeColor="text1" w:themeTint="F2"/>
          <w:szCs w:val="20"/>
        </w:rPr>
        <w:t xml:space="preserve">T </w:t>
      </w:r>
      <w:r>
        <w:rPr>
          <w:rFonts w:cs="Times New Roman"/>
          <w:color w:val="0D0D0D" w:themeColor="text1" w:themeTint="F2"/>
          <w:szCs w:val="20"/>
        </w:rPr>
        <w:t xml:space="preserve">se </w:t>
      </w:r>
      <w:r w:rsidRPr="00C326B6">
        <w:rPr>
          <w:rFonts w:cs="Times New Roman"/>
          <w:color w:val="0D0D0D" w:themeColor="text1" w:themeTint="F2"/>
          <w:szCs w:val="20"/>
        </w:rPr>
        <w:t>pueden asociar con toxicidades de aparición tardía</w:t>
      </w:r>
      <w:r>
        <w:rPr>
          <w:rFonts w:cs="Times New Roman"/>
          <w:color w:val="0D0D0D" w:themeColor="text1" w:themeTint="F2"/>
          <w:szCs w:val="20"/>
        </w:rPr>
        <w:t>,</w:t>
      </w:r>
      <w:r w:rsidRPr="00C326B6">
        <w:rPr>
          <w:rFonts w:cs="Times New Roman"/>
          <w:color w:val="0D0D0D" w:themeColor="text1" w:themeTint="F2"/>
          <w:szCs w:val="20"/>
        </w:rPr>
        <w:t xml:space="preserve"> varios años después de la exposición al producto, como la enfermedad de Parkinson, enterocolitis, toxicidad motora y neurocognitiva</w:t>
      </w:r>
      <w:r>
        <w:rPr>
          <w:rFonts w:cs="Times New Roman"/>
          <w:color w:val="0D0D0D" w:themeColor="text1" w:themeTint="F2"/>
          <w:szCs w:val="20"/>
        </w:rPr>
        <w:t>,</w:t>
      </w:r>
      <w:r w:rsidRPr="00C326B6">
        <w:rPr>
          <w:rFonts w:cs="Times New Roman"/>
          <w:color w:val="0D0D0D" w:themeColor="text1" w:themeTint="F2"/>
          <w:szCs w:val="20"/>
        </w:rPr>
        <w:t xml:space="preserve"> y cáncer secundario. </w:t>
      </w:r>
    </w:p>
    <w:p w14:paraId="36C790A1" w14:textId="77777777" w:rsidR="003A775F" w:rsidRPr="00C326B6" w:rsidRDefault="003A775F" w:rsidP="003A775F">
      <w:pPr>
        <w:rPr>
          <w:rFonts w:cs="Times New Roman"/>
          <w:color w:val="EE0000"/>
          <w:szCs w:val="20"/>
        </w:rPr>
      </w:pPr>
    </w:p>
    <w:p w14:paraId="21043041" w14:textId="77777777" w:rsidR="003A775F" w:rsidRPr="00C326B6" w:rsidRDefault="003A775F" w:rsidP="003A775F">
      <w:pPr>
        <w:rPr>
          <w:rFonts w:cs="Times New Roman"/>
          <w:color w:val="0D0D0D" w:themeColor="text1" w:themeTint="F2"/>
          <w:szCs w:val="20"/>
        </w:rPr>
      </w:pPr>
      <w:r w:rsidRPr="00C326B6">
        <w:rPr>
          <w:rFonts w:cs="Times New Roman"/>
          <w:color w:val="0D0D0D" w:themeColor="text1" w:themeTint="F2"/>
          <w:szCs w:val="20"/>
        </w:rPr>
        <w:t>Con el rápido crecimiento del campo de los ensayos clínicos con células CAR</w:t>
      </w:r>
      <w:r>
        <w:rPr>
          <w:rFonts w:cs="Times New Roman"/>
          <w:color w:val="0D0D0D" w:themeColor="text1" w:themeTint="F2"/>
          <w:szCs w:val="20"/>
        </w:rPr>
        <w:t>-</w:t>
      </w:r>
      <w:r w:rsidRPr="00C326B6">
        <w:rPr>
          <w:rFonts w:cs="Times New Roman"/>
          <w:color w:val="0D0D0D" w:themeColor="text1" w:themeTint="F2"/>
          <w:szCs w:val="20"/>
        </w:rPr>
        <w:t xml:space="preserve">T, se han </w:t>
      </w:r>
      <w:r>
        <w:rPr>
          <w:rFonts w:cs="Times New Roman"/>
          <w:color w:val="0D0D0D" w:themeColor="text1" w:themeTint="F2"/>
          <w:szCs w:val="20"/>
        </w:rPr>
        <w:t>establecido</w:t>
      </w:r>
      <w:r w:rsidRPr="00C326B6">
        <w:rPr>
          <w:rFonts w:cs="Times New Roman"/>
          <w:color w:val="0D0D0D" w:themeColor="text1" w:themeTint="F2"/>
          <w:szCs w:val="20"/>
        </w:rPr>
        <w:t xml:space="preserve"> consensos y recomendaciones de expertos sobre las mejores prácticas para promover la seguridad del paciente y la armonización de los procedimientos [5]. La FDA comparte el entusiasmo </w:t>
      </w:r>
      <w:r>
        <w:rPr>
          <w:rFonts w:cs="Times New Roman"/>
          <w:color w:val="0D0D0D" w:themeColor="text1" w:themeTint="F2"/>
          <w:szCs w:val="20"/>
        </w:rPr>
        <w:t>con</w:t>
      </w:r>
      <w:r w:rsidRPr="00C326B6">
        <w:rPr>
          <w:rFonts w:cs="Times New Roman"/>
          <w:color w:val="0D0D0D" w:themeColor="text1" w:themeTint="F2"/>
          <w:szCs w:val="20"/>
        </w:rPr>
        <w:t xml:space="preserve"> esta clase de productos; sin embargo, la agencia está aprendiendo de las experiencias de las fases iniciales y supervisará cuidadosamente el avance de estos estudios clínicos, tanto de fase temprana como tardía, </w:t>
      </w:r>
      <w:r>
        <w:rPr>
          <w:rFonts w:cs="Times New Roman"/>
          <w:color w:val="0D0D0D" w:themeColor="text1" w:themeTint="F2"/>
          <w:szCs w:val="20"/>
        </w:rPr>
        <w:t xml:space="preserve">que se </w:t>
      </w:r>
      <w:r w:rsidRPr="00C326B6">
        <w:rPr>
          <w:rFonts w:cs="Times New Roman"/>
          <w:color w:val="0D0D0D" w:themeColor="text1" w:themeTint="F2"/>
          <w:szCs w:val="20"/>
        </w:rPr>
        <w:t>centr</w:t>
      </w:r>
      <w:r>
        <w:rPr>
          <w:rFonts w:cs="Times New Roman"/>
          <w:color w:val="0D0D0D" w:themeColor="text1" w:themeTint="F2"/>
          <w:szCs w:val="20"/>
        </w:rPr>
        <w:t>an</w:t>
      </w:r>
      <w:r w:rsidRPr="00C326B6">
        <w:rPr>
          <w:rFonts w:cs="Times New Roman"/>
          <w:color w:val="0D0D0D" w:themeColor="text1" w:themeTint="F2"/>
          <w:szCs w:val="20"/>
        </w:rPr>
        <w:t xml:space="preserve"> en el desarrollo, la durabilidad y la seguridad a largo plazo de las terapias con células CAR</w:t>
      </w:r>
      <w:r>
        <w:rPr>
          <w:rFonts w:cs="Times New Roman"/>
          <w:color w:val="0D0D0D" w:themeColor="text1" w:themeTint="F2"/>
          <w:szCs w:val="20"/>
        </w:rPr>
        <w:t>-</w:t>
      </w:r>
      <w:r w:rsidRPr="00C326B6">
        <w:rPr>
          <w:rFonts w:cs="Times New Roman"/>
          <w:color w:val="0D0D0D" w:themeColor="text1" w:themeTint="F2"/>
          <w:szCs w:val="20"/>
        </w:rPr>
        <w:t xml:space="preserve">T. </w:t>
      </w:r>
    </w:p>
    <w:p w14:paraId="38BBF732" w14:textId="77777777" w:rsidR="003A775F" w:rsidRPr="00C326B6" w:rsidRDefault="003A775F" w:rsidP="003A775F">
      <w:pPr>
        <w:rPr>
          <w:rFonts w:cs="Times New Roman"/>
          <w:color w:val="EE0000"/>
          <w:szCs w:val="20"/>
        </w:rPr>
      </w:pPr>
    </w:p>
    <w:p w14:paraId="1E06FAE1" w14:textId="77777777" w:rsidR="003A775F" w:rsidRPr="00C326B6" w:rsidRDefault="003A775F" w:rsidP="003A775F">
      <w:pPr>
        <w:rPr>
          <w:rFonts w:cs="Times New Roman"/>
          <w:color w:val="0D0D0D" w:themeColor="text1" w:themeTint="F2"/>
          <w:szCs w:val="20"/>
        </w:rPr>
      </w:pPr>
      <w:r w:rsidRPr="00C326B6">
        <w:rPr>
          <w:rFonts w:cs="Times New Roman"/>
          <w:color w:val="0D0D0D" w:themeColor="text1" w:themeTint="F2"/>
          <w:szCs w:val="20"/>
        </w:rPr>
        <w:t>D</w:t>
      </w:r>
      <w:r>
        <w:rPr>
          <w:rFonts w:cs="Times New Roman"/>
          <w:color w:val="0D0D0D" w:themeColor="text1" w:themeTint="F2"/>
          <w:szCs w:val="20"/>
        </w:rPr>
        <w:t>ado</w:t>
      </w:r>
      <w:r w:rsidRPr="00C326B6">
        <w:rPr>
          <w:rFonts w:cs="Times New Roman"/>
          <w:color w:val="0D0D0D" w:themeColor="text1" w:themeTint="F2"/>
          <w:szCs w:val="20"/>
        </w:rPr>
        <w:t xml:space="preserve"> que </w:t>
      </w:r>
      <w:r>
        <w:rPr>
          <w:rFonts w:cs="Times New Roman"/>
          <w:color w:val="0D0D0D" w:themeColor="text1" w:themeTint="F2"/>
          <w:szCs w:val="20"/>
        </w:rPr>
        <w:t xml:space="preserve">la </w:t>
      </w:r>
      <w:r w:rsidRPr="00C326B6">
        <w:rPr>
          <w:rFonts w:cs="Times New Roman"/>
          <w:color w:val="0D0D0D" w:themeColor="text1" w:themeTint="F2"/>
          <w:szCs w:val="20"/>
        </w:rPr>
        <w:t xml:space="preserve">eficacia y </w:t>
      </w:r>
      <w:r>
        <w:rPr>
          <w:rFonts w:cs="Times New Roman"/>
          <w:color w:val="0D0D0D" w:themeColor="text1" w:themeTint="F2"/>
          <w:szCs w:val="20"/>
        </w:rPr>
        <w:t>l</w:t>
      </w:r>
      <w:r w:rsidRPr="00C326B6">
        <w:rPr>
          <w:rFonts w:cs="Times New Roman"/>
          <w:color w:val="0D0D0D" w:themeColor="text1" w:themeTint="F2"/>
          <w:szCs w:val="20"/>
        </w:rPr>
        <w:t>a toxicidad a largo plazo</w:t>
      </w:r>
      <w:r>
        <w:rPr>
          <w:rFonts w:cs="Times New Roman"/>
          <w:color w:val="0D0D0D" w:themeColor="text1" w:themeTint="F2"/>
          <w:szCs w:val="20"/>
        </w:rPr>
        <w:t xml:space="preserve"> de </w:t>
      </w:r>
      <w:r w:rsidRPr="00C326B6">
        <w:rPr>
          <w:rFonts w:cs="Times New Roman"/>
          <w:color w:val="0D0D0D" w:themeColor="text1" w:themeTint="F2"/>
          <w:szCs w:val="20"/>
        </w:rPr>
        <w:t xml:space="preserve">esta clase de terapias farmacológicas puede </w:t>
      </w:r>
      <w:r>
        <w:rPr>
          <w:rFonts w:cs="Times New Roman"/>
          <w:color w:val="0D0D0D" w:themeColor="text1" w:themeTint="F2"/>
          <w:szCs w:val="20"/>
        </w:rPr>
        <w:t xml:space="preserve">ser </w:t>
      </w:r>
      <w:r w:rsidRPr="00C326B6">
        <w:rPr>
          <w:rFonts w:cs="Times New Roman"/>
          <w:color w:val="0D0D0D" w:themeColor="text1" w:themeTint="F2"/>
          <w:szCs w:val="20"/>
        </w:rPr>
        <w:t>impredecible, la FDA ha alentado a la industria a realizar programas de desarrollo para pacientes con enfermedades refractarias. Se define como enfermedad refractaria aquella que no ha respondido (</w:t>
      </w:r>
      <w:r>
        <w:rPr>
          <w:rFonts w:cs="Times New Roman"/>
          <w:color w:val="0D0D0D" w:themeColor="text1" w:themeTint="F2"/>
          <w:szCs w:val="20"/>
        </w:rPr>
        <w:t>ya sea por</w:t>
      </w:r>
      <w:r w:rsidRPr="00C326B6">
        <w:rPr>
          <w:rFonts w:cs="Times New Roman"/>
          <w:color w:val="0D0D0D" w:themeColor="text1" w:themeTint="F2"/>
          <w:szCs w:val="20"/>
        </w:rPr>
        <w:t xml:space="preserve"> ineficacia o intolerancia) a al menos dos inmunosupresores previos (sin incluir glucocorticoides ni </w:t>
      </w:r>
      <w:r w:rsidRPr="00C326B6">
        <w:rPr>
          <w:rFonts w:cs="Times New Roman"/>
          <w:i/>
          <w:iCs/>
          <w:color w:val="0D0D0D" w:themeColor="text1" w:themeTint="F2"/>
          <w:szCs w:val="20"/>
        </w:rPr>
        <w:t>hidroxicloroquina</w:t>
      </w:r>
      <w:r w:rsidRPr="00C326B6">
        <w:rPr>
          <w:rFonts w:cs="Times New Roman"/>
          <w:color w:val="0D0D0D" w:themeColor="text1" w:themeTint="F2"/>
          <w:szCs w:val="20"/>
        </w:rPr>
        <w:t xml:space="preserve">). </w:t>
      </w:r>
    </w:p>
    <w:p w14:paraId="0CD348AE" w14:textId="77777777" w:rsidR="003A775F" w:rsidRPr="00C326B6" w:rsidRDefault="003A775F" w:rsidP="003A775F">
      <w:pPr>
        <w:rPr>
          <w:rFonts w:cs="Times New Roman"/>
          <w:color w:val="0D0D0D" w:themeColor="text1" w:themeTint="F2"/>
          <w:szCs w:val="20"/>
        </w:rPr>
      </w:pPr>
    </w:p>
    <w:p w14:paraId="209804DE" w14:textId="77777777" w:rsidR="003A775F" w:rsidRPr="00C326B6" w:rsidRDefault="003A775F" w:rsidP="003A775F">
      <w:pPr>
        <w:rPr>
          <w:rFonts w:cs="Times New Roman"/>
          <w:color w:val="0D0D0D" w:themeColor="text1" w:themeTint="F2"/>
          <w:szCs w:val="20"/>
        </w:rPr>
      </w:pPr>
      <w:r w:rsidRPr="00C326B6">
        <w:rPr>
          <w:rFonts w:cs="Times New Roman"/>
          <w:color w:val="0D0D0D" w:themeColor="text1" w:themeTint="F2"/>
          <w:szCs w:val="20"/>
        </w:rPr>
        <w:t xml:space="preserve">La FDA reconoce la diferencia entre </w:t>
      </w:r>
      <w:r>
        <w:rPr>
          <w:rFonts w:cs="Times New Roman"/>
          <w:color w:val="0D0D0D" w:themeColor="text1" w:themeTint="F2"/>
          <w:szCs w:val="20"/>
        </w:rPr>
        <w:t xml:space="preserve">las </w:t>
      </w:r>
      <w:r w:rsidRPr="00C326B6">
        <w:rPr>
          <w:rFonts w:cs="Times New Roman"/>
          <w:color w:val="0D0D0D" w:themeColor="text1" w:themeTint="F2"/>
          <w:szCs w:val="20"/>
        </w:rPr>
        <w:t xml:space="preserve">enfermedades autoinmunes graves y </w:t>
      </w:r>
      <w:r>
        <w:rPr>
          <w:rFonts w:cs="Times New Roman"/>
          <w:color w:val="0D0D0D" w:themeColor="text1" w:themeTint="F2"/>
          <w:szCs w:val="20"/>
        </w:rPr>
        <w:t xml:space="preserve">las </w:t>
      </w:r>
      <w:r w:rsidRPr="00C326B6">
        <w:rPr>
          <w:rFonts w:cs="Times New Roman"/>
          <w:color w:val="0D0D0D" w:themeColor="text1" w:themeTint="F2"/>
          <w:szCs w:val="20"/>
        </w:rPr>
        <w:t xml:space="preserve">leves-moderadas, así como entre los distintos tipos de enfermedades. </w:t>
      </w:r>
      <w:r w:rsidRPr="00CB598C">
        <w:rPr>
          <w:rFonts w:cs="Times New Roman"/>
          <w:color w:val="0D0D0D" w:themeColor="text1" w:themeTint="F2"/>
          <w:szCs w:val="20"/>
        </w:rPr>
        <w:t xml:space="preserve">En el primer caso, la necesidad de restringir la población a aquellos con fracaso terapéutico a dos o más inmunosupresores </w:t>
      </w:r>
      <w:r>
        <w:rPr>
          <w:rFonts w:cs="Times New Roman"/>
          <w:color w:val="0D0D0D" w:themeColor="text1" w:themeTint="F2"/>
          <w:szCs w:val="20"/>
        </w:rPr>
        <w:t xml:space="preserve">es </w:t>
      </w:r>
      <w:r w:rsidRPr="00CB598C">
        <w:rPr>
          <w:rFonts w:cs="Times New Roman"/>
          <w:color w:val="0D0D0D" w:themeColor="text1" w:themeTint="F2"/>
          <w:szCs w:val="20"/>
        </w:rPr>
        <w:t>compleja</w:t>
      </w:r>
      <w:r>
        <w:rPr>
          <w:rFonts w:cs="Times New Roman"/>
          <w:color w:val="0D0D0D" w:themeColor="text1" w:themeTint="F2"/>
          <w:szCs w:val="20"/>
        </w:rPr>
        <w:t>,</w:t>
      </w:r>
      <w:r w:rsidRPr="00CB598C">
        <w:rPr>
          <w:rFonts w:cs="Times New Roman"/>
          <w:color w:val="0D0D0D" w:themeColor="text1" w:themeTint="F2"/>
          <w:szCs w:val="20"/>
        </w:rPr>
        <w:t xml:space="preserve"> </w:t>
      </w:r>
      <w:r>
        <w:rPr>
          <w:rFonts w:cs="Times New Roman"/>
          <w:color w:val="0D0D0D" w:themeColor="text1" w:themeTint="F2"/>
          <w:szCs w:val="20"/>
        </w:rPr>
        <w:t>por el</w:t>
      </w:r>
      <w:r w:rsidRPr="00CB598C">
        <w:rPr>
          <w:rFonts w:cs="Times New Roman"/>
          <w:color w:val="0D0D0D" w:themeColor="text1" w:themeTint="F2"/>
          <w:szCs w:val="20"/>
        </w:rPr>
        <w:t xml:space="preserve"> alto riesgo de daño orgánico irreversible con recaídas recurrentes y las limitadas opciones de tratamiento disponibles. </w:t>
      </w:r>
      <w:r w:rsidRPr="00463831">
        <w:rPr>
          <w:rFonts w:cs="Times New Roman"/>
          <w:color w:val="0D0D0D" w:themeColor="text1" w:themeTint="F2"/>
          <w:szCs w:val="20"/>
        </w:rPr>
        <w:t>Por lo tanto, la FDA colaborará con los fabricantes, caso por caso, para fomentar la inclusión de poblaciones de estudio adecuadas en el ámbito de las enfermedades autoinmunes reumatológicas.</w:t>
      </w:r>
    </w:p>
    <w:p w14:paraId="02FF8155" w14:textId="77777777" w:rsidR="003A775F" w:rsidRPr="00C326B6" w:rsidRDefault="003A775F" w:rsidP="003A775F">
      <w:pPr>
        <w:rPr>
          <w:rFonts w:cs="Times New Roman"/>
          <w:color w:val="0D0D0D" w:themeColor="text1" w:themeTint="F2"/>
          <w:szCs w:val="20"/>
        </w:rPr>
      </w:pPr>
    </w:p>
    <w:p w14:paraId="1F1154B3" w14:textId="77777777" w:rsidR="003A775F" w:rsidRPr="00C326B6" w:rsidRDefault="003A775F" w:rsidP="003A775F">
      <w:pPr>
        <w:rPr>
          <w:rFonts w:cs="Times New Roman"/>
          <w:color w:val="0D0D0D" w:themeColor="text1" w:themeTint="F2"/>
          <w:szCs w:val="20"/>
        </w:rPr>
      </w:pPr>
      <w:r w:rsidRPr="003F6644">
        <w:rPr>
          <w:rFonts w:cs="Times New Roman"/>
          <w:color w:val="0D0D0D" w:themeColor="text1" w:themeTint="F2"/>
          <w:szCs w:val="20"/>
          <w:lang w:val="es-ES"/>
        </w:rPr>
        <w:t>Lo</w:t>
      </w:r>
      <w:r>
        <w:rPr>
          <w:rFonts w:cs="Times New Roman"/>
          <w:color w:val="0D0D0D" w:themeColor="text1" w:themeTint="F2"/>
          <w:szCs w:val="20"/>
          <w:lang w:val="es-ES"/>
        </w:rPr>
        <w:t>s</w:t>
      </w:r>
      <w:r w:rsidRPr="00C326B6">
        <w:rPr>
          <w:rFonts w:cs="Times New Roman"/>
          <w:color w:val="0D0D0D" w:themeColor="text1" w:themeTint="F2"/>
          <w:szCs w:val="20"/>
        </w:rPr>
        <w:t xml:space="preserve"> datos de seguridad </w:t>
      </w:r>
      <w:r>
        <w:rPr>
          <w:rFonts w:cs="Times New Roman"/>
          <w:color w:val="0D0D0D" w:themeColor="text1" w:themeTint="F2"/>
          <w:szCs w:val="20"/>
        </w:rPr>
        <w:t>que se van acumulando a partir de</w:t>
      </w:r>
      <w:r w:rsidRPr="00C326B6">
        <w:rPr>
          <w:rFonts w:cs="Times New Roman"/>
          <w:color w:val="0D0D0D" w:themeColor="text1" w:themeTint="F2"/>
          <w:szCs w:val="20"/>
        </w:rPr>
        <w:t xml:space="preserve"> los ensayos en curso, los riesgos del uso prolongado de inmunosupresión con</w:t>
      </w:r>
      <w:r>
        <w:rPr>
          <w:rFonts w:cs="Times New Roman"/>
          <w:color w:val="0D0D0D" w:themeColor="text1" w:themeTint="F2"/>
          <w:szCs w:val="20"/>
        </w:rPr>
        <w:t xml:space="preserve"> </w:t>
      </w:r>
      <w:r w:rsidRPr="00C326B6">
        <w:rPr>
          <w:rFonts w:cs="Times New Roman"/>
          <w:color w:val="0D0D0D" w:themeColor="text1" w:themeTint="F2"/>
          <w:szCs w:val="20"/>
        </w:rPr>
        <w:t xml:space="preserve">glucocorticoides y la toxicidad </w:t>
      </w:r>
      <w:r>
        <w:rPr>
          <w:rFonts w:cs="Times New Roman"/>
          <w:color w:val="0D0D0D" w:themeColor="text1" w:themeTint="F2"/>
          <w:szCs w:val="20"/>
        </w:rPr>
        <w:t xml:space="preserve">de </w:t>
      </w:r>
      <w:r w:rsidRPr="00C326B6">
        <w:rPr>
          <w:rFonts w:cs="Times New Roman"/>
          <w:color w:val="0D0D0D" w:themeColor="text1" w:themeTint="F2"/>
          <w:szCs w:val="20"/>
        </w:rPr>
        <w:t xml:space="preserve">la </w:t>
      </w:r>
      <w:r w:rsidRPr="0015169B">
        <w:rPr>
          <w:rFonts w:cs="Times New Roman"/>
          <w:i/>
          <w:iCs/>
          <w:color w:val="0D0D0D" w:themeColor="text1" w:themeTint="F2"/>
          <w:szCs w:val="20"/>
        </w:rPr>
        <w:t>ciclofosfamida</w:t>
      </w:r>
      <w:r>
        <w:rPr>
          <w:rFonts w:cs="Times New Roman"/>
          <w:i/>
          <w:iCs/>
          <w:color w:val="0D0D0D" w:themeColor="text1" w:themeTint="F2"/>
          <w:szCs w:val="20"/>
        </w:rPr>
        <w:t xml:space="preserve">, </w:t>
      </w:r>
      <w:r w:rsidRPr="00C326B6">
        <w:rPr>
          <w:rFonts w:cs="Times New Roman"/>
          <w:color w:val="0D0D0D" w:themeColor="text1" w:themeTint="F2"/>
          <w:szCs w:val="20"/>
        </w:rPr>
        <w:t>también podrían influir en la evaluación del balance beneficio-riesgo del uso de la terapia con células CAR</w:t>
      </w:r>
      <w:r>
        <w:rPr>
          <w:rFonts w:cs="Times New Roman"/>
          <w:color w:val="0D0D0D" w:themeColor="text1" w:themeTint="F2"/>
          <w:szCs w:val="20"/>
        </w:rPr>
        <w:t>-</w:t>
      </w:r>
      <w:r w:rsidRPr="00C326B6">
        <w:rPr>
          <w:rFonts w:cs="Times New Roman"/>
          <w:color w:val="0D0D0D" w:themeColor="text1" w:themeTint="F2"/>
          <w:szCs w:val="20"/>
        </w:rPr>
        <w:t xml:space="preserve">T en la población pediátrica. Además, la FDA reconoce el desafío que supone el aumento de la mortalidad por </w:t>
      </w:r>
      <w:r>
        <w:rPr>
          <w:rFonts w:cs="Times New Roman"/>
          <w:color w:val="0D0D0D" w:themeColor="text1" w:themeTint="F2"/>
          <w:szCs w:val="20"/>
        </w:rPr>
        <w:t>fall</w:t>
      </w:r>
      <w:r w:rsidRPr="00C326B6">
        <w:rPr>
          <w:rFonts w:cs="Times New Roman"/>
          <w:color w:val="0D0D0D" w:themeColor="text1" w:themeTint="F2"/>
          <w:szCs w:val="20"/>
        </w:rPr>
        <w:t xml:space="preserve">a orgánica, infecciones o ambas, debido a la inmunosupresión prolongada. Por ejemplo, la posible detención del daño orgánico </w:t>
      </w:r>
      <w:r>
        <w:rPr>
          <w:rFonts w:cs="Times New Roman"/>
          <w:color w:val="0D0D0D" w:themeColor="text1" w:themeTint="F2"/>
          <w:szCs w:val="20"/>
        </w:rPr>
        <w:t>que se acumul</w:t>
      </w:r>
      <w:r w:rsidRPr="00C326B6">
        <w:rPr>
          <w:rFonts w:cs="Times New Roman"/>
          <w:color w:val="0D0D0D" w:themeColor="text1" w:themeTint="F2"/>
          <w:szCs w:val="20"/>
        </w:rPr>
        <w:t xml:space="preserve">a lo largo de la vida es un beneficio sustancial </w:t>
      </w:r>
      <w:r>
        <w:rPr>
          <w:rFonts w:cs="Times New Roman"/>
          <w:color w:val="0D0D0D" w:themeColor="text1" w:themeTint="F2"/>
          <w:szCs w:val="20"/>
        </w:rPr>
        <w:t xml:space="preserve">que se debe tener en cuenta al desarrollar </w:t>
      </w:r>
      <w:r w:rsidRPr="00C326B6">
        <w:rPr>
          <w:rFonts w:cs="Times New Roman"/>
          <w:color w:val="0D0D0D" w:themeColor="text1" w:themeTint="F2"/>
          <w:szCs w:val="20"/>
        </w:rPr>
        <w:t>ensayos con células CAR</w:t>
      </w:r>
      <w:r>
        <w:rPr>
          <w:rFonts w:cs="Times New Roman"/>
          <w:color w:val="0D0D0D" w:themeColor="text1" w:themeTint="F2"/>
          <w:szCs w:val="20"/>
        </w:rPr>
        <w:t>-</w:t>
      </w:r>
      <w:r w:rsidRPr="00C326B6">
        <w:rPr>
          <w:rFonts w:cs="Times New Roman"/>
          <w:color w:val="0D0D0D" w:themeColor="text1" w:themeTint="F2"/>
          <w:szCs w:val="20"/>
        </w:rPr>
        <w:t xml:space="preserve">T para el LES pediátrico. </w:t>
      </w:r>
    </w:p>
    <w:p w14:paraId="76EB210E" w14:textId="77777777" w:rsidR="003A775F" w:rsidRPr="00C326B6" w:rsidRDefault="003A775F" w:rsidP="003A775F">
      <w:pPr>
        <w:rPr>
          <w:rFonts w:cs="Times New Roman"/>
          <w:color w:val="0D0D0D" w:themeColor="text1" w:themeTint="F2"/>
          <w:szCs w:val="20"/>
        </w:rPr>
      </w:pPr>
    </w:p>
    <w:p w14:paraId="3560189D" w14:textId="77777777" w:rsidR="003A775F" w:rsidRPr="00C326B6" w:rsidRDefault="003A775F" w:rsidP="003A775F">
      <w:pPr>
        <w:rPr>
          <w:rFonts w:cs="Times New Roman"/>
          <w:color w:val="0D0D0D" w:themeColor="text1" w:themeTint="F2"/>
          <w:szCs w:val="20"/>
        </w:rPr>
      </w:pPr>
      <w:r w:rsidRPr="00C326B6">
        <w:rPr>
          <w:rFonts w:cs="Times New Roman"/>
          <w:color w:val="0D0D0D" w:themeColor="text1" w:themeTint="F2"/>
          <w:szCs w:val="20"/>
        </w:rPr>
        <w:t>Cabe destacar que, dado que los ensayos de fase temprana se han realizado en adultos, en este momento</w:t>
      </w:r>
      <w:r>
        <w:rPr>
          <w:rFonts w:cs="Times New Roman"/>
          <w:color w:val="0D0D0D" w:themeColor="text1" w:themeTint="F2"/>
          <w:szCs w:val="20"/>
        </w:rPr>
        <w:t>,</w:t>
      </w:r>
      <w:r w:rsidRPr="00C326B6">
        <w:rPr>
          <w:rFonts w:cs="Times New Roman"/>
          <w:color w:val="0D0D0D" w:themeColor="text1" w:themeTint="F2"/>
          <w:szCs w:val="20"/>
        </w:rPr>
        <w:t xml:space="preserve"> el perfil de seguridad y la evaluación del balance beneficio-riesgo de las terapias con células CAR</w:t>
      </w:r>
      <w:r>
        <w:rPr>
          <w:rFonts w:cs="Times New Roman"/>
          <w:color w:val="0D0D0D" w:themeColor="text1" w:themeTint="F2"/>
          <w:szCs w:val="20"/>
        </w:rPr>
        <w:t>-</w:t>
      </w:r>
      <w:r w:rsidRPr="00C326B6">
        <w:rPr>
          <w:rFonts w:cs="Times New Roman"/>
          <w:color w:val="0D0D0D" w:themeColor="text1" w:themeTint="F2"/>
          <w:szCs w:val="20"/>
        </w:rPr>
        <w:t xml:space="preserve">T podría ser más favorable en adultos, debido a los </w:t>
      </w:r>
      <w:r>
        <w:rPr>
          <w:rFonts w:cs="Times New Roman"/>
          <w:color w:val="0D0D0D" w:themeColor="text1" w:themeTint="F2"/>
          <w:szCs w:val="20"/>
        </w:rPr>
        <w:t xml:space="preserve">posibles </w:t>
      </w:r>
      <w:r w:rsidRPr="00C326B6">
        <w:rPr>
          <w:rFonts w:cs="Times New Roman"/>
          <w:color w:val="0D0D0D" w:themeColor="text1" w:themeTint="F2"/>
          <w:szCs w:val="20"/>
        </w:rPr>
        <w:t xml:space="preserve">riesgos desconocidos de toxicidad de aparición tardía </w:t>
      </w:r>
      <w:r>
        <w:rPr>
          <w:rFonts w:cs="Times New Roman"/>
          <w:color w:val="0D0D0D" w:themeColor="text1" w:themeTint="F2"/>
          <w:szCs w:val="20"/>
        </w:rPr>
        <w:t>que se han mencionado</w:t>
      </w:r>
      <w:r w:rsidRPr="00C326B6">
        <w:rPr>
          <w:rFonts w:cs="Times New Roman"/>
          <w:color w:val="0D0D0D" w:themeColor="text1" w:themeTint="F2"/>
          <w:szCs w:val="20"/>
        </w:rPr>
        <w:t xml:space="preserve">. </w:t>
      </w:r>
    </w:p>
    <w:p w14:paraId="429D02B2" w14:textId="77777777" w:rsidR="003A775F" w:rsidRPr="00C326B6" w:rsidRDefault="003A775F" w:rsidP="003A775F">
      <w:pPr>
        <w:rPr>
          <w:rFonts w:cs="Times New Roman"/>
          <w:color w:val="0D0D0D" w:themeColor="text1" w:themeTint="F2"/>
          <w:szCs w:val="20"/>
        </w:rPr>
      </w:pPr>
    </w:p>
    <w:p w14:paraId="1C7D4154" w14:textId="77777777" w:rsidR="003A775F" w:rsidRDefault="003A775F" w:rsidP="003A775F">
      <w:pPr>
        <w:rPr>
          <w:rFonts w:cs="Times New Roman"/>
          <w:color w:val="0D0D0D" w:themeColor="text1" w:themeTint="F2"/>
          <w:szCs w:val="20"/>
        </w:rPr>
      </w:pPr>
      <w:r w:rsidRPr="00C326B6">
        <w:rPr>
          <w:rFonts w:cs="Times New Roman"/>
          <w:color w:val="0D0D0D" w:themeColor="text1" w:themeTint="F2"/>
          <w:szCs w:val="20"/>
        </w:rPr>
        <w:t>La FDA señala que los niños con inicio de la enfermedad en la etapa prepuberal presentan una biología de la enfermedad distinta a la de los adultos, y que el cálculo de</w:t>
      </w:r>
      <w:r>
        <w:rPr>
          <w:rFonts w:cs="Times New Roman"/>
          <w:color w:val="0D0D0D" w:themeColor="text1" w:themeTint="F2"/>
          <w:szCs w:val="20"/>
        </w:rPr>
        <w:t>l</w:t>
      </w:r>
      <w:r w:rsidRPr="00C326B6">
        <w:rPr>
          <w:rFonts w:cs="Times New Roman"/>
          <w:color w:val="0D0D0D" w:themeColor="text1" w:themeTint="F2"/>
          <w:szCs w:val="20"/>
        </w:rPr>
        <w:t xml:space="preserve"> riesgo-beneficio para la inclusión de estas poblaciones puede diferir del </w:t>
      </w:r>
      <w:r>
        <w:rPr>
          <w:rFonts w:cs="Times New Roman"/>
          <w:color w:val="0D0D0D" w:themeColor="text1" w:themeTint="F2"/>
          <w:szCs w:val="20"/>
        </w:rPr>
        <w:t>cálculo para</w:t>
      </w:r>
      <w:r w:rsidRPr="00C326B6">
        <w:rPr>
          <w:rFonts w:cs="Times New Roman"/>
          <w:color w:val="0D0D0D" w:themeColor="text1" w:themeTint="F2"/>
          <w:szCs w:val="20"/>
        </w:rPr>
        <w:t xml:space="preserve"> los niños de 12 años o más. </w:t>
      </w:r>
    </w:p>
    <w:p w14:paraId="0C40051E" w14:textId="77777777" w:rsidR="003A775F" w:rsidRDefault="003A775F" w:rsidP="003A775F">
      <w:pPr>
        <w:rPr>
          <w:rFonts w:cs="Times New Roman"/>
          <w:color w:val="0D0D0D" w:themeColor="text1" w:themeTint="F2"/>
          <w:szCs w:val="20"/>
        </w:rPr>
      </w:pPr>
    </w:p>
    <w:p w14:paraId="0F10FBF6" w14:textId="77777777" w:rsidR="003A775F" w:rsidRPr="00C326B6" w:rsidRDefault="003A775F" w:rsidP="003A775F">
      <w:pPr>
        <w:rPr>
          <w:rFonts w:cs="Times New Roman"/>
          <w:color w:val="0D0D0D" w:themeColor="text1" w:themeTint="F2"/>
          <w:szCs w:val="20"/>
        </w:rPr>
      </w:pPr>
      <w:r w:rsidRPr="00C326B6">
        <w:rPr>
          <w:rFonts w:cs="Times New Roman"/>
          <w:color w:val="0D0D0D" w:themeColor="text1" w:themeTint="F2"/>
          <w:szCs w:val="20"/>
        </w:rPr>
        <w:t>Dado que muchos pacientes con enfermedades autoinmunes se encuentran en edad reproductiva, la FDA considerará cuidadosamente el efecto del tratamiento sobre la fertilidad. Para ello, la FDA ha recomendado que la industria realice estudios de seguimiento a largo plazo para los productos de células CAR</w:t>
      </w:r>
      <w:r>
        <w:rPr>
          <w:rFonts w:cs="Times New Roman"/>
          <w:color w:val="0D0D0D" w:themeColor="text1" w:themeTint="F2"/>
          <w:szCs w:val="20"/>
        </w:rPr>
        <w:t>-</w:t>
      </w:r>
      <w:r w:rsidRPr="00C326B6">
        <w:rPr>
          <w:rFonts w:cs="Times New Roman"/>
          <w:color w:val="0D0D0D" w:themeColor="text1" w:themeTint="F2"/>
          <w:szCs w:val="20"/>
        </w:rPr>
        <w:t>T en este contexto, como es habitual para las terapias génicas y las células CAR</w:t>
      </w:r>
      <w:r>
        <w:rPr>
          <w:rFonts w:cs="Times New Roman"/>
          <w:color w:val="0D0D0D" w:themeColor="text1" w:themeTint="F2"/>
          <w:szCs w:val="20"/>
        </w:rPr>
        <w:t>-</w:t>
      </w:r>
      <w:r w:rsidRPr="00C326B6">
        <w:rPr>
          <w:rFonts w:cs="Times New Roman"/>
          <w:color w:val="0D0D0D" w:themeColor="text1" w:themeTint="F2"/>
          <w:szCs w:val="20"/>
        </w:rPr>
        <w:t xml:space="preserve">T para indicaciones oncológicas [6, 7]. </w:t>
      </w:r>
    </w:p>
    <w:p w14:paraId="199EB85A" w14:textId="77777777" w:rsidR="003A775F" w:rsidRPr="00C326B6" w:rsidRDefault="003A775F" w:rsidP="003A775F">
      <w:pPr>
        <w:rPr>
          <w:rFonts w:cs="Times New Roman"/>
          <w:color w:val="0D0D0D" w:themeColor="text1" w:themeTint="F2"/>
          <w:szCs w:val="20"/>
        </w:rPr>
      </w:pPr>
    </w:p>
    <w:p w14:paraId="79132012" w14:textId="77777777" w:rsidR="003A775F" w:rsidRDefault="003A775F" w:rsidP="003A775F">
      <w:pPr>
        <w:rPr>
          <w:rFonts w:cs="Times New Roman"/>
          <w:color w:val="0D0D0D" w:themeColor="text1" w:themeTint="F2"/>
          <w:szCs w:val="20"/>
        </w:rPr>
      </w:pPr>
      <w:r w:rsidRPr="00C326B6">
        <w:rPr>
          <w:rFonts w:cs="Times New Roman"/>
          <w:color w:val="0D0D0D" w:themeColor="text1" w:themeTint="F2"/>
          <w:szCs w:val="20"/>
        </w:rPr>
        <w:t xml:space="preserve">La experiencia </w:t>
      </w:r>
      <w:r>
        <w:rPr>
          <w:rFonts w:cs="Times New Roman"/>
          <w:color w:val="0D0D0D" w:themeColor="text1" w:themeTint="F2"/>
          <w:szCs w:val="20"/>
        </w:rPr>
        <w:t>con</w:t>
      </w:r>
      <w:r w:rsidRPr="00C326B6">
        <w:rPr>
          <w:rFonts w:cs="Times New Roman"/>
          <w:color w:val="0D0D0D" w:themeColor="text1" w:themeTint="F2"/>
          <w:szCs w:val="20"/>
        </w:rPr>
        <w:t xml:space="preserve"> los ensayos clínicos de fase temprana de un producto experimental de células CAR</w:t>
      </w:r>
      <w:r>
        <w:rPr>
          <w:rFonts w:cs="Times New Roman"/>
          <w:color w:val="0D0D0D" w:themeColor="text1" w:themeTint="F2"/>
          <w:szCs w:val="20"/>
        </w:rPr>
        <w:t>-</w:t>
      </w:r>
      <w:r w:rsidRPr="00C326B6">
        <w:rPr>
          <w:rFonts w:cs="Times New Roman"/>
          <w:color w:val="0D0D0D" w:themeColor="text1" w:themeTint="F2"/>
          <w:szCs w:val="20"/>
        </w:rPr>
        <w:t xml:space="preserve">T en una indicación como el LES, puede servir de base para las estrategias de dosificación en otras indicaciones, como la esclerosis sistémica, la vasculitis asociada a anticuerpos </w:t>
      </w:r>
      <w:proofErr w:type="spellStart"/>
      <w:r w:rsidRPr="00C326B6">
        <w:rPr>
          <w:rFonts w:cs="Times New Roman"/>
          <w:color w:val="0D0D0D" w:themeColor="text1" w:themeTint="F2"/>
          <w:szCs w:val="20"/>
        </w:rPr>
        <w:t>anticitoplasma</w:t>
      </w:r>
      <w:proofErr w:type="spellEnd"/>
      <w:r w:rsidRPr="00C326B6">
        <w:rPr>
          <w:rFonts w:cs="Times New Roman"/>
          <w:color w:val="0D0D0D" w:themeColor="text1" w:themeTint="F2"/>
          <w:szCs w:val="20"/>
        </w:rPr>
        <w:t xml:space="preserve"> de neutrófilos y las miopatías inflamatorias idiopáticas. Sin embargo, la falta de modelos traslacionales y mecanicistas limita la extrapolación cuantitativa, lo que </w:t>
      </w:r>
      <w:r>
        <w:rPr>
          <w:rFonts w:cs="Times New Roman"/>
          <w:color w:val="0D0D0D" w:themeColor="text1" w:themeTint="F2"/>
          <w:szCs w:val="20"/>
        </w:rPr>
        <w:t>resulta en el uso</w:t>
      </w:r>
      <w:r w:rsidRPr="00C326B6">
        <w:rPr>
          <w:rFonts w:cs="Times New Roman"/>
          <w:color w:val="0D0D0D" w:themeColor="text1" w:themeTint="F2"/>
          <w:szCs w:val="20"/>
        </w:rPr>
        <w:t xml:space="preserve"> empírico de los datos </w:t>
      </w:r>
      <w:r w:rsidRPr="00C326B6">
        <w:rPr>
          <w:rFonts w:cs="Times New Roman"/>
          <w:color w:val="0D0D0D" w:themeColor="text1" w:themeTint="F2"/>
          <w:szCs w:val="20"/>
        </w:rPr>
        <w:lastRenderedPageBreak/>
        <w:t>clínicos y no clínicos disponibles para la selección de la dosis en indicaciones que pueden variar en términos de gravedad del daño orgánico y el tiempo de tratamiento hasta la remisión clínica</w:t>
      </w:r>
      <w:r>
        <w:rPr>
          <w:rFonts w:cs="Times New Roman"/>
          <w:color w:val="0D0D0D" w:themeColor="text1" w:themeTint="F2"/>
          <w:szCs w:val="20"/>
        </w:rPr>
        <w:t xml:space="preserve"> [8]</w:t>
      </w:r>
      <w:r w:rsidRPr="00C326B6">
        <w:rPr>
          <w:rFonts w:cs="Times New Roman"/>
          <w:color w:val="0D0D0D" w:themeColor="text1" w:themeTint="F2"/>
          <w:szCs w:val="20"/>
        </w:rPr>
        <w:t>.</w:t>
      </w:r>
    </w:p>
    <w:p w14:paraId="6DC24866" w14:textId="77777777" w:rsidR="003A775F" w:rsidRDefault="003A775F" w:rsidP="003A775F">
      <w:pPr>
        <w:rPr>
          <w:rFonts w:cs="Times New Roman"/>
          <w:color w:val="0D0D0D" w:themeColor="text1" w:themeTint="F2"/>
          <w:szCs w:val="20"/>
        </w:rPr>
      </w:pPr>
    </w:p>
    <w:p w14:paraId="5160669E" w14:textId="77777777" w:rsidR="003A775F" w:rsidRDefault="003A775F" w:rsidP="003A775F">
      <w:pPr>
        <w:rPr>
          <w:rFonts w:cs="Times New Roman"/>
          <w:color w:val="0D0D0D" w:themeColor="text1" w:themeTint="F2"/>
          <w:szCs w:val="20"/>
        </w:rPr>
      </w:pPr>
      <w:r w:rsidRPr="00E75702">
        <w:rPr>
          <w:rFonts w:cs="Times New Roman"/>
          <w:b/>
          <w:bCs/>
          <w:color w:val="0D0D0D" w:themeColor="text1" w:themeTint="F2"/>
          <w:szCs w:val="20"/>
        </w:rPr>
        <w:t>Nota de Salud y Fármacos:</w:t>
      </w:r>
      <w:r>
        <w:rPr>
          <w:rFonts w:cs="Times New Roman"/>
          <w:color w:val="0D0D0D" w:themeColor="text1" w:themeTint="F2"/>
          <w:szCs w:val="20"/>
        </w:rPr>
        <w:t xml:space="preserve"> Amplíe aquí información sobre la nueva exigencia de la FDA para la aprobación de terapias CAR-T: </w:t>
      </w:r>
      <w:hyperlink r:id="rId148" w:history="1">
        <w:r w:rsidRPr="00D9077B">
          <w:rPr>
            <w:rStyle w:val="Hipervnculo"/>
            <w:rFonts w:cs="Times New Roman"/>
            <w:szCs w:val="20"/>
          </w:rPr>
          <w:t>https://www.saludyfarmacos.org/boletin-farmacos/boletines/feb202603/38_eu/</w:t>
        </w:r>
      </w:hyperlink>
    </w:p>
    <w:p w14:paraId="7A4D9516" w14:textId="77777777" w:rsidR="003A775F" w:rsidRDefault="003A775F" w:rsidP="003A775F">
      <w:pPr>
        <w:rPr>
          <w:rFonts w:cs="Times New Roman"/>
          <w:color w:val="0D0D0D" w:themeColor="text1" w:themeTint="F2"/>
          <w:szCs w:val="20"/>
        </w:rPr>
      </w:pPr>
    </w:p>
    <w:p w14:paraId="0D5D5718" w14:textId="77777777" w:rsidR="003A775F" w:rsidRPr="003A3895" w:rsidRDefault="003A775F" w:rsidP="003A775F">
      <w:pPr>
        <w:rPr>
          <w:rFonts w:cs="Times New Roman"/>
          <w:b/>
          <w:bCs/>
          <w:color w:val="0D0D0D" w:themeColor="text1" w:themeTint="F2"/>
          <w:sz w:val="18"/>
          <w:szCs w:val="18"/>
          <w:lang w:val="en-US"/>
        </w:rPr>
      </w:pPr>
      <w:proofErr w:type="spellStart"/>
      <w:r w:rsidRPr="003A3895">
        <w:rPr>
          <w:rFonts w:cs="Times New Roman"/>
          <w:b/>
          <w:bCs/>
          <w:color w:val="0D0D0D" w:themeColor="text1" w:themeTint="F2"/>
          <w:sz w:val="18"/>
          <w:szCs w:val="18"/>
          <w:lang w:val="en-US"/>
        </w:rPr>
        <w:t>Referencias</w:t>
      </w:r>
      <w:proofErr w:type="spellEnd"/>
    </w:p>
    <w:p w14:paraId="50E2EEFC" w14:textId="77777777" w:rsidR="003A775F" w:rsidRPr="003A3895" w:rsidRDefault="003A775F" w:rsidP="003A775F">
      <w:pPr>
        <w:ind w:left="180" w:hanging="180"/>
        <w:rPr>
          <w:rFonts w:cs="Times New Roman"/>
          <w:color w:val="0D0D0D" w:themeColor="text1" w:themeTint="F2"/>
          <w:sz w:val="18"/>
          <w:szCs w:val="18"/>
          <w:lang w:val="en-US"/>
        </w:rPr>
      </w:pPr>
      <w:r w:rsidRPr="003A3895">
        <w:rPr>
          <w:rFonts w:cs="Times New Roman"/>
          <w:color w:val="0D0D0D" w:themeColor="text1" w:themeTint="F2"/>
          <w:sz w:val="18"/>
          <w:szCs w:val="18"/>
          <w:lang w:val="en-US"/>
        </w:rPr>
        <w:t>1.Mackensen A,</w:t>
      </w:r>
      <w:r>
        <w:rPr>
          <w:rFonts w:cs="Times New Roman"/>
          <w:color w:val="0D0D0D" w:themeColor="text1" w:themeTint="F2"/>
          <w:sz w:val="18"/>
          <w:szCs w:val="18"/>
          <w:lang w:val="en-US"/>
        </w:rPr>
        <w:t xml:space="preserve"> </w:t>
      </w:r>
      <w:r w:rsidRPr="003A3895">
        <w:rPr>
          <w:rFonts w:cs="Times New Roman"/>
          <w:color w:val="0D0D0D" w:themeColor="text1" w:themeTint="F2"/>
          <w:sz w:val="18"/>
          <w:szCs w:val="18"/>
          <w:lang w:val="en-US"/>
        </w:rPr>
        <w:t>Müller F,</w:t>
      </w:r>
      <w:r>
        <w:rPr>
          <w:rFonts w:cs="Times New Roman"/>
          <w:color w:val="0D0D0D" w:themeColor="text1" w:themeTint="F2"/>
          <w:sz w:val="18"/>
          <w:szCs w:val="18"/>
          <w:lang w:val="en-US"/>
        </w:rPr>
        <w:t xml:space="preserve"> </w:t>
      </w:r>
      <w:proofErr w:type="spellStart"/>
      <w:r w:rsidRPr="003A3895">
        <w:rPr>
          <w:rFonts w:cs="Times New Roman"/>
          <w:color w:val="0D0D0D" w:themeColor="text1" w:themeTint="F2"/>
          <w:sz w:val="18"/>
          <w:szCs w:val="18"/>
          <w:lang w:val="en-US"/>
        </w:rPr>
        <w:t>Mougiakakos</w:t>
      </w:r>
      <w:proofErr w:type="spellEnd"/>
      <w:r w:rsidRPr="003A3895">
        <w:rPr>
          <w:rFonts w:cs="Times New Roman"/>
          <w:color w:val="0D0D0D" w:themeColor="text1" w:themeTint="F2"/>
          <w:sz w:val="18"/>
          <w:szCs w:val="18"/>
          <w:lang w:val="en-US"/>
        </w:rPr>
        <w:t xml:space="preserve"> D,</w:t>
      </w:r>
      <w:r>
        <w:rPr>
          <w:rFonts w:cs="Times New Roman"/>
          <w:color w:val="0D0D0D" w:themeColor="text1" w:themeTint="F2"/>
          <w:sz w:val="18"/>
          <w:szCs w:val="18"/>
          <w:lang w:val="en-US"/>
        </w:rPr>
        <w:t xml:space="preserve"> </w:t>
      </w:r>
      <w:r w:rsidRPr="003A3895">
        <w:rPr>
          <w:rFonts w:cs="Times New Roman"/>
          <w:color w:val="0D0D0D" w:themeColor="text1" w:themeTint="F2"/>
          <w:sz w:val="18"/>
          <w:szCs w:val="18"/>
          <w:lang w:val="en-US"/>
        </w:rPr>
        <w:t>et al. Anti-CD19 CAR T cell therapy for refractory systemic lupus erythematosus. Nat Med. 2022;28:2124-2132. [PMID:</w:t>
      </w:r>
      <w:r>
        <w:rPr>
          <w:rFonts w:cs="Times New Roman"/>
          <w:color w:val="0D0D0D" w:themeColor="text1" w:themeTint="F2"/>
          <w:sz w:val="18"/>
          <w:szCs w:val="18"/>
          <w:lang w:val="en-US"/>
        </w:rPr>
        <w:t xml:space="preserve"> </w:t>
      </w:r>
      <w:hyperlink r:id="rId149" w:history="1">
        <w:r w:rsidRPr="003A3895">
          <w:rPr>
            <w:rStyle w:val="Hipervnculo"/>
            <w:rFonts w:cs="Times New Roman"/>
            <w:sz w:val="18"/>
            <w:szCs w:val="18"/>
            <w:lang w:val="en-US"/>
          </w:rPr>
          <w:t>36109639</w:t>
        </w:r>
      </w:hyperlink>
      <w:r w:rsidRPr="003A3895">
        <w:rPr>
          <w:rFonts w:cs="Times New Roman"/>
          <w:color w:val="0D0D0D" w:themeColor="text1" w:themeTint="F2"/>
          <w:sz w:val="18"/>
          <w:szCs w:val="18"/>
          <w:lang w:val="en-US"/>
        </w:rPr>
        <w:t xml:space="preserve">] </w:t>
      </w:r>
      <w:proofErr w:type="spellStart"/>
      <w:r w:rsidRPr="003A3895">
        <w:rPr>
          <w:rFonts w:cs="Times New Roman"/>
          <w:color w:val="0D0D0D" w:themeColor="text1" w:themeTint="F2"/>
          <w:sz w:val="18"/>
          <w:szCs w:val="18"/>
          <w:lang w:val="en-US"/>
        </w:rPr>
        <w:t>doi</w:t>
      </w:r>
      <w:proofErr w:type="spellEnd"/>
      <w:r w:rsidRPr="003A3895">
        <w:rPr>
          <w:rFonts w:cs="Times New Roman"/>
          <w:color w:val="0D0D0D" w:themeColor="text1" w:themeTint="F2"/>
          <w:sz w:val="18"/>
          <w:szCs w:val="18"/>
          <w:lang w:val="en-US"/>
        </w:rPr>
        <w:t>:</w:t>
      </w:r>
      <w:r>
        <w:rPr>
          <w:rFonts w:cs="Times New Roman"/>
          <w:color w:val="0D0D0D" w:themeColor="text1" w:themeTint="F2"/>
          <w:sz w:val="18"/>
          <w:szCs w:val="18"/>
          <w:lang w:val="en-US"/>
        </w:rPr>
        <w:t xml:space="preserve"> </w:t>
      </w:r>
      <w:hyperlink r:id="rId150" w:history="1">
        <w:r w:rsidRPr="003A3895">
          <w:rPr>
            <w:rStyle w:val="Hipervnculo"/>
            <w:rFonts w:cs="Times New Roman"/>
            <w:sz w:val="18"/>
            <w:szCs w:val="18"/>
            <w:lang w:val="en-US"/>
          </w:rPr>
          <w:t>10.1038/s41591-022-02017-5</w:t>
        </w:r>
      </w:hyperlink>
    </w:p>
    <w:p w14:paraId="2CF72D63" w14:textId="77777777" w:rsidR="003A775F" w:rsidRPr="003A3895" w:rsidRDefault="003A775F" w:rsidP="003A775F">
      <w:pPr>
        <w:ind w:left="180" w:hanging="180"/>
        <w:rPr>
          <w:rFonts w:cs="Times New Roman"/>
          <w:color w:val="0D0D0D" w:themeColor="text1" w:themeTint="F2"/>
          <w:sz w:val="18"/>
          <w:szCs w:val="18"/>
          <w:lang w:val="en-US"/>
        </w:rPr>
      </w:pPr>
      <w:r w:rsidRPr="003A3895">
        <w:rPr>
          <w:rFonts w:cs="Times New Roman"/>
          <w:color w:val="0D0D0D" w:themeColor="text1" w:themeTint="F2"/>
          <w:sz w:val="18"/>
          <w:szCs w:val="18"/>
          <w:lang w:val="en-US"/>
        </w:rPr>
        <w:t>2.Tur C,</w:t>
      </w:r>
      <w:r>
        <w:rPr>
          <w:rFonts w:cs="Times New Roman"/>
          <w:color w:val="0D0D0D" w:themeColor="text1" w:themeTint="F2"/>
          <w:sz w:val="18"/>
          <w:szCs w:val="18"/>
          <w:lang w:val="en-US"/>
        </w:rPr>
        <w:t xml:space="preserve"> </w:t>
      </w:r>
      <w:r w:rsidRPr="003A3895">
        <w:rPr>
          <w:rFonts w:cs="Times New Roman"/>
          <w:color w:val="0D0D0D" w:themeColor="text1" w:themeTint="F2"/>
          <w:sz w:val="18"/>
          <w:szCs w:val="18"/>
          <w:lang w:val="en-US"/>
        </w:rPr>
        <w:t>Eckstein M,</w:t>
      </w:r>
      <w:r>
        <w:rPr>
          <w:rFonts w:cs="Times New Roman"/>
          <w:color w:val="0D0D0D" w:themeColor="text1" w:themeTint="F2"/>
          <w:sz w:val="18"/>
          <w:szCs w:val="18"/>
          <w:lang w:val="en-US"/>
        </w:rPr>
        <w:t xml:space="preserve"> </w:t>
      </w:r>
      <w:r w:rsidRPr="003A3895">
        <w:rPr>
          <w:rFonts w:cs="Times New Roman"/>
          <w:color w:val="0D0D0D" w:themeColor="text1" w:themeTint="F2"/>
          <w:sz w:val="18"/>
          <w:szCs w:val="18"/>
          <w:lang w:val="en-US"/>
        </w:rPr>
        <w:t>Velden J,</w:t>
      </w:r>
      <w:r>
        <w:rPr>
          <w:rFonts w:cs="Times New Roman"/>
          <w:color w:val="0D0D0D" w:themeColor="text1" w:themeTint="F2"/>
          <w:sz w:val="18"/>
          <w:szCs w:val="18"/>
          <w:lang w:val="en-US"/>
        </w:rPr>
        <w:t xml:space="preserve"> </w:t>
      </w:r>
      <w:r w:rsidRPr="003A3895">
        <w:rPr>
          <w:rFonts w:cs="Times New Roman"/>
          <w:color w:val="0D0D0D" w:themeColor="text1" w:themeTint="F2"/>
          <w:sz w:val="18"/>
          <w:szCs w:val="18"/>
          <w:lang w:val="en-US"/>
        </w:rPr>
        <w:t>et al. CD19-CAR T-cell therapy induces deep tissue depletion of B cells. Ann Rheum Dis. 2025;84:106-114. [PMID:</w:t>
      </w:r>
      <w:r>
        <w:rPr>
          <w:rFonts w:cs="Times New Roman"/>
          <w:color w:val="0D0D0D" w:themeColor="text1" w:themeTint="F2"/>
          <w:sz w:val="18"/>
          <w:szCs w:val="18"/>
          <w:lang w:val="en-US"/>
        </w:rPr>
        <w:t xml:space="preserve"> </w:t>
      </w:r>
      <w:hyperlink r:id="rId151" w:history="1">
        <w:r w:rsidRPr="003A3895">
          <w:rPr>
            <w:rStyle w:val="Hipervnculo"/>
            <w:rFonts w:cs="Times New Roman"/>
            <w:sz w:val="18"/>
            <w:szCs w:val="18"/>
            <w:lang w:val="en-US"/>
          </w:rPr>
          <w:t>39874224</w:t>
        </w:r>
      </w:hyperlink>
      <w:r w:rsidRPr="003A3895">
        <w:rPr>
          <w:rFonts w:cs="Times New Roman"/>
          <w:color w:val="0D0D0D" w:themeColor="text1" w:themeTint="F2"/>
          <w:sz w:val="18"/>
          <w:szCs w:val="18"/>
          <w:lang w:val="en-US"/>
        </w:rPr>
        <w:t xml:space="preserve">] </w:t>
      </w:r>
      <w:proofErr w:type="spellStart"/>
      <w:r w:rsidRPr="003A3895">
        <w:rPr>
          <w:rFonts w:cs="Times New Roman"/>
          <w:color w:val="0D0D0D" w:themeColor="text1" w:themeTint="F2"/>
          <w:sz w:val="18"/>
          <w:szCs w:val="18"/>
          <w:lang w:val="en-US"/>
        </w:rPr>
        <w:t>doi</w:t>
      </w:r>
      <w:proofErr w:type="spellEnd"/>
      <w:r w:rsidRPr="003A3895">
        <w:rPr>
          <w:rFonts w:cs="Times New Roman"/>
          <w:color w:val="0D0D0D" w:themeColor="text1" w:themeTint="F2"/>
          <w:sz w:val="18"/>
          <w:szCs w:val="18"/>
          <w:lang w:val="en-US"/>
        </w:rPr>
        <w:t>:</w:t>
      </w:r>
      <w:r>
        <w:rPr>
          <w:rFonts w:cs="Times New Roman"/>
          <w:color w:val="0D0D0D" w:themeColor="text1" w:themeTint="F2"/>
          <w:sz w:val="18"/>
          <w:szCs w:val="18"/>
          <w:lang w:val="en-US"/>
        </w:rPr>
        <w:t xml:space="preserve"> </w:t>
      </w:r>
      <w:hyperlink r:id="rId152" w:history="1">
        <w:r w:rsidRPr="003A3895">
          <w:rPr>
            <w:rStyle w:val="Hipervnculo"/>
            <w:rFonts w:cs="Times New Roman"/>
            <w:sz w:val="18"/>
            <w:szCs w:val="18"/>
            <w:lang w:val="en-US"/>
          </w:rPr>
          <w:t>10.1136/ard-2024-226142</w:t>
        </w:r>
      </w:hyperlink>
    </w:p>
    <w:p w14:paraId="219501C3" w14:textId="77777777" w:rsidR="003A775F" w:rsidRPr="001E6BEB" w:rsidRDefault="003A775F" w:rsidP="003A775F">
      <w:pPr>
        <w:ind w:left="180" w:hanging="180"/>
        <w:rPr>
          <w:rFonts w:cs="Times New Roman"/>
          <w:color w:val="0D0D0D" w:themeColor="text1" w:themeTint="F2"/>
          <w:sz w:val="18"/>
          <w:szCs w:val="18"/>
          <w:lang w:val="en-US"/>
        </w:rPr>
      </w:pPr>
      <w:r w:rsidRPr="003A3895">
        <w:rPr>
          <w:rFonts w:cs="Times New Roman"/>
          <w:color w:val="0D0D0D" w:themeColor="text1" w:themeTint="F2"/>
          <w:sz w:val="18"/>
          <w:szCs w:val="18"/>
          <w:lang w:val="en-US"/>
        </w:rPr>
        <w:t>3.Müller F,</w:t>
      </w:r>
      <w:r>
        <w:rPr>
          <w:rFonts w:cs="Times New Roman"/>
          <w:color w:val="0D0D0D" w:themeColor="text1" w:themeTint="F2"/>
          <w:sz w:val="18"/>
          <w:szCs w:val="18"/>
          <w:lang w:val="en-US"/>
        </w:rPr>
        <w:t xml:space="preserve"> </w:t>
      </w:r>
      <w:proofErr w:type="spellStart"/>
      <w:r w:rsidRPr="003A3895">
        <w:rPr>
          <w:rFonts w:cs="Times New Roman"/>
          <w:color w:val="0D0D0D" w:themeColor="text1" w:themeTint="F2"/>
          <w:sz w:val="18"/>
          <w:szCs w:val="18"/>
          <w:lang w:val="en-US"/>
        </w:rPr>
        <w:t>Taubmann</w:t>
      </w:r>
      <w:proofErr w:type="spellEnd"/>
      <w:r w:rsidRPr="003A3895">
        <w:rPr>
          <w:rFonts w:cs="Times New Roman"/>
          <w:color w:val="0D0D0D" w:themeColor="text1" w:themeTint="F2"/>
          <w:sz w:val="18"/>
          <w:szCs w:val="18"/>
          <w:lang w:val="en-US"/>
        </w:rPr>
        <w:t xml:space="preserve"> J,</w:t>
      </w:r>
      <w:r>
        <w:rPr>
          <w:rFonts w:cs="Times New Roman"/>
          <w:color w:val="0D0D0D" w:themeColor="text1" w:themeTint="F2"/>
          <w:sz w:val="18"/>
          <w:szCs w:val="18"/>
          <w:lang w:val="en-US"/>
        </w:rPr>
        <w:t xml:space="preserve"> </w:t>
      </w:r>
      <w:r w:rsidRPr="003A3895">
        <w:rPr>
          <w:rFonts w:cs="Times New Roman"/>
          <w:color w:val="0D0D0D" w:themeColor="text1" w:themeTint="F2"/>
          <w:sz w:val="18"/>
          <w:szCs w:val="18"/>
          <w:lang w:val="en-US"/>
        </w:rPr>
        <w:t>Bucci L,</w:t>
      </w:r>
      <w:r>
        <w:rPr>
          <w:rFonts w:cs="Times New Roman"/>
          <w:color w:val="0D0D0D" w:themeColor="text1" w:themeTint="F2"/>
          <w:sz w:val="18"/>
          <w:szCs w:val="18"/>
          <w:lang w:val="en-US"/>
        </w:rPr>
        <w:t xml:space="preserve"> </w:t>
      </w:r>
      <w:r w:rsidRPr="003A3895">
        <w:rPr>
          <w:rFonts w:cs="Times New Roman"/>
          <w:color w:val="0D0D0D" w:themeColor="text1" w:themeTint="F2"/>
          <w:sz w:val="18"/>
          <w:szCs w:val="18"/>
          <w:lang w:val="en-US"/>
        </w:rPr>
        <w:t xml:space="preserve">et al. CD19 CAR T-cell therapy in autoimmune disease—a case series with follow-up. N </w:t>
      </w:r>
      <w:proofErr w:type="spellStart"/>
      <w:r w:rsidRPr="003A3895">
        <w:rPr>
          <w:rFonts w:cs="Times New Roman"/>
          <w:color w:val="0D0D0D" w:themeColor="text1" w:themeTint="F2"/>
          <w:sz w:val="18"/>
          <w:szCs w:val="18"/>
          <w:lang w:val="en-US"/>
        </w:rPr>
        <w:t>Engl</w:t>
      </w:r>
      <w:proofErr w:type="spellEnd"/>
      <w:r w:rsidRPr="003A3895">
        <w:rPr>
          <w:rFonts w:cs="Times New Roman"/>
          <w:color w:val="0D0D0D" w:themeColor="text1" w:themeTint="F2"/>
          <w:sz w:val="18"/>
          <w:szCs w:val="18"/>
          <w:lang w:val="en-US"/>
        </w:rPr>
        <w:t xml:space="preserve"> J Med. 2024;390:687-700. [PMID:</w:t>
      </w:r>
      <w:r>
        <w:rPr>
          <w:rFonts w:cs="Times New Roman"/>
          <w:color w:val="0D0D0D" w:themeColor="text1" w:themeTint="F2"/>
          <w:sz w:val="18"/>
          <w:szCs w:val="18"/>
          <w:lang w:val="en-US"/>
        </w:rPr>
        <w:t xml:space="preserve"> </w:t>
      </w:r>
      <w:hyperlink r:id="rId153" w:history="1">
        <w:r w:rsidRPr="003A3895">
          <w:rPr>
            <w:rStyle w:val="Hipervnculo"/>
            <w:rFonts w:cs="Times New Roman"/>
            <w:sz w:val="18"/>
            <w:szCs w:val="18"/>
            <w:lang w:val="en-US"/>
          </w:rPr>
          <w:t>38381673</w:t>
        </w:r>
      </w:hyperlink>
      <w:r w:rsidRPr="003A3895">
        <w:rPr>
          <w:rFonts w:cs="Times New Roman"/>
          <w:color w:val="0D0D0D" w:themeColor="text1" w:themeTint="F2"/>
          <w:sz w:val="18"/>
          <w:szCs w:val="18"/>
          <w:lang w:val="en-US"/>
        </w:rPr>
        <w:t xml:space="preserve">] </w:t>
      </w:r>
      <w:proofErr w:type="spellStart"/>
      <w:r w:rsidRPr="003A3895">
        <w:rPr>
          <w:rFonts w:cs="Times New Roman"/>
          <w:color w:val="0D0D0D" w:themeColor="text1" w:themeTint="F2"/>
          <w:sz w:val="18"/>
          <w:szCs w:val="18"/>
          <w:lang w:val="en-US"/>
        </w:rPr>
        <w:t>doi</w:t>
      </w:r>
      <w:proofErr w:type="spellEnd"/>
      <w:r w:rsidRPr="003A3895">
        <w:rPr>
          <w:rFonts w:cs="Times New Roman"/>
          <w:color w:val="0D0D0D" w:themeColor="text1" w:themeTint="F2"/>
          <w:sz w:val="18"/>
          <w:szCs w:val="18"/>
          <w:lang w:val="en-US"/>
        </w:rPr>
        <w:t>:</w:t>
      </w:r>
      <w:r>
        <w:rPr>
          <w:rFonts w:cs="Times New Roman"/>
          <w:color w:val="0D0D0D" w:themeColor="text1" w:themeTint="F2"/>
          <w:sz w:val="18"/>
          <w:szCs w:val="18"/>
          <w:lang w:val="en-US"/>
        </w:rPr>
        <w:t xml:space="preserve"> </w:t>
      </w:r>
      <w:hyperlink r:id="rId154" w:history="1">
        <w:r w:rsidRPr="003A3895">
          <w:rPr>
            <w:rStyle w:val="Hipervnculo"/>
            <w:rFonts w:cs="Times New Roman"/>
            <w:sz w:val="18"/>
            <w:szCs w:val="18"/>
            <w:lang w:val="en-US"/>
          </w:rPr>
          <w:t>10.1056/NEJMoa2308917</w:t>
        </w:r>
      </w:hyperlink>
    </w:p>
    <w:p w14:paraId="6C7164A9" w14:textId="77777777" w:rsidR="003A775F" w:rsidRPr="003A3895" w:rsidRDefault="003A775F" w:rsidP="003A775F">
      <w:pPr>
        <w:ind w:left="180" w:hanging="180"/>
        <w:rPr>
          <w:rFonts w:cs="Times New Roman"/>
          <w:color w:val="0D0D0D" w:themeColor="text1" w:themeTint="F2"/>
          <w:sz w:val="18"/>
          <w:szCs w:val="18"/>
          <w:lang w:val="en-US"/>
        </w:rPr>
      </w:pPr>
      <w:r w:rsidRPr="003A3895">
        <w:rPr>
          <w:rFonts w:cs="Times New Roman"/>
          <w:color w:val="0D0D0D" w:themeColor="text1" w:themeTint="F2"/>
          <w:sz w:val="18"/>
          <w:szCs w:val="18"/>
          <w:lang w:val="en-US"/>
        </w:rPr>
        <w:t>4.Nordmann-Gomes A,</w:t>
      </w:r>
      <w:r>
        <w:rPr>
          <w:rFonts w:cs="Times New Roman"/>
          <w:color w:val="0D0D0D" w:themeColor="text1" w:themeTint="F2"/>
          <w:sz w:val="18"/>
          <w:szCs w:val="18"/>
          <w:lang w:val="en-US"/>
        </w:rPr>
        <w:t xml:space="preserve"> </w:t>
      </w:r>
      <w:r w:rsidRPr="003A3895">
        <w:rPr>
          <w:rFonts w:cs="Times New Roman"/>
          <w:color w:val="0D0D0D" w:themeColor="text1" w:themeTint="F2"/>
          <w:sz w:val="18"/>
          <w:szCs w:val="18"/>
          <w:lang w:val="en-US"/>
        </w:rPr>
        <w:t>Khalili L,</w:t>
      </w:r>
      <w:r>
        <w:rPr>
          <w:rFonts w:cs="Times New Roman"/>
          <w:color w:val="0D0D0D" w:themeColor="text1" w:themeTint="F2"/>
          <w:sz w:val="18"/>
          <w:szCs w:val="18"/>
          <w:lang w:val="en-US"/>
        </w:rPr>
        <w:t xml:space="preserve"> </w:t>
      </w:r>
      <w:r w:rsidRPr="003A3895">
        <w:rPr>
          <w:rFonts w:cs="Times New Roman"/>
          <w:color w:val="0D0D0D" w:themeColor="text1" w:themeTint="F2"/>
          <w:sz w:val="18"/>
          <w:szCs w:val="18"/>
          <w:lang w:val="en-US"/>
        </w:rPr>
        <w:t>Tang W,</w:t>
      </w:r>
      <w:r>
        <w:rPr>
          <w:rFonts w:cs="Times New Roman"/>
          <w:color w:val="0D0D0D" w:themeColor="text1" w:themeTint="F2"/>
          <w:sz w:val="18"/>
          <w:szCs w:val="18"/>
          <w:lang w:val="en-US"/>
        </w:rPr>
        <w:t xml:space="preserve"> </w:t>
      </w:r>
      <w:r w:rsidRPr="003A3895">
        <w:rPr>
          <w:rFonts w:cs="Times New Roman"/>
          <w:color w:val="0D0D0D" w:themeColor="text1" w:themeTint="F2"/>
          <w:sz w:val="18"/>
          <w:szCs w:val="18"/>
          <w:lang w:val="en-US"/>
        </w:rPr>
        <w:t>et al. CAR T-cell therapy in SLE: a systematic review. Semin Arthritis Rheum. 2025;74:152786. [PMID:</w:t>
      </w:r>
      <w:r>
        <w:rPr>
          <w:rFonts w:cs="Times New Roman"/>
          <w:color w:val="0D0D0D" w:themeColor="text1" w:themeTint="F2"/>
          <w:sz w:val="18"/>
          <w:szCs w:val="18"/>
          <w:lang w:val="en-US"/>
        </w:rPr>
        <w:t xml:space="preserve"> </w:t>
      </w:r>
      <w:hyperlink r:id="rId155" w:history="1">
        <w:r w:rsidRPr="003A3895">
          <w:rPr>
            <w:rStyle w:val="Hipervnculo"/>
            <w:rFonts w:cs="Times New Roman"/>
            <w:sz w:val="18"/>
            <w:szCs w:val="18"/>
            <w:lang w:val="en-US"/>
          </w:rPr>
          <w:t>40749440</w:t>
        </w:r>
      </w:hyperlink>
      <w:r w:rsidRPr="003A3895">
        <w:rPr>
          <w:rFonts w:cs="Times New Roman"/>
          <w:color w:val="0D0D0D" w:themeColor="text1" w:themeTint="F2"/>
          <w:sz w:val="18"/>
          <w:szCs w:val="18"/>
          <w:lang w:val="en-US"/>
        </w:rPr>
        <w:t xml:space="preserve">] </w:t>
      </w:r>
      <w:proofErr w:type="spellStart"/>
      <w:r w:rsidRPr="003A3895">
        <w:rPr>
          <w:rFonts w:cs="Times New Roman"/>
          <w:color w:val="0D0D0D" w:themeColor="text1" w:themeTint="F2"/>
          <w:sz w:val="18"/>
          <w:szCs w:val="18"/>
          <w:lang w:val="en-US"/>
        </w:rPr>
        <w:t>doi</w:t>
      </w:r>
      <w:proofErr w:type="spellEnd"/>
      <w:r w:rsidRPr="003A3895">
        <w:rPr>
          <w:rFonts w:cs="Times New Roman"/>
          <w:color w:val="0D0D0D" w:themeColor="text1" w:themeTint="F2"/>
          <w:sz w:val="18"/>
          <w:szCs w:val="18"/>
          <w:lang w:val="en-US"/>
        </w:rPr>
        <w:t>:</w:t>
      </w:r>
      <w:r>
        <w:rPr>
          <w:rFonts w:cs="Times New Roman"/>
          <w:color w:val="0D0D0D" w:themeColor="text1" w:themeTint="F2"/>
          <w:sz w:val="18"/>
          <w:szCs w:val="18"/>
          <w:lang w:val="en-US"/>
        </w:rPr>
        <w:t xml:space="preserve"> </w:t>
      </w:r>
      <w:hyperlink r:id="rId156" w:history="1">
        <w:r w:rsidRPr="003A3895">
          <w:rPr>
            <w:rStyle w:val="Hipervnculo"/>
            <w:rFonts w:cs="Times New Roman"/>
            <w:sz w:val="18"/>
            <w:szCs w:val="18"/>
            <w:lang w:val="en-US"/>
          </w:rPr>
          <w:t>10.1016/j.semarthrit.2025.152786</w:t>
        </w:r>
      </w:hyperlink>
    </w:p>
    <w:p w14:paraId="552FAAE5" w14:textId="77777777" w:rsidR="003A775F" w:rsidRPr="003A3895" w:rsidRDefault="003A775F" w:rsidP="003A775F">
      <w:pPr>
        <w:ind w:left="180" w:hanging="180"/>
        <w:rPr>
          <w:rFonts w:cs="Times New Roman"/>
          <w:color w:val="0D0D0D" w:themeColor="text1" w:themeTint="F2"/>
          <w:sz w:val="18"/>
          <w:szCs w:val="18"/>
          <w:lang w:val="en-US"/>
        </w:rPr>
      </w:pPr>
      <w:r w:rsidRPr="004C34FE">
        <w:rPr>
          <w:rFonts w:cs="Times New Roman"/>
          <w:color w:val="0D0D0D" w:themeColor="text1" w:themeTint="F2"/>
          <w:sz w:val="18"/>
          <w:szCs w:val="18"/>
          <w:lang w:val="en-US"/>
        </w:rPr>
        <w:t>5.Greco R,</w:t>
      </w:r>
      <w:r>
        <w:rPr>
          <w:rFonts w:cs="Times New Roman"/>
          <w:color w:val="0D0D0D" w:themeColor="text1" w:themeTint="F2"/>
          <w:sz w:val="18"/>
          <w:szCs w:val="18"/>
          <w:lang w:val="en-US"/>
        </w:rPr>
        <w:t xml:space="preserve"> </w:t>
      </w:r>
      <w:r w:rsidRPr="004C34FE">
        <w:rPr>
          <w:rFonts w:cs="Times New Roman"/>
          <w:color w:val="0D0D0D" w:themeColor="text1" w:themeTint="F2"/>
          <w:sz w:val="18"/>
          <w:szCs w:val="18"/>
          <w:lang w:val="en-US"/>
        </w:rPr>
        <w:t>Alexander T,</w:t>
      </w:r>
      <w:r>
        <w:rPr>
          <w:rFonts w:cs="Times New Roman"/>
          <w:color w:val="0D0D0D" w:themeColor="text1" w:themeTint="F2"/>
          <w:sz w:val="18"/>
          <w:szCs w:val="18"/>
          <w:lang w:val="en-US"/>
        </w:rPr>
        <w:t xml:space="preserve"> </w:t>
      </w:r>
      <w:r w:rsidRPr="004C34FE">
        <w:rPr>
          <w:rFonts w:cs="Times New Roman"/>
          <w:color w:val="0D0D0D" w:themeColor="text1" w:themeTint="F2"/>
          <w:sz w:val="18"/>
          <w:szCs w:val="18"/>
          <w:lang w:val="en-US"/>
        </w:rPr>
        <w:t>Del Papa N,</w:t>
      </w:r>
      <w:r>
        <w:rPr>
          <w:rFonts w:cs="Times New Roman"/>
          <w:color w:val="0D0D0D" w:themeColor="text1" w:themeTint="F2"/>
          <w:sz w:val="18"/>
          <w:szCs w:val="18"/>
          <w:lang w:val="en-US"/>
        </w:rPr>
        <w:t xml:space="preserve"> </w:t>
      </w:r>
      <w:r w:rsidRPr="004C34FE">
        <w:rPr>
          <w:rFonts w:cs="Times New Roman"/>
          <w:color w:val="0D0D0D" w:themeColor="text1" w:themeTint="F2"/>
          <w:sz w:val="18"/>
          <w:szCs w:val="18"/>
          <w:lang w:val="en-US"/>
        </w:rPr>
        <w:t xml:space="preserve">et al. </w:t>
      </w:r>
      <w:r w:rsidRPr="003A3895">
        <w:rPr>
          <w:rFonts w:cs="Times New Roman"/>
          <w:color w:val="0D0D0D" w:themeColor="text1" w:themeTint="F2"/>
          <w:sz w:val="18"/>
          <w:szCs w:val="18"/>
          <w:lang w:val="en-US"/>
        </w:rPr>
        <w:t xml:space="preserve">Innovative cellular therapies for autoimmune diseases: expert-based position statement and clinical practice recommendations from the EBMT Practice Harmonization and Guidelines Committee. </w:t>
      </w:r>
      <w:proofErr w:type="spellStart"/>
      <w:r w:rsidRPr="003A3895">
        <w:rPr>
          <w:rFonts w:cs="Times New Roman"/>
          <w:color w:val="0D0D0D" w:themeColor="text1" w:themeTint="F2"/>
          <w:sz w:val="18"/>
          <w:szCs w:val="18"/>
          <w:lang w:val="en-US"/>
        </w:rPr>
        <w:t>EClinicalMedicine</w:t>
      </w:r>
      <w:proofErr w:type="spellEnd"/>
      <w:r w:rsidRPr="003A3895">
        <w:rPr>
          <w:rFonts w:cs="Times New Roman"/>
          <w:color w:val="0D0D0D" w:themeColor="text1" w:themeTint="F2"/>
          <w:sz w:val="18"/>
          <w:szCs w:val="18"/>
          <w:lang w:val="en-US"/>
        </w:rPr>
        <w:t>. 2024;69:102476. [PMID:</w:t>
      </w:r>
      <w:r>
        <w:rPr>
          <w:rFonts w:cs="Times New Roman"/>
          <w:color w:val="0D0D0D" w:themeColor="text1" w:themeTint="F2"/>
          <w:sz w:val="18"/>
          <w:szCs w:val="18"/>
          <w:lang w:val="en-US"/>
        </w:rPr>
        <w:t xml:space="preserve"> </w:t>
      </w:r>
      <w:hyperlink r:id="rId157" w:history="1">
        <w:r w:rsidRPr="003A3895">
          <w:rPr>
            <w:rStyle w:val="Hipervnculo"/>
            <w:rFonts w:cs="Times New Roman"/>
            <w:sz w:val="18"/>
            <w:szCs w:val="18"/>
            <w:lang w:val="en-US"/>
          </w:rPr>
          <w:t>38361991</w:t>
        </w:r>
      </w:hyperlink>
      <w:r w:rsidRPr="003A3895">
        <w:rPr>
          <w:rFonts w:cs="Times New Roman"/>
          <w:color w:val="0D0D0D" w:themeColor="text1" w:themeTint="F2"/>
          <w:sz w:val="18"/>
          <w:szCs w:val="18"/>
          <w:lang w:val="en-US"/>
        </w:rPr>
        <w:t xml:space="preserve">] </w:t>
      </w:r>
      <w:proofErr w:type="spellStart"/>
      <w:r w:rsidRPr="003A3895">
        <w:rPr>
          <w:rFonts w:cs="Times New Roman"/>
          <w:color w:val="0D0D0D" w:themeColor="text1" w:themeTint="F2"/>
          <w:sz w:val="18"/>
          <w:szCs w:val="18"/>
          <w:lang w:val="en-US"/>
        </w:rPr>
        <w:t>doi</w:t>
      </w:r>
      <w:proofErr w:type="spellEnd"/>
      <w:r w:rsidRPr="003A3895">
        <w:rPr>
          <w:rFonts w:cs="Times New Roman"/>
          <w:color w:val="0D0D0D" w:themeColor="text1" w:themeTint="F2"/>
          <w:sz w:val="18"/>
          <w:szCs w:val="18"/>
          <w:lang w:val="en-US"/>
        </w:rPr>
        <w:t>:</w:t>
      </w:r>
      <w:r>
        <w:rPr>
          <w:rFonts w:cs="Times New Roman"/>
          <w:color w:val="0D0D0D" w:themeColor="text1" w:themeTint="F2"/>
          <w:sz w:val="18"/>
          <w:szCs w:val="18"/>
          <w:lang w:val="en-US"/>
        </w:rPr>
        <w:t xml:space="preserve"> </w:t>
      </w:r>
      <w:hyperlink r:id="rId158" w:history="1">
        <w:r w:rsidRPr="003A3895">
          <w:rPr>
            <w:rStyle w:val="Hipervnculo"/>
            <w:rFonts w:cs="Times New Roman"/>
            <w:sz w:val="18"/>
            <w:szCs w:val="18"/>
            <w:lang w:val="en-US"/>
          </w:rPr>
          <w:t>10.1016/j.eclinm.2024.102476</w:t>
        </w:r>
      </w:hyperlink>
    </w:p>
    <w:p w14:paraId="20BBE4A4" w14:textId="77777777" w:rsidR="003A775F" w:rsidRPr="003A3895" w:rsidRDefault="003A775F" w:rsidP="003A775F">
      <w:pPr>
        <w:ind w:left="180" w:hanging="180"/>
        <w:rPr>
          <w:rFonts w:cs="Times New Roman"/>
          <w:color w:val="0D0D0D" w:themeColor="text1" w:themeTint="F2"/>
          <w:sz w:val="18"/>
          <w:szCs w:val="18"/>
          <w:lang w:val="en-US"/>
        </w:rPr>
      </w:pPr>
      <w:r w:rsidRPr="003A3895">
        <w:rPr>
          <w:rFonts w:cs="Times New Roman"/>
          <w:color w:val="0D0D0D" w:themeColor="text1" w:themeTint="F2"/>
          <w:sz w:val="18"/>
          <w:szCs w:val="18"/>
          <w:lang w:val="en-US"/>
        </w:rPr>
        <w:t xml:space="preserve">6.U.S. Department of Health and Human Services Food and Drug Administration Center for Biologics Evaluation and Research. Long term follow-up after administration of human gene therapy products. Guidance for industry. January 2020. </w:t>
      </w:r>
      <w:r w:rsidRPr="001E6BEB">
        <w:rPr>
          <w:rFonts w:cs="Times New Roman"/>
          <w:color w:val="0D0D0D" w:themeColor="text1" w:themeTint="F2"/>
          <w:sz w:val="18"/>
          <w:szCs w:val="18"/>
          <w:lang w:val="en-US"/>
        </w:rPr>
        <w:t>Disponible en</w:t>
      </w:r>
      <w:r>
        <w:rPr>
          <w:rFonts w:cs="Times New Roman"/>
          <w:color w:val="0D0D0D" w:themeColor="text1" w:themeTint="F2"/>
          <w:sz w:val="18"/>
          <w:szCs w:val="18"/>
          <w:lang w:val="en-US"/>
        </w:rPr>
        <w:t xml:space="preserve">  </w:t>
      </w:r>
      <w:hyperlink r:id="rId159" w:history="1">
        <w:r w:rsidRPr="003A3895">
          <w:rPr>
            <w:rStyle w:val="Hipervnculo"/>
            <w:rFonts w:cs="Times New Roman"/>
            <w:sz w:val="18"/>
            <w:szCs w:val="18"/>
            <w:lang w:val="en-US"/>
          </w:rPr>
          <w:t>www.fda.gov/media/113768/download</w:t>
        </w:r>
      </w:hyperlink>
      <w:r>
        <w:rPr>
          <w:rFonts w:cs="Times New Roman"/>
          <w:color w:val="0D0D0D" w:themeColor="text1" w:themeTint="F2"/>
          <w:sz w:val="18"/>
          <w:szCs w:val="18"/>
          <w:lang w:val="en-US"/>
        </w:rPr>
        <w:t xml:space="preserve"> </w:t>
      </w:r>
    </w:p>
    <w:p w14:paraId="633F2C10" w14:textId="77777777" w:rsidR="003A775F" w:rsidRPr="003A3895" w:rsidRDefault="003A775F" w:rsidP="003A775F">
      <w:pPr>
        <w:ind w:left="180" w:hanging="180"/>
        <w:rPr>
          <w:rFonts w:cs="Times New Roman"/>
          <w:color w:val="0D0D0D" w:themeColor="text1" w:themeTint="F2"/>
          <w:sz w:val="18"/>
          <w:szCs w:val="18"/>
          <w:lang w:val="en-US"/>
        </w:rPr>
      </w:pPr>
      <w:r w:rsidRPr="003A3895">
        <w:rPr>
          <w:rFonts w:cs="Times New Roman"/>
          <w:color w:val="0D0D0D" w:themeColor="text1" w:themeTint="F2"/>
          <w:sz w:val="18"/>
          <w:szCs w:val="18"/>
          <w:lang w:val="en-US"/>
        </w:rPr>
        <w:t xml:space="preserve">7.U.S. Department of Health and Human Services Food and Drug Administration Center for Biologics Evaluation and Research. Considerations for the development of chimeric antigen receptor (CAR) T cell products. Guidance for industry. January 2024. </w:t>
      </w:r>
      <w:r w:rsidRPr="001E6BEB">
        <w:rPr>
          <w:rFonts w:cs="Times New Roman"/>
          <w:color w:val="0D0D0D" w:themeColor="text1" w:themeTint="F2"/>
          <w:sz w:val="18"/>
          <w:szCs w:val="18"/>
          <w:lang w:val="en-US"/>
        </w:rPr>
        <w:t>Disponible en</w:t>
      </w:r>
      <w:r>
        <w:rPr>
          <w:rFonts w:cs="Times New Roman"/>
          <w:color w:val="0D0D0D" w:themeColor="text1" w:themeTint="F2"/>
          <w:sz w:val="18"/>
          <w:szCs w:val="18"/>
          <w:lang w:val="en-US"/>
        </w:rPr>
        <w:t xml:space="preserve"> </w:t>
      </w:r>
      <w:hyperlink r:id="rId160" w:history="1">
        <w:r w:rsidRPr="003A3895">
          <w:rPr>
            <w:rStyle w:val="Hipervnculo"/>
            <w:rFonts w:cs="Times New Roman"/>
            <w:sz w:val="18"/>
            <w:szCs w:val="18"/>
            <w:lang w:val="en-US"/>
          </w:rPr>
          <w:t>www.fda.gov/media/156896/download</w:t>
        </w:r>
      </w:hyperlink>
      <w:r>
        <w:rPr>
          <w:rFonts w:cs="Times New Roman"/>
          <w:color w:val="0D0D0D" w:themeColor="text1" w:themeTint="F2"/>
          <w:sz w:val="18"/>
          <w:szCs w:val="18"/>
          <w:lang w:val="en-US"/>
        </w:rPr>
        <w:t xml:space="preserve"> </w:t>
      </w:r>
    </w:p>
    <w:p w14:paraId="45904890" w14:textId="77777777" w:rsidR="00AB1BEF" w:rsidRDefault="003A775F" w:rsidP="003A775F">
      <w:pPr>
        <w:ind w:left="180" w:hanging="180"/>
        <w:rPr>
          <w:rFonts w:cs="Times New Roman"/>
          <w:color w:val="0D0D0D" w:themeColor="text1" w:themeTint="F2"/>
          <w:sz w:val="18"/>
          <w:szCs w:val="18"/>
        </w:rPr>
        <w:sectPr w:rsidR="00AB1BEF" w:rsidSect="00AB1BEF">
          <w:type w:val="continuous"/>
          <w:pgSz w:w="12240" w:h="15840" w:code="1"/>
          <w:pgMar w:top="720" w:right="720" w:bottom="720" w:left="720" w:header="288" w:footer="288" w:gutter="0"/>
          <w:cols w:num="2" w:space="288"/>
          <w:docGrid w:linePitch="360"/>
        </w:sectPr>
      </w:pPr>
      <w:r w:rsidRPr="003A3895">
        <w:rPr>
          <w:rFonts w:cs="Times New Roman"/>
          <w:color w:val="0D0D0D" w:themeColor="text1" w:themeTint="F2"/>
          <w:sz w:val="18"/>
          <w:szCs w:val="18"/>
          <w:lang w:val="en-US"/>
        </w:rPr>
        <w:t xml:space="preserve">8.U.S. Food and Drug Administration. FDA eliminates Risk Evaluation and Mitigation Strategies (REMS) for autologous chimeric antigen receptor CAR T cell immunotherapies. </w:t>
      </w:r>
      <w:r w:rsidRPr="001E6BEB">
        <w:rPr>
          <w:rFonts w:cs="Times New Roman"/>
          <w:color w:val="0D0D0D" w:themeColor="text1" w:themeTint="F2"/>
          <w:sz w:val="18"/>
          <w:szCs w:val="18"/>
        </w:rPr>
        <w:t xml:space="preserve">27 June 2025. </w:t>
      </w:r>
      <w:r w:rsidRPr="00722C56">
        <w:rPr>
          <w:rFonts w:cs="Times New Roman"/>
          <w:color w:val="0D0D0D" w:themeColor="text1" w:themeTint="F2"/>
          <w:sz w:val="18"/>
          <w:szCs w:val="18"/>
        </w:rPr>
        <w:t xml:space="preserve">Disponible </w:t>
      </w:r>
      <w:r>
        <w:rPr>
          <w:rFonts w:cs="Times New Roman"/>
          <w:color w:val="0D0D0D" w:themeColor="text1" w:themeTint="F2"/>
          <w:sz w:val="18"/>
          <w:szCs w:val="18"/>
        </w:rPr>
        <w:t xml:space="preserve">en </w:t>
      </w:r>
      <w:hyperlink r:id="rId161" w:history="1">
        <w:r w:rsidRPr="00722C56">
          <w:rPr>
            <w:rStyle w:val="Hipervnculo"/>
            <w:rFonts w:cs="Times New Roman"/>
            <w:sz w:val="18"/>
            <w:szCs w:val="18"/>
          </w:rPr>
          <w:t>www.fda.gov/news-events/press-announcements/fda-eliminates-risk-evaluation-and-mitigation-strategies-rems-autologous-chimeric-antigen-receptor</w:t>
        </w:r>
      </w:hyperlink>
      <w:r>
        <w:rPr>
          <w:rFonts w:cs="Times New Roman"/>
          <w:color w:val="0D0D0D" w:themeColor="text1" w:themeTint="F2"/>
          <w:sz w:val="18"/>
          <w:szCs w:val="18"/>
        </w:rPr>
        <w:t xml:space="preserve"> </w:t>
      </w:r>
    </w:p>
    <w:p w14:paraId="081D1DB8" w14:textId="77777777" w:rsidR="003A775F" w:rsidRDefault="003A775F" w:rsidP="00AB1BEF">
      <w:pPr>
        <w:rPr>
          <w:rFonts w:eastAsia="Times New Roman" w:cs="Times New Roman"/>
          <w:color w:val="0D0D0D" w:themeColor="text1" w:themeTint="F2"/>
          <w:szCs w:val="20"/>
        </w:rPr>
      </w:pPr>
    </w:p>
    <w:p w14:paraId="70D3EBF2" w14:textId="77777777" w:rsidR="003A775F" w:rsidRDefault="003A775F" w:rsidP="003A775F">
      <w:pPr>
        <w:jc w:val="center"/>
        <w:rPr>
          <w:rFonts w:eastAsia="Times New Roman" w:cs="Times New Roman"/>
          <w:color w:val="0D0D0D" w:themeColor="text1" w:themeTint="F2"/>
          <w:szCs w:val="20"/>
        </w:rPr>
      </w:pPr>
    </w:p>
    <w:p w14:paraId="0C0DE698" w14:textId="6009BE3C" w:rsidR="003A775F" w:rsidRDefault="003A775F" w:rsidP="003A775F">
      <w:pPr>
        <w:jc w:val="center"/>
        <w:rPr>
          <w:rFonts w:eastAsia="Times New Roman" w:cs="Times New Roman"/>
          <w:color w:val="0D0D0D" w:themeColor="text1" w:themeTint="F2"/>
          <w:szCs w:val="20"/>
        </w:rPr>
      </w:pPr>
      <w:r>
        <w:rPr>
          <w:rFonts w:eastAsia="Times New Roman" w:cs="Times New Roman"/>
          <w:color w:val="0D0D0D" w:themeColor="text1" w:themeTint="F2"/>
          <w:szCs w:val="20"/>
        </w:rPr>
        <w:t xml:space="preserve">EE UU. </w:t>
      </w:r>
      <w:r w:rsidRPr="00EA71DA">
        <w:rPr>
          <w:rFonts w:eastAsia="Times New Roman" w:cs="Times New Roman"/>
          <w:b/>
          <w:bCs/>
          <w:color w:val="0D0D0D" w:themeColor="text1" w:themeTint="F2"/>
          <w:szCs w:val="20"/>
        </w:rPr>
        <w:t>La FDA autoriza la importación de fármacos más baratos desde Canadá</w:t>
      </w:r>
    </w:p>
    <w:p w14:paraId="0C53FEA8" w14:textId="77777777" w:rsidR="003A775F" w:rsidRDefault="003A775F" w:rsidP="003A775F">
      <w:pPr>
        <w:jc w:val="center"/>
        <w:rPr>
          <w:rFonts w:eastAsia="Times New Roman" w:cs="Times New Roman"/>
          <w:color w:val="0D0D0D" w:themeColor="text1" w:themeTint="F2"/>
          <w:szCs w:val="20"/>
        </w:rPr>
      </w:pPr>
      <w:r>
        <w:rPr>
          <w:rFonts w:eastAsia="Times New Roman" w:cs="Times New Roman"/>
          <w:color w:val="0D0D0D" w:themeColor="text1" w:themeTint="F2"/>
          <w:szCs w:val="20"/>
        </w:rPr>
        <w:t>Salud y Fármacos</w:t>
      </w:r>
    </w:p>
    <w:p w14:paraId="0D5D37AB" w14:textId="77777777" w:rsidR="003A775F" w:rsidRDefault="003A775F" w:rsidP="003A775F">
      <w:pPr>
        <w:jc w:val="center"/>
        <w:rPr>
          <w:i/>
          <w:iCs/>
          <w:szCs w:val="20"/>
        </w:rPr>
      </w:pPr>
      <w:r w:rsidRPr="00CA5ACC">
        <w:rPr>
          <w:rFonts w:cs="Times New Roman"/>
          <w:i/>
          <w:iCs/>
          <w:szCs w:val="20"/>
        </w:rPr>
        <w:t>Boletín Fármacos:</w:t>
      </w:r>
      <w:r>
        <w:rPr>
          <w:rFonts w:cs="Times New Roman"/>
          <w:i/>
          <w:iCs/>
          <w:szCs w:val="20"/>
        </w:rPr>
        <w:t xml:space="preserve"> </w:t>
      </w:r>
      <w:r>
        <w:rPr>
          <w:i/>
          <w:iCs/>
          <w:szCs w:val="20"/>
        </w:rPr>
        <w:t>Agen</w:t>
      </w:r>
      <w:r w:rsidRPr="001900D6">
        <w:rPr>
          <w:i/>
          <w:iCs/>
          <w:szCs w:val="20"/>
        </w:rPr>
        <w:t xml:space="preserve">cias </w:t>
      </w:r>
      <w:r>
        <w:rPr>
          <w:i/>
          <w:iCs/>
          <w:szCs w:val="20"/>
        </w:rPr>
        <w:t>Reguladoras</w:t>
      </w:r>
      <w:r w:rsidRPr="001900D6">
        <w:rPr>
          <w:i/>
          <w:iCs/>
          <w:szCs w:val="20"/>
        </w:rPr>
        <w:t xml:space="preserve"> 2026; 29(</w:t>
      </w:r>
      <w:r>
        <w:rPr>
          <w:i/>
          <w:iCs/>
          <w:szCs w:val="20"/>
        </w:rPr>
        <w:t>3</w:t>
      </w:r>
      <w:r w:rsidRPr="001900D6">
        <w:rPr>
          <w:i/>
          <w:iCs/>
          <w:szCs w:val="20"/>
        </w:rPr>
        <w:t>)</w:t>
      </w:r>
    </w:p>
    <w:p w14:paraId="4C2D5D48" w14:textId="77777777" w:rsidR="003A775F" w:rsidRDefault="003A775F" w:rsidP="003A775F">
      <w:pPr>
        <w:jc w:val="center"/>
        <w:rPr>
          <w:rFonts w:eastAsia="Times New Roman" w:cs="Times New Roman"/>
          <w:color w:val="0D0D0D" w:themeColor="text1" w:themeTint="F2"/>
          <w:szCs w:val="20"/>
        </w:rPr>
      </w:pPr>
    </w:p>
    <w:p w14:paraId="6D22B5CE" w14:textId="77777777" w:rsidR="00AB1BEF" w:rsidRDefault="00AB1BEF" w:rsidP="003A775F">
      <w:pPr>
        <w:rPr>
          <w:rFonts w:eastAsia="Times New Roman" w:cs="Times New Roman"/>
          <w:b/>
          <w:bCs/>
          <w:color w:val="0D0D0D" w:themeColor="text1" w:themeTint="F2"/>
          <w:sz w:val="18"/>
          <w:szCs w:val="18"/>
        </w:rPr>
        <w:sectPr w:rsidR="00AB1BEF" w:rsidSect="00F25512">
          <w:type w:val="continuous"/>
          <w:pgSz w:w="12240" w:h="15840" w:code="1"/>
          <w:pgMar w:top="720" w:right="720" w:bottom="720" w:left="720" w:header="288" w:footer="288" w:gutter="0"/>
          <w:cols w:space="288"/>
          <w:docGrid w:linePitch="360"/>
        </w:sectPr>
      </w:pPr>
    </w:p>
    <w:p w14:paraId="03607BE9" w14:textId="4B3C8E0F" w:rsidR="003A775F" w:rsidRPr="00460AC2" w:rsidRDefault="003A775F" w:rsidP="003A775F">
      <w:pPr>
        <w:rPr>
          <w:rFonts w:eastAsia="Times New Roman" w:cs="Times New Roman"/>
          <w:b/>
          <w:bCs/>
          <w:color w:val="0D0D0D" w:themeColor="text1" w:themeTint="F2"/>
          <w:sz w:val="18"/>
          <w:szCs w:val="18"/>
        </w:rPr>
      </w:pPr>
      <w:r w:rsidRPr="00460AC2">
        <w:rPr>
          <w:rFonts w:eastAsia="Times New Roman" w:cs="Times New Roman"/>
          <w:b/>
          <w:bCs/>
          <w:color w:val="0D0D0D" w:themeColor="text1" w:themeTint="F2"/>
          <w:sz w:val="18"/>
          <w:szCs w:val="18"/>
        </w:rPr>
        <w:t>Tags: importe de fármacos, precio de medicamentos, industria canadiense, acceso en Florida, precios en Colorado</w:t>
      </w:r>
    </w:p>
    <w:p w14:paraId="277E4A93" w14:textId="77777777" w:rsidR="003A775F" w:rsidRPr="00E315D1" w:rsidRDefault="003A775F" w:rsidP="003A775F">
      <w:pPr>
        <w:rPr>
          <w:rFonts w:eastAsia="Times New Roman" w:cs="Times New Roman"/>
          <w:color w:val="0D0D0D" w:themeColor="text1" w:themeTint="F2"/>
          <w:szCs w:val="20"/>
        </w:rPr>
      </w:pPr>
    </w:p>
    <w:p w14:paraId="32FFB455" w14:textId="77777777" w:rsidR="003A775F" w:rsidRDefault="003A775F" w:rsidP="003A775F">
      <w:pPr>
        <w:rPr>
          <w:rFonts w:eastAsia="Times New Roman" w:cs="Times New Roman"/>
          <w:color w:val="0D0D0D" w:themeColor="text1" w:themeTint="F2"/>
          <w:szCs w:val="20"/>
        </w:rPr>
      </w:pPr>
      <w:r>
        <w:rPr>
          <w:rFonts w:eastAsia="Times New Roman" w:cs="Times New Roman"/>
          <w:color w:val="0D0D0D" w:themeColor="text1" w:themeTint="F2"/>
          <w:szCs w:val="20"/>
        </w:rPr>
        <w:t xml:space="preserve">Los estadounidenses llevan más de dos décadas tratando de legalizar la importación de medicamentos canadienses </w:t>
      </w:r>
      <w:r w:rsidRPr="00E315D1">
        <w:rPr>
          <w:rFonts w:eastAsia="Times New Roman" w:cs="Times New Roman"/>
          <w:color w:val="0D0D0D" w:themeColor="text1" w:themeTint="F2"/>
          <w:szCs w:val="20"/>
        </w:rPr>
        <w:t xml:space="preserve">para </w:t>
      </w:r>
      <w:r>
        <w:rPr>
          <w:rFonts w:eastAsia="Times New Roman" w:cs="Times New Roman"/>
          <w:color w:val="0D0D0D" w:themeColor="text1" w:themeTint="F2"/>
          <w:szCs w:val="20"/>
        </w:rPr>
        <w:t>disminuir el gasto de bolsillo en medicamentos. S</w:t>
      </w:r>
      <w:r w:rsidRPr="00E315D1">
        <w:rPr>
          <w:rFonts w:eastAsia="Times New Roman" w:cs="Times New Roman"/>
          <w:color w:val="0D0D0D" w:themeColor="text1" w:themeTint="F2"/>
          <w:szCs w:val="20"/>
        </w:rPr>
        <w:t xml:space="preserve">in embargo, </w:t>
      </w:r>
      <w:r>
        <w:rPr>
          <w:rFonts w:eastAsia="Times New Roman" w:cs="Times New Roman"/>
          <w:color w:val="0D0D0D" w:themeColor="text1" w:themeTint="F2"/>
          <w:szCs w:val="20"/>
        </w:rPr>
        <w:t>la regulación que permite que los estados y los grupos indígenas importen medicamentos de Canadá no se aprobó hasta</w:t>
      </w:r>
      <w:r w:rsidRPr="00E315D1">
        <w:rPr>
          <w:rFonts w:eastAsia="Times New Roman" w:cs="Times New Roman"/>
          <w:color w:val="0D0D0D" w:themeColor="text1" w:themeTint="F2"/>
          <w:szCs w:val="20"/>
        </w:rPr>
        <w:t xml:space="preserve"> 2020. La administración Biden ratificó esta norma mediante una orden ejecutiva en 2021</w:t>
      </w:r>
      <w:r>
        <w:rPr>
          <w:rFonts w:eastAsia="Times New Roman" w:cs="Times New Roman"/>
          <w:color w:val="0D0D0D" w:themeColor="text1" w:themeTint="F2"/>
          <w:szCs w:val="20"/>
        </w:rPr>
        <w:t>.</w:t>
      </w:r>
      <w:r w:rsidRPr="00E315D1">
        <w:rPr>
          <w:rFonts w:eastAsia="Times New Roman" w:cs="Times New Roman"/>
          <w:color w:val="0D0D0D" w:themeColor="text1" w:themeTint="F2"/>
          <w:szCs w:val="20"/>
        </w:rPr>
        <w:t xml:space="preserve"> </w:t>
      </w:r>
    </w:p>
    <w:p w14:paraId="16B5ECEF" w14:textId="77777777" w:rsidR="003A775F" w:rsidRDefault="003A775F" w:rsidP="003A775F">
      <w:pPr>
        <w:rPr>
          <w:rFonts w:eastAsia="Times New Roman" w:cs="Times New Roman"/>
          <w:color w:val="0D0D0D" w:themeColor="text1" w:themeTint="F2"/>
          <w:szCs w:val="20"/>
        </w:rPr>
      </w:pPr>
    </w:p>
    <w:p w14:paraId="5C4F4E4F" w14:textId="77777777" w:rsidR="003A775F" w:rsidRDefault="003A775F" w:rsidP="003A775F">
      <w:pPr>
        <w:rPr>
          <w:rFonts w:eastAsia="Times New Roman" w:cs="Times New Roman"/>
          <w:color w:val="0D0D0D" w:themeColor="text1" w:themeTint="F2"/>
          <w:szCs w:val="20"/>
        </w:rPr>
      </w:pPr>
      <w:r>
        <w:rPr>
          <w:rFonts w:eastAsia="Times New Roman" w:cs="Times New Roman"/>
          <w:color w:val="0D0D0D" w:themeColor="text1" w:themeTint="F2"/>
          <w:szCs w:val="20"/>
        </w:rPr>
        <w:t>En 2024, la FDA autorizó a la Florida,</w:t>
      </w:r>
      <w:r w:rsidRPr="00E315D1">
        <w:rPr>
          <w:rFonts w:eastAsia="Times New Roman" w:cs="Times New Roman"/>
          <w:color w:val="0D0D0D" w:themeColor="text1" w:themeTint="F2"/>
          <w:szCs w:val="20"/>
        </w:rPr>
        <w:t xml:space="preserve"> </w:t>
      </w:r>
      <w:r>
        <w:rPr>
          <w:rFonts w:eastAsia="Times New Roman" w:cs="Times New Roman"/>
          <w:color w:val="0D0D0D" w:themeColor="text1" w:themeTint="F2"/>
          <w:szCs w:val="20"/>
        </w:rPr>
        <w:t xml:space="preserve">pero hasta ahora no ha </w:t>
      </w:r>
      <w:r w:rsidRPr="00E315D1">
        <w:rPr>
          <w:rFonts w:eastAsia="Times New Roman" w:cs="Times New Roman"/>
          <w:color w:val="0D0D0D" w:themeColor="text1" w:themeTint="F2"/>
          <w:szCs w:val="20"/>
        </w:rPr>
        <w:t>comenzado a importar medicamentos</w:t>
      </w:r>
      <w:r>
        <w:rPr>
          <w:rFonts w:eastAsia="Times New Roman" w:cs="Times New Roman"/>
          <w:color w:val="0D0D0D" w:themeColor="text1" w:themeTint="F2"/>
          <w:szCs w:val="20"/>
        </w:rPr>
        <w:t xml:space="preserve"> </w:t>
      </w:r>
      <w:r w:rsidRPr="00E315D1">
        <w:rPr>
          <w:rFonts w:eastAsia="Times New Roman" w:cs="Times New Roman"/>
          <w:color w:val="0D0D0D" w:themeColor="text1" w:themeTint="F2"/>
          <w:szCs w:val="20"/>
        </w:rPr>
        <w:t xml:space="preserve">de Canadá, debido a la oposición de la industria farmacéutica canadiense y al temor de que el programa afecte el suministro de medicamentos </w:t>
      </w:r>
      <w:r>
        <w:rPr>
          <w:rFonts w:eastAsia="Times New Roman" w:cs="Times New Roman"/>
          <w:color w:val="0D0D0D" w:themeColor="text1" w:themeTint="F2"/>
          <w:szCs w:val="20"/>
        </w:rPr>
        <w:t>a</w:t>
      </w:r>
      <w:r w:rsidRPr="00E315D1">
        <w:rPr>
          <w:rFonts w:eastAsia="Times New Roman" w:cs="Times New Roman"/>
          <w:color w:val="0D0D0D" w:themeColor="text1" w:themeTint="F2"/>
          <w:szCs w:val="20"/>
        </w:rPr>
        <w:t xml:space="preserve"> Canadá.</w:t>
      </w:r>
      <w:r>
        <w:rPr>
          <w:rFonts w:eastAsia="Times New Roman" w:cs="Times New Roman"/>
          <w:color w:val="0D0D0D" w:themeColor="text1" w:themeTint="F2"/>
          <w:szCs w:val="20"/>
        </w:rPr>
        <w:t xml:space="preserve"> </w:t>
      </w:r>
      <w:r w:rsidRPr="00E315D1">
        <w:rPr>
          <w:rFonts w:eastAsia="Times New Roman" w:cs="Times New Roman"/>
          <w:color w:val="0D0D0D" w:themeColor="text1" w:themeTint="F2"/>
          <w:szCs w:val="20"/>
        </w:rPr>
        <w:t>En mayo</w:t>
      </w:r>
      <w:r>
        <w:rPr>
          <w:rFonts w:eastAsia="Times New Roman" w:cs="Times New Roman"/>
          <w:color w:val="0D0D0D" w:themeColor="text1" w:themeTint="F2"/>
          <w:szCs w:val="20"/>
        </w:rPr>
        <w:t xml:space="preserve"> de 2026</w:t>
      </w:r>
      <w:r w:rsidRPr="00E315D1">
        <w:rPr>
          <w:rFonts w:eastAsia="Times New Roman" w:cs="Times New Roman"/>
          <w:color w:val="0D0D0D" w:themeColor="text1" w:themeTint="F2"/>
          <w:szCs w:val="20"/>
        </w:rPr>
        <w:t xml:space="preserve">, la FDA extendió </w:t>
      </w:r>
      <w:r>
        <w:rPr>
          <w:rFonts w:eastAsia="Times New Roman" w:cs="Times New Roman"/>
          <w:color w:val="0D0D0D" w:themeColor="text1" w:themeTint="F2"/>
          <w:szCs w:val="20"/>
        </w:rPr>
        <w:t>la</w:t>
      </w:r>
      <w:r w:rsidRPr="00E315D1">
        <w:rPr>
          <w:rFonts w:eastAsia="Times New Roman" w:cs="Times New Roman"/>
          <w:color w:val="0D0D0D" w:themeColor="text1" w:themeTint="F2"/>
          <w:szCs w:val="20"/>
        </w:rPr>
        <w:t xml:space="preserve"> aprobación </w:t>
      </w:r>
      <w:r>
        <w:rPr>
          <w:rFonts w:eastAsia="Times New Roman" w:cs="Times New Roman"/>
          <w:color w:val="0D0D0D" w:themeColor="text1" w:themeTint="F2"/>
          <w:szCs w:val="20"/>
        </w:rPr>
        <w:t>durante</w:t>
      </w:r>
      <w:r w:rsidRPr="00E315D1">
        <w:rPr>
          <w:rFonts w:eastAsia="Times New Roman" w:cs="Times New Roman"/>
          <w:color w:val="0D0D0D" w:themeColor="text1" w:themeTint="F2"/>
          <w:szCs w:val="20"/>
        </w:rPr>
        <w:t xml:space="preserve"> seis </w:t>
      </w:r>
      <w:r w:rsidRPr="00E315D1">
        <w:rPr>
          <w:rFonts w:eastAsia="Times New Roman" w:cs="Times New Roman"/>
          <w:color w:val="0D0D0D" w:themeColor="text1" w:themeTint="F2"/>
          <w:szCs w:val="20"/>
        </w:rPr>
        <w:t xml:space="preserve">meses </w:t>
      </w:r>
      <w:r>
        <w:rPr>
          <w:rFonts w:eastAsia="Times New Roman" w:cs="Times New Roman"/>
          <w:color w:val="0D0D0D" w:themeColor="text1" w:themeTint="F2"/>
          <w:szCs w:val="20"/>
        </w:rPr>
        <w:t xml:space="preserve">adicionales, </w:t>
      </w:r>
      <w:r w:rsidRPr="00E315D1">
        <w:rPr>
          <w:rFonts w:eastAsia="Times New Roman" w:cs="Times New Roman"/>
          <w:color w:val="0D0D0D" w:themeColor="text1" w:themeTint="F2"/>
          <w:szCs w:val="20"/>
        </w:rPr>
        <w:t xml:space="preserve">para darle al </w:t>
      </w:r>
      <w:r>
        <w:rPr>
          <w:rFonts w:eastAsia="Times New Roman" w:cs="Times New Roman"/>
          <w:color w:val="0D0D0D" w:themeColor="text1" w:themeTint="F2"/>
          <w:szCs w:val="20"/>
        </w:rPr>
        <w:t>e</w:t>
      </w:r>
      <w:r w:rsidRPr="00E315D1">
        <w:rPr>
          <w:rFonts w:eastAsia="Times New Roman" w:cs="Times New Roman"/>
          <w:color w:val="0D0D0D" w:themeColor="text1" w:themeTint="F2"/>
          <w:szCs w:val="20"/>
        </w:rPr>
        <w:t>stado más tiempo para poner en marcha el programa.</w:t>
      </w:r>
    </w:p>
    <w:p w14:paraId="697C2375" w14:textId="77777777" w:rsidR="003A775F" w:rsidRDefault="003A775F" w:rsidP="003A775F">
      <w:pPr>
        <w:rPr>
          <w:rFonts w:eastAsia="Times New Roman" w:cs="Times New Roman"/>
          <w:color w:val="0D0D0D" w:themeColor="text1" w:themeTint="F2"/>
          <w:szCs w:val="20"/>
        </w:rPr>
      </w:pPr>
    </w:p>
    <w:p w14:paraId="5A693BE2" w14:textId="77777777" w:rsidR="003A775F" w:rsidRDefault="003A775F" w:rsidP="003A775F">
      <w:pPr>
        <w:rPr>
          <w:rFonts w:eastAsia="Times New Roman" w:cs="Times New Roman"/>
          <w:color w:val="0D0D0D" w:themeColor="text1" w:themeTint="F2"/>
          <w:szCs w:val="20"/>
        </w:rPr>
      </w:pPr>
      <w:proofErr w:type="spellStart"/>
      <w:r>
        <w:rPr>
          <w:rFonts w:eastAsia="Times New Roman" w:cs="Times New Roman"/>
          <w:color w:val="0D0D0D" w:themeColor="text1" w:themeTint="F2"/>
          <w:szCs w:val="20"/>
        </w:rPr>
        <w:t>Receintemente</w:t>
      </w:r>
      <w:proofErr w:type="spellEnd"/>
      <w:r>
        <w:rPr>
          <w:rFonts w:eastAsia="Times New Roman" w:cs="Times New Roman"/>
          <w:color w:val="0D0D0D" w:themeColor="text1" w:themeTint="F2"/>
          <w:szCs w:val="20"/>
        </w:rPr>
        <w:t xml:space="preserve">, la FDA autorizó al estado de Colorado a importar medicamentos de Canadá. Colorado es el segundo estado en obtener tal aprobación. </w:t>
      </w:r>
    </w:p>
    <w:p w14:paraId="122B3B06" w14:textId="77777777" w:rsidR="003A775F" w:rsidRDefault="003A775F" w:rsidP="003A775F">
      <w:pPr>
        <w:rPr>
          <w:rFonts w:eastAsia="Times New Roman" w:cs="Times New Roman"/>
          <w:color w:val="0D0D0D" w:themeColor="text1" w:themeTint="F2"/>
          <w:szCs w:val="20"/>
        </w:rPr>
      </w:pPr>
    </w:p>
    <w:p w14:paraId="1F841A91" w14:textId="77777777" w:rsidR="003A775F" w:rsidRDefault="003A775F" w:rsidP="003A775F">
      <w:pPr>
        <w:rPr>
          <w:rFonts w:eastAsia="Times New Roman" w:cs="Times New Roman"/>
          <w:color w:val="0D0D0D" w:themeColor="text1" w:themeTint="F2"/>
          <w:szCs w:val="20"/>
        </w:rPr>
      </w:pPr>
      <w:r>
        <w:rPr>
          <w:rFonts w:eastAsia="Times New Roman" w:cs="Times New Roman"/>
          <w:color w:val="0D0D0D" w:themeColor="text1" w:themeTint="F2"/>
          <w:szCs w:val="20"/>
        </w:rPr>
        <w:t>L</w:t>
      </w:r>
      <w:r w:rsidRPr="00E315D1">
        <w:rPr>
          <w:rFonts w:eastAsia="Times New Roman" w:cs="Times New Roman"/>
          <w:color w:val="0D0D0D" w:themeColor="text1" w:themeTint="F2"/>
          <w:szCs w:val="20"/>
        </w:rPr>
        <w:t>os programas estatales de importación han demostrado ser extremadamente difíciles de implementar, incluso c</w:t>
      </w:r>
      <w:r>
        <w:rPr>
          <w:rFonts w:eastAsia="Times New Roman" w:cs="Times New Roman"/>
          <w:color w:val="0D0D0D" w:themeColor="text1" w:themeTint="F2"/>
          <w:szCs w:val="20"/>
        </w:rPr>
        <w:t>uando hay</w:t>
      </w:r>
      <w:r w:rsidRPr="00E315D1">
        <w:rPr>
          <w:rFonts w:eastAsia="Times New Roman" w:cs="Times New Roman"/>
          <w:color w:val="0D0D0D" w:themeColor="text1" w:themeTint="F2"/>
          <w:szCs w:val="20"/>
        </w:rPr>
        <w:t xml:space="preserve"> apoyo bipartidista. </w:t>
      </w:r>
    </w:p>
    <w:p w14:paraId="29FBE7CC" w14:textId="77777777" w:rsidR="003A775F" w:rsidRDefault="003A775F" w:rsidP="003A775F">
      <w:pPr>
        <w:rPr>
          <w:rFonts w:eastAsia="Times New Roman" w:cs="Times New Roman"/>
          <w:color w:val="0D0D0D" w:themeColor="text1" w:themeTint="F2"/>
          <w:szCs w:val="20"/>
        </w:rPr>
      </w:pPr>
    </w:p>
    <w:p w14:paraId="3FF83CA6" w14:textId="77777777" w:rsidR="003A775F" w:rsidRPr="00231582" w:rsidRDefault="003A775F" w:rsidP="003A775F">
      <w:pPr>
        <w:rPr>
          <w:rFonts w:eastAsia="Times New Roman" w:cs="Times New Roman"/>
          <w:b/>
          <w:bCs/>
          <w:color w:val="0D0D0D" w:themeColor="text1" w:themeTint="F2"/>
          <w:sz w:val="18"/>
          <w:szCs w:val="18"/>
        </w:rPr>
      </w:pPr>
      <w:r w:rsidRPr="00231582">
        <w:rPr>
          <w:rFonts w:eastAsia="Times New Roman" w:cs="Times New Roman"/>
          <w:b/>
          <w:bCs/>
          <w:color w:val="0D0D0D" w:themeColor="text1" w:themeTint="F2"/>
          <w:sz w:val="18"/>
          <w:szCs w:val="18"/>
        </w:rPr>
        <w:t>Fuente Original:</w:t>
      </w:r>
    </w:p>
    <w:p w14:paraId="23DC5D04" w14:textId="313B8758" w:rsidR="003A775F" w:rsidRDefault="003A775F" w:rsidP="003A775F">
      <w:pPr>
        <w:rPr>
          <w:rFonts w:eastAsia="Times New Roman" w:cs="Times New Roman"/>
          <w:color w:val="0D0D0D" w:themeColor="text1" w:themeTint="F2"/>
          <w:szCs w:val="20"/>
        </w:rPr>
      </w:pPr>
      <w:r w:rsidRPr="00231582">
        <w:rPr>
          <w:rFonts w:eastAsia="Times New Roman" w:cs="Times New Roman"/>
          <w:color w:val="0D0D0D" w:themeColor="text1" w:themeTint="F2"/>
          <w:sz w:val="18"/>
          <w:szCs w:val="18"/>
        </w:rPr>
        <w:t xml:space="preserve">1.Lawrence L y Silverman E. FDA </w:t>
      </w:r>
      <w:proofErr w:type="spellStart"/>
      <w:r w:rsidRPr="00231582">
        <w:rPr>
          <w:rFonts w:eastAsia="Times New Roman" w:cs="Times New Roman"/>
          <w:color w:val="0D0D0D" w:themeColor="text1" w:themeTint="F2"/>
          <w:sz w:val="18"/>
          <w:szCs w:val="18"/>
        </w:rPr>
        <w:t>approves</w:t>
      </w:r>
      <w:proofErr w:type="spellEnd"/>
      <w:r w:rsidRPr="00231582">
        <w:rPr>
          <w:rFonts w:eastAsia="Times New Roman" w:cs="Times New Roman"/>
          <w:color w:val="0D0D0D" w:themeColor="text1" w:themeTint="F2"/>
          <w:sz w:val="18"/>
          <w:szCs w:val="18"/>
        </w:rPr>
        <w:t xml:space="preserve"> </w:t>
      </w:r>
      <w:proofErr w:type="spellStart"/>
      <w:r w:rsidRPr="00231582">
        <w:rPr>
          <w:rFonts w:eastAsia="Times New Roman" w:cs="Times New Roman"/>
          <w:color w:val="0D0D0D" w:themeColor="text1" w:themeTint="F2"/>
          <w:sz w:val="18"/>
          <w:szCs w:val="18"/>
        </w:rPr>
        <w:t>Colorado’s</w:t>
      </w:r>
      <w:proofErr w:type="spellEnd"/>
      <w:r w:rsidRPr="00231582">
        <w:rPr>
          <w:rFonts w:eastAsia="Times New Roman" w:cs="Times New Roman"/>
          <w:color w:val="0D0D0D" w:themeColor="text1" w:themeTint="F2"/>
          <w:sz w:val="18"/>
          <w:szCs w:val="18"/>
        </w:rPr>
        <w:t xml:space="preserve"> plan </w:t>
      </w:r>
      <w:proofErr w:type="spellStart"/>
      <w:r w:rsidRPr="00231582">
        <w:rPr>
          <w:rFonts w:eastAsia="Times New Roman" w:cs="Times New Roman"/>
          <w:color w:val="0D0D0D" w:themeColor="text1" w:themeTint="F2"/>
          <w:sz w:val="18"/>
          <w:szCs w:val="18"/>
        </w:rPr>
        <w:t>to</w:t>
      </w:r>
      <w:proofErr w:type="spellEnd"/>
      <w:r w:rsidRPr="00231582">
        <w:rPr>
          <w:rFonts w:eastAsia="Times New Roman" w:cs="Times New Roman"/>
          <w:color w:val="0D0D0D" w:themeColor="text1" w:themeTint="F2"/>
          <w:sz w:val="18"/>
          <w:szCs w:val="18"/>
        </w:rPr>
        <w:t xml:space="preserve"> </w:t>
      </w:r>
      <w:proofErr w:type="spellStart"/>
      <w:r w:rsidRPr="00231582">
        <w:rPr>
          <w:rFonts w:eastAsia="Times New Roman" w:cs="Times New Roman"/>
          <w:color w:val="0D0D0D" w:themeColor="text1" w:themeTint="F2"/>
          <w:sz w:val="18"/>
          <w:szCs w:val="18"/>
        </w:rPr>
        <w:t>import</w:t>
      </w:r>
      <w:proofErr w:type="spellEnd"/>
      <w:r w:rsidRPr="00231582">
        <w:rPr>
          <w:rFonts w:eastAsia="Times New Roman" w:cs="Times New Roman"/>
          <w:color w:val="0D0D0D" w:themeColor="text1" w:themeTint="F2"/>
          <w:sz w:val="18"/>
          <w:szCs w:val="18"/>
        </w:rPr>
        <w:t xml:space="preserve"> </w:t>
      </w:r>
      <w:proofErr w:type="spellStart"/>
      <w:r w:rsidRPr="00231582">
        <w:rPr>
          <w:rFonts w:eastAsia="Times New Roman" w:cs="Times New Roman"/>
          <w:color w:val="0D0D0D" w:themeColor="text1" w:themeTint="F2"/>
          <w:sz w:val="18"/>
          <w:szCs w:val="18"/>
        </w:rPr>
        <w:t>cheaper</w:t>
      </w:r>
      <w:proofErr w:type="spellEnd"/>
      <w:r w:rsidRPr="00231582">
        <w:rPr>
          <w:rFonts w:eastAsia="Times New Roman" w:cs="Times New Roman"/>
          <w:color w:val="0D0D0D" w:themeColor="text1" w:themeTint="F2"/>
          <w:sz w:val="18"/>
          <w:szCs w:val="18"/>
        </w:rPr>
        <w:t xml:space="preserve"> </w:t>
      </w:r>
      <w:proofErr w:type="spellStart"/>
      <w:r w:rsidRPr="00231582">
        <w:rPr>
          <w:rFonts w:eastAsia="Times New Roman" w:cs="Times New Roman"/>
          <w:color w:val="0D0D0D" w:themeColor="text1" w:themeTint="F2"/>
          <w:sz w:val="18"/>
          <w:szCs w:val="18"/>
        </w:rPr>
        <w:t>drugs</w:t>
      </w:r>
      <w:proofErr w:type="spellEnd"/>
      <w:r w:rsidRPr="00231582">
        <w:rPr>
          <w:rFonts w:eastAsia="Times New Roman" w:cs="Times New Roman"/>
          <w:color w:val="0D0D0D" w:themeColor="text1" w:themeTint="F2"/>
          <w:sz w:val="18"/>
          <w:szCs w:val="18"/>
        </w:rPr>
        <w:t xml:space="preserve"> from </w:t>
      </w:r>
      <w:proofErr w:type="spellStart"/>
      <w:r w:rsidRPr="00231582">
        <w:rPr>
          <w:rFonts w:eastAsia="Times New Roman" w:cs="Times New Roman"/>
          <w:color w:val="0D0D0D" w:themeColor="text1" w:themeTint="F2"/>
          <w:sz w:val="18"/>
          <w:szCs w:val="18"/>
        </w:rPr>
        <w:t>Canada</w:t>
      </w:r>
      <w:proofErr w:type="spellEnd"/>
      <w:r w:rsidRPr="00231582">
        <w:rPr>
          <w:rFonts w:eastAsia="Times New Roman" w:cs="Times New Roman"/>
          <w:color w:val="0D0D0D" w:themeColor="text1" w:themeTint="F2"/>
          <w:sz w:val="18"/>
          <w:szCs w:val="18"/>
        </w:rPr>
        <w:t xml:space="preserve">. </w:t>
      </w:r>
      <w:proofErr w:type="spellStart"/>
      <w:r w:rsidRPr="00607012">
        <w:rPr>
          <w:rFonts w:eastAsia="Times New Roman" w:cs="Times New Roman"/>
          <w:i/>
          <w:iCs/>
          <w:color w:val="0D0D0D" w:themeColor="text1" w:themeTint="F2"/>
          <w:sz w:val="18"/>
          <w:szCs w:val="18"/>
        </w:rPr>
        <w:t>Statnews</w:t>
      </w:r>
      <w:proofErr w:type="spellEnd"/>
      <w:r w:rsidRPr="00607012">
        <w:rPr>
          <w:rFonts w:eastAsia="Times New Roman" w:cs="Times New Roman"/>
          <w:i/>
          <w:iCs/>
          <w:color w:val="0D0D0D" w:themeColor="text1" w:themeTint="F2"/>
          <w:sz w:val="18"/>
          <w:szCs w:val="18"/>
        </w:rPr>
        <w:t>,</w:t>
      </w:r>
      <w:r w:rsidRPr="00607012">
        <w:rPr>
          <w:rFonts w:eastAsia="Times New Roman" w:cs="Times New Roman"/>
          <w:color w:val="0D0D0D" w:themeColor="text1" w:themeTint="F2"/>
          <w:sz w:val="18"/>
          <w:szCs w:val="18"/>
        </w:rPr>
        <w:t xml:space="preserve"> 15 de junio del 2026 </w:t>
      </w:r>
      <w:hyperlink r:id="rId162" w:history="1">
        <w:r w:rsidRPr="00607012">
          <w:rPr>
            <w:rStyle w:val="Hipervnculo"/>
            <w:rFonts w:eastAsia="Times New Roman" w:cs="Times New Roman"/>
            <w:sz w:val="18"/>
            <w:szCs w:val="18"/>
          </w:rPr>
          <w:t>https://www.statnews.com/2026/06/15/colorado-drug-imports-canada/</w:t>
        </w:r>
      </w:hyperlink>
    </w:p>
    <w:p w14:paraId="559DCC89" w14:textId="77777777" w:rsidR="00AB1BEF" w:rsidRDefault="00AB1BEF" w:rsidP="00607012">
      <w:pPr>
        <w:rPr>
          <w:rFonts w:eastAsia="Times New Roman" w:cs="Times New Roman"/>
          <w:color w:val="EE0000"/>
          <w:szCs w:val="20"/>
        </w:rPr>
        <w:sectPr w:rsidR="00AB1BEF" w:rsidSect="00AB1BEF">
          <w:type w:val="continuous"/>
          <w:pgSz w:w="12240" w:h="15840" w:code="1"/>
          <w:pgMar w:top="720" w:right="720" w:bottom="720" w:left="720" w:header="288" w:footer="288" w:gutter="0"/>
          <w:cols w:num="2" w:space="288"/>
          <w:docGrid w:linePitch="360"/>
        </w:sectPr>
      </w:pPr>
    </w:p>
    <w:p w14:paraId="78CA06D5" w14:textId="67A5904D" w:rsidR="00607012" w:rsidRPr="00231582" w:rsidRDefault="00607012" w:rsidP="00607012">
      <w:pPr>
        <w:rPr>
          <w:rFonts w:eastAsia="Times New Roman" w:cs="Times New Roman"/>
          <w:color w:val="EE0000"/>
          <w:szCs w:val="20"/>
        </w:rPr>
      </w:pPr>
    </w:p>
    <w:p w14:paraId="0E1D24BC" w14:textId="77777777" w:rsidR="00607012" w:rsidRPr="00231582" w:rsidRDefault="00607012" w:rsidP="008A0356">
      <w:pPr>
        <w:jc w:val="center"/>
        <w:rPr>
          <w:rFonts w:eastAsia="Times New Roman" w:cs="Times New Roman"/>
          <w:color w:val="0D0D0D" w:themeColor="text1" w:themeTint="F2"/>
          <w:szCs w:val="20"/>
        </w:rPr>
      </w:pPr>
    </w:p>
    <w:p w14:paraId="1432F08B" w14:textId="096F0935" w:rsidR="008A0356" w:rsidRDefault="008A0356" w:rsidP="008A0356">
      <w:pPr>
        <w:jc w:val="center"/>
        <w:rPr>
          <w:b/>
          <w:bCs/>
          <w:szCs w:val="20"/>
        </w:rPr>
      </w:pPr>
      <w:r>
        <w:rPr>
          <w:rFonts w:eastAsia="Times New Roman" w:cs="Times New Roman"/>
          <w:color w:val="0D0D0D" w:themeColor="text1" w:themeTint="F2"/>
          <w:szCs w:val="20"/>
        </w:rPr>
        <w:t xml:space="preserve">EE UU. </w:t>
      </w:r>
      <w:r w:rsidRPr="00FE6871">
        <w:rPr>
          <w:b/>
          <w:bCs/>
          <w:szCs w:val="20"/>
        </w:rPr>
        <w:t xml:space="preserve">Cambios en el uso de </w:t>
      </w:r>
      <w:proofErr w:type="spellStart"/>
      <w:r w:rsidRPr="0021302E">
        <w:rPr>
          <w:b/>
          <w:bCs/>
          <w:i/>
          <w:iCs/>
          <w:szCs w:val="20"/>
        </w:rPr>
        <w:t>montelukast</w:t>
      </w:r>
      <w:proofErr w:type="spellEnd"/>
      <w:r w:rsidRPr="00FE6871">
        <w:rPr>
          <w:b/>
          <w:bCs/>
          <w:szCs w:val="20"/>
        </w:rPr>
        <w:t xml:space="preserve"> para </w:t>
      </w:r>
      <w:r w:rsidR="0042686B">
        <w:rPr>
          <w:b/>
          <w:bCs/>
          <w:szCs w:val="20"/>
        </w:rPr>
        <w:t xml:space="preserve">tratar </w:t>
      </w:r>
      <w:r w:rsidRPr="00FE6871">
        <w:rPr>
          <w:b/>
          <w:bCs/>
          <w:szCs w:val="20"/>
        </w:rPr>
        <w:t xml:space="preserve">el asma tras una advertencia de la </w:t>
      </w:r>
      <w:r>
        <w:rPr>
          <w:b/>
          <w:bCs/>
          <w:szCs w:val="20"/>
        </w:rPr>
        <w:t>FDA</w:t>
      </w:r>
    </w:p>
    <w:p w14:paraId="0142B414" w14:textId="77777777" w:rsidR="008A0356" w:rsidRPr="00FA3C1C" w:rsidRDefault="008A0356" w:rsidP="008A0356">
      <w:pPr>
        <w:jc w:val="center"/>
        <w:rPr>
          <w:i/>
          <w:iCs/>
          <w:szCs w:val="20"/>
          <w:lang w:val="en-US"/>
        </w:rPr>
      </w:pPr>
      <w:r w:rsidRPr="00FA3C1C">
        <w:rPr>
          <w:i/>
          <w:iCs/>
          <w:szCs w:val="20"/>
          <w:lang w:val="en-US"/>
        </w:rPr>
        <w:t>(Changes in the Use of Montelukast for Asthma After a US Food and Drug Administration Boxed Warning)</w:t>
      </w:r>
    </w:p>
    <w:p w14:paraId="770323DA" w14:textId="59BBCE5F" w:rsidR="008A0356" w:rsidRPr="00FD0655" w:rsidRDefault="006C6517" w:rsidP="006C6517">
      <w:pPr>
        <w:jc w:val="center"/>
        <w:rPr>
          <w:szCs w:val="20"/>
          <w:lang w:val="en-US"/>
        </w:rPr>
      </w:pPr>
      <w:r w:rsidRPr="00FD0655">
        <w:rPr>
          <w:szCs w:val="20"/>
          <w:lang w:val="en-US"/>
        </w:rPr>
        <w:t>H Shanmugam,</w:t>
      </w:r>
      <w:r>
        <w:rPr>
          <w:szCs w:val="20"/>
          <w:lang w:val="en-US"/>
        </w:rPr>
        <w:t xml:space="preserve"> </w:t>
      </w:r>
      <w:r w:rsidRPr="00FD0655">
        <w:rPr>
          <w:szCs w:val="20"/>
          <w:lang w:val="en-US"/>
        </w:rPr>
        <w:t xml:space="preserve">AS </w:t>
      </w:r>
      <w:proofErr w:type="spellStart"/>
      <w:r w:rsidRPr="00FD0655">
        <w:rPr>
          <w:szCs w:val="20"/>
          <w:lang w:val="en-US"/>
        </w:rPr>
        <w:t>Kesselheim</w:t>
      </w:r>
      <w:proofErr w:type="spellEnd"/>
      <w:r w:rsidRPr="00FD0655">
        <w:rPr>
          <w:szCs w:val="20"/>
          <w:lang w:val="en-US"/>
        </w:rPr>
        <w:t>,</w:t>
      </w:r>
      <w:r>
        <w:rPr>
          <w:szCs w:val="20"/>
          <w:lang w:val="en-US"/>
        </w:rPr>
        <w:t xml:space="preserve"> </w:t>
      </w:r>
      <w:r w:rsidRPr="00FD0655">
        <w:rPr>
          <w:szCs w:val="20"/>
          <w:lang w:val="en-US"/>
        </w:rPr>
        <w:t>IT</w:t>
      </w:r>
      <w:r>
        <w:rPr>
          <w:szCs w:val="20"/>
          <w:lang w:val="en-US"/>
        </w:rPr>
        <w:t xml:space="preserve"> </w:t>
      </w:r>
      <w:r w:rsidRPr="00FD0655">
        <w:rPr>
          <w:szCs w:val="20"/>
          <w:lang w:val="en-US"/>
        </w:rPr>
        <w:t>Liu</w:t>
      </w:r>
      <w:r>
        <w:rPr>
          <w:szCs w:val="20"/>
          <w:lang w:val="en-US"/>
        </w:rPr>
        <w:t xml:space="preserve">, </w:t>
      </w:r>
      <w:r w:rsidRPr="00FD0655">
        <w:rPr>
          <w:szCs w:val="20"/>
          <w:lang w:val="en-US"/>
        </w:rPr>
        <w:t>WB Feldman</w:t>
      </w:r>
      <w:r w:rsidR="00980FE3">
        <w:rPr>
          <w:szCs w:val="20"/>
          <w:lang w:val="en-US"/>
        </w:rPr>
        <w:t xml:space="preserve"> y</w:t>
      </w:r>
      <w:r>
        <w:rPr>
          <w:szCs w:val="20"/>
          <w:lang w:val="en-US"/>
        </w:rPr>
        <w:t xml:space="preserve"> </w:t>
      </w:r>
      <w:r w:rsidRPr="00FD0655">
        <w:rPr>
          <w:szCs w:val="20"/>
          <w:lang w:val="en-US"/>
        </w:rPr>
        <w:t xml:space="preserve">BN Rome </w:t>
      </w:r>
    </w:p>
    <w:p w14:paraId="4E835210" w14:textId="364C906C" w:rsidR="008A0356" w:rsidRPr="00952C85" w:rsidRDefault="008A0356" w:rsidP="008A0356">
      <w:pPr>
        <w:jc w:val="center"/>
        <w:rPr>
          <w:b/>
          <w:bCs/>
          <w:szCs w:val="20"/>
        </w:rPr>
      </w:pPr>
      <w:r w:rsidRPr="00952C85">
        <w:rPr>
          <w:i/>
          <w:iCs/>
          <w:szCs w:val="20"/>
        </w:rPr>
        <w:t xml:space="preserve">JAMA </w:t>
      </w:r>
      <w:proofErr w:type="spellStart"/>
      <w:r w:rsidRPr="00952C85">
        <w:rPr>
          <w:i/>
          <w:iCs/>
          <w:szCs w:val="20"/>
        </w:rPr>
        <w:t>Netw</w:t>
      </w:r>
      <w:proofErr w:type="spellEnd"/>
      <w:r w:rsidRPr="00952C85">
        <w:rPr>
          <w:i/>
          <w:iCs/>
          <w:szCs w:val="20"/>
        </w:rPr>
        <w:t xml:space="preserve"> Open</w:t>
      </w:r>
      <w:r w:rsidRPr="00952C85">
        <w:rPr>
          <w:b/>
          <w:bCs/>
          <w:szCs w:val="20"/>
        </w:rPr>
        <w:t xml:space="preserve"> </w:t>
      </w:r>
      <w:r w:rsidRPr="00952C85">
        <w:rPr>
          <w:szCs w:val="20"/>
        </w:rPr>
        <w:t>2026;9;(5):e2614274.</w:t>
      </w:r>
      <w:r w:rsidR="002334B2">
        <w:rPr>
          <w:szCs w:val="20"/>
        </w:rPr>
        <w:t xml:space="preserve"> </w:t>
      </w:r>
      <w:r w:rsidRPr="00952C85">
        <w:rPr>
          <w:szCs w:val="20"/>
        </w:rPr>
        <w:t>DOI:10.1001/jamanetworkopen.2026.14274</w:t>
      </w:r>
    </w:p>
    <w:p w14:paraId="1EF01C89" w14:textId="77777777" w:rsidR="008A0356" w:rsidRPr="00952C85" w:rsidRDefault="00B00DA4" w:rsidP="008A0356">
      <w:pPr>
        <w:jc w:val="center"/>
        <w:rPr>
          <w:szCs w:val="20"/>
        </w:rPr>
      </w:pPr>
      <w:hyperlink r:id="rId163" w:history="1">
        <w:r w:rsidR="008A0356" w:rsidRPr="00952C85">
          <w:rPr>
            <w:rStyle w:val="Hipervnculo"/>
            <w:szCs w:val="20"/>
          </w:rPr>
          <w:t>https://jamanetwork.com/journals/jamanetworkopen/fullarticle/2849283</w:t>
        </w:r>
      </w:hyperlink>
    </w:p>
    <w:p w14:paraId="7C837CBF" w14:textId="2A154523" w:rsidR="008A0356" w:rsidRPr="00EB773A" w:rsidRDefault="008A0356" w:rsidP="008A0356">
      <w:pPr>
        <w:jc w:val="center"/>
      </w:pPr>
      <w:r>
        <w:rPr>
          <w:rFonts w:eastAsia="Times New Roman" w:cs="Times New Roman"/>
          <w:szCs w:val="20"/>
        </w:rPr>
        <w:t xml:space="preserve">Traducido por Salud y Fármacos, publicado en </w:t>
      </w:r>
      <w:r w:rsidRPr="00CA5ACC">
        <w:rPr>
          <w:rFonts w:cs="Times New Roman"/>
          <w:i/>
          <w:iCs/>
          <w:szCs w:val="20"/>
        </w:rPr>
        <w:t>Boletín Fármacos:</w:t>
      </w:r>
      <w:r>
        <w:rPr>
          <w:rFonts w:cs="Times New Roman"/>
          <w:i/>
          <w:iCs/>
          <w:szCs w:val="20"/>
        </w:rPr>
        <w:t xml:space="preserve"> </w:t>
      </w:r>
      <w:r w:rsidR="001900D6">
        <w:rPr>
          <w:i/>
          <w:iCs/>
          <w:szCs w:val="20"/>
        </w:rPr>
        <w:t>Agen</w:t>
      </w:r>
      <w:r w:rsidR="001900D6" w:rsidRPr="001900D6">
        <w:rPr>
          <w:i/>
          <w:iCs/>
          <w:szCs w:val="20"/>
        </w:rPr>
        <w:t xml:space="preserve">cias </w:t>
      </w:r>
      <w:r w:rsidR="001900D6">
        <w:rPr>
          <w:i/>
          <w:iCs/>
          <w:szCs w:val="20"/>
        </w:rPr>
        <w:t>Reguladoras</w:t>
      </w:r>
      <w:r w:rsidR="001900D6" w:rsidRPr="001900D6">
        <w:rPr>
          <w:i/>
          <w:iCs/>
          <w:szCs w:val="20"/>
        </w:rPr>
        <w:t xml:space="preserve"> 2026; 29(</w:t>
      </w:r>
      <w:r w:rsidR="001900D6">
        <w:rPr>
          <w:i/>
          <w:iCs/>
          <w:szCs w:val="20"/>
        </w:rPr>
        <w:t>3</w:t>
      </w:r>
      <w:r w:rsidR="001900D6" w:rsidRPr="001900D6">
        <w:rPr>
          <w:i/>
          <w:iCs/>
          <w:szCs w:val="20"/>
        </w:rPr>
        <w:t>)</w:t>
      </w:r>
    </w:p>
    <w:p w14:paraId="2CE541E6" w14:textId="77777777" w:rsidR="008A0356" w:rsidRPr="00FD0655" w:rsidRDefault="008A0356" w:rsidP="008A0356">
      <w:pPr>
        <w:rPr>
          <w:szCs w:val="20"/>
        </w:rPr>
      </w:pPr>
    </w:p>
    <w:p w14:paraId="5B5BCB1B" w14:textId="77777777" w:rsidR="00AB1BEF" w:rsidRDefault="00AB1BEF" w:rsidP="003125D3">
      <w:pPr>
        <w:rPr>
          <w:b/>
          <w:bCs/>
          <w:sz w:val="18"/>
          <w:szCs w:val="18"/>
        </w:rPr>
        <w:sectPr w:rsidR="00AB1BEF" w:rsidSect="00F25512">
          <w:type w:val="continuous"/>
          <w:pgSz w:w="12240" w:h="15840" w:code="1"/>
          <w:pgMar w:top="720" w:right="720" w:bottom="720" w:left="720" w:header="288" w:footer="288" w:gutter="0"/>
          <w:cols w:space="288"/>
          <w:docGrid w:linePitch="360"/>
        </w:sectPr>
      </w:pPr>
    </w:p>
    <w:p w14:paraId="1DE84F70" w14:textId="21BC998F" w:rsidR="003125D3" w:rsidRPr="00FD0655" w:rsidRDefault="003125D3" w:rsidP="003125D3">
      <w:pPr>
        <w:rPr>
          <w:b/>
          <w:bCs/>
          <w:sz w:val="18"/>
          <w:szCs w:val="18"/>
        </w:rPr>
      </w:pPr>
      <w:r w:rsidRPr="00FD0655">
        <w:rPr>
          <w:b/>
          <w:bCs/>
          <w:sz w:val="18"/>
          <w:szCs w:val="18"/>
        </w:rPr>
        <w:t xml:space="preserve">Tags: uso de </w:t>
      </w:r>
      <w:proofErr w:type="spellStart"/>
      <w:r w:rsidRPr="00F612B5">
        <w:rPr>
          <w:b/>
          <w:bCs/>
          <w:i/>
          <w:iCs/>
          <w:sz w:val="18"/>
          <w:szCs w:val="18"/>
        </w:rPr>
        <w:t>montelukast</w:t>
      </w:r>
      <w:proofErr w:type="spellEnd"/>
      <w:r w:rsidRPr="00FD0655">
        <w:rPr>
          <w:b/>
          <w:bCs/>
          <w:sz w:val="18"/>
          <w:szCs w:val="18"/>
        </w:rPr>
        <w:t xml:space="preserve">, asma y </w:t>
      </w:r>
      <w:proofErr w:type="spellStart"/>
      <w:r w:rsidRPr="00F612B5">
        <w:rPr>
          <w:b/>
          <w:bCs/>
          <w:i/>
          <w:iCs/>
          <w:sz w:val="18"/>
          <w:szCs w:val="18"/>
        </w:rPr>
        <w:t>montelukast</w:t>
      </w:r>
      <w:proofErr w:type="spellEnd"/>
      <w:r w:rsidRPr="00FD0655">
        <w:rPr>
          <w:b/>
          <w:bCs/>
          <w:sz w:val="18"/>
          <w:szCs w:val="18"/>
        </w:rPr>
        <w:t xml:space="preserve">, advertencia FDA </w:t>
      </w:r>
      <w:proofErr w:type="spellStart"/>
      <w:r w:rsidRPr="00F612B5">
        <w:rPr>
          <w:b/>
          <w:bCs/>
          <w:i/>
          <w:iCs/>
          <w:sz w:val="18"/>
          <w:szCs w:val="18"/>
        </w:rPr>
        <w:t>montelukast</w:t>
      </w:r>
      <w:proofErr w:type="spellEnd"/>
      <w:r w:rsidRPr="00FD0655">
        <w:rPr>
          <w:b/>
          <w:bCs/>
          <w:sz w:val="18"/>
          <w:szCs w:val="18"/>
        </w:rPr>
        <w:t xml:space="preserve">, </w:t>
      </w:r>
      <w:proofErr w:type="spellStart"/>
      <w:r w:rsidR="00A12F27">
        <w:rPr>
          <w:b/>
          <w:bCs/>
          <w:sz w:val="18"/>
          <w:szCs w:val="18"/>
        </w:rPr>
        <w:t>Singulair</w:t>
      </w:r>
      <w:proofErr w:type="spellEnd"/>
      <w:r w:rsidR="00A12F27">
        <w:rPr>
          <w:b/>
          <w:bCs/>
          <w:sz w:val="18"/>
          <w:szCs w:val="18"/>
        </w:rPr>
        <w:t xml:space="preserve"> </w:t>
      </w:r>
      <w:r w:rsidRPr="00FD0655">
        <w:rPr>
          <w:b/>
          <w:bCs/>
          <w:sz w:val="18"/>
          <w:szCs w:val="18"/>
        </w:rPr>
        <w:t>advertencia recuadro negro</w:t>
      </w:r>
      <w:r w:rsidR="00A12F27">
        <w:rPr>
          <w:b/>
          <w:bCs/>
          <w:sz w:val="18"/>
          <w:szCs w:val="18"/>
        </w:rPr>
        <w:t>,</w:t>
      </w:r>
      <w:r w:rsidR="00F612B5">
        <w:rPr>
          <w:b/>
          <w:bCs/>
          <w:sz w:val="18"/>
          <w:szCs w:val="18"/>
        </w:rPr>
        <w:t xml:space="preserve"> </w:t>
      </w:r>
      <w:proofErr w:type="spellStart"/>
      <w:r w:rsidR="00F612B5" w:rsidRPr="00F612B5">
        <w:rPr>
          <w:b/>
          <w:bCs/>
          <w:i/>
          <w:iCs/>
          <w:sz w:val="18"/>
          <w:szCs w:val="18"/>
        </w:rPr>
        <w:t>montelukast</w:t>
      </w:r>
      <w:proofErr w:type="spellEnd"/>
    </w:p>
    <w:p w14:paraId="743C2B1D" w14:textId="77777777" w:rsidR="003125D3" w:rsidRPr="00410D02" w:rsidRDefault="003125D3" w:rsidP="003125D3">
      <w:pPr>
        <w:rPr>
          <w:color w:val="EE0000"/>
          <w:szCs w:val="20"/>
          <w:lang w:val="es-ES"/>
        </w:rPr>
      </w:pPr>
    </w:p>
    <w:p w14:paraId="434EF6EA" w14:textId="77777777" w:rsidR="003125D3" w:rsidRPr="00D21A54" w:rsidRDefault="003125D3" w:rsidP="003125D3">
      <w:pPr>
        <w:rPr>
          <w:b/>
          <w:bCs/>
          <w:szCs w:val="20"/>
        </w:rPr>
      </w:pPr>
      <w:r w:rsidRPr="00D21A54">
        <w:rPr>
          <w:b/>
          <w:bCs/>
          <w:szCs w:val="20"/>
        </w:rPr>
        <w:t>Resumen</w:t>
      </w:r>
    </w:p>
    <w:p w14:paraId="476340C1" w14:textId="77777777" w:rsidR="003125D3" w:rsidRPr="00D21A54" w:rsidRDefault="003125D3" w:rsidP="003125D3">
      <w:pPr>
        <w:rPr>
          <w:szCs w:val="20"/>
        </w:rPr>
      </w:pPr>
      <w:r w:rsidRPr="00D21A54">
        <w:rPr>
          <w:b/>
          <w:bCs/>
          <w:szCs w:val="20"/>
        </w:rPr>
        <w:t>Importancia</w:t>
      </w:r>
      <w:r>
        <w:rPr>
          <w:b/>
          <w:bCs/>
          <w:szCs w:val="20"/>
        </w:rPr>
        <w:t xml:space="preserve">. </w:t>
      </w:r>
      <w:r w:rsidRPr="00D21A54">
        <w:rPr>
          <w:szCs w:val="20"/>
        </w:rPr>
        <w:t xml:space="preserve">En marzo de 2020, la FDA emitió una advertencia </w:t>
      </w:r>
      <w:r w:rsidRPr="00C146E4">
        <w:rPr>
          <w:szCs w:val="20"/>
        </w:rPr>
        <w:t>de caja negra</w:t>
      </w:r>
      <w:r>
        <w:rPr>
          <w:szCs w:val="20"/>
        </w:rPr>
        <w:t xml:space="preserve"> </w:t>
      </w:r>
      <w:r w:rsidRPr="00D21A54">
        <w:rPr>
          <w:szCs w:val="20"/>
        </w:rPr>
        <w:t xml:space="preserve">sobre el </w:t>
      </w:r>
      <w:proofErr w:type="spellStart"/>
      <w:r w:rsidRPr="00D21A54">
        <w:rPr>
          <w:i/>
          <w:iCs/>
          <w:szCs w:val="20"/>
        </w:rPr>
        <w:t>montelukast</w:t>
      </w:r>
      <w:proofErr w:type="spellEnd"/>
      <w:r>
        <w:rPr>
          <w:szCs w:val="20"/>
        </w:rPr>
        <w:t>, tras recibir</w:t>
      </w:r>
      <w:r w:rsidRPr="00D21A54">
        <w:rPr>
          <w:szCs w:val="20"/>
        </w:rPr>
        <w:t xml:space="preserve"> informes de efectos adversos neuropsiquiátricos.</w:t>
      </w:r>
    </w:p>
    <w:p w14:paraId="45B80C79" w14:textId="77777777" w:rsidR="003125D3" w:rsidRPr="00D21A54" w:rsidRDefault="003125D3" w:rsidP="003125D3">
      <w:pPr>
        <w:rPr>
          <w:szCs w:val="20"/>
        </w:rPr>
      </w:pPr>
    </w:p>
    <w:p w14:paraId="40C34810" w14:textId="77777777" w:rsidR="003125D3" w:rsidRPr="00D21A54" w:rsidRDefault="003125D3" w:rsidP="003125D3">
      <w:pPr>
        <w:rPr>
          <w:szCs w:val="20"/>
        </w:rPr>
      </w:pPr>
      <w:r w:rsidRPr="00D21A54">
        <w:rPr>
          <w:b/>
          <w:bCs/>
          <w:szCs w:val="20"/>
        </w:rPr>
        <w:t>Objetivo</w:t>
      </w:r>
      <w:r>
        <w:rPr>
          <w:b/>
          <w:bCs/>
          <w:szCs w:val="20"/>
        </w:rPr>
        <w:t xml:space="preserve">. </w:t>
      </w:r>
      <w:r w:rsidRPr="00D21A54">
        <w:rPr>
          <w:szCs w:val="20"/>
        </w:rPr>
        <w:t xml:space="preserve">Determinar si la </w:t>
      </w:r>
      <w:r w:rsidRPr="00C146E4">
        <w:rPr>
          <w:szCs w:val="20"/>
        </w:rPr>
        <w:t>advertencia de caja negra</w:t>
      </w:r>
      <w:r>
        <w:rPr>
          <w:szCs w:val="20"/>
        </w:rPr>
        <w:t xml:space="preserve"> </w:t>
      </w:r>
      <w:r w:rsidRPr="00D21A54">
        <w:rPr>
          <w:szCs w:val="20"/>
        </w:rPr>
        <w:t xml:space="preserve">sobre el </w:t>
      </w:r>
      <w:proofErr w:type="spellStart"/>
      <w:r w:rsidRPr="00D21A54">
        <w:rPr>
          <w:i/>
          <w:iCs/>
          <w:szCs w:val="20"/>
        </w:rPr>
        <w:t>montelukast</w:t>
      </w:r>
      <w:proofErr w:type="spellEnd"/>
      <w:r w:rsidRPr="00D21A54">
        <w:rPr>
          <w:i/>
          <w:iCs/>
          <w:szCs w:val="20"/>
        </w:rPr>
        <w:t xml:space="preserve"> </w:t>
      </w:r>
      <w:r w:rsidRPr="00D21A54">
        <w:rPr>
          <w:szCs w:val="20"/>
        </w:rPr>
        <w:t>se asoció con cambios en las tasas de prescripción de este fármaco para el tratamiento del asma en EE UU.</w:t>
      </w:r>
    </w:p>
    <w:p w14:paraId="1EB059F1" w14:textId="77777777" w:rsidR="003125D3" w:rsidRPr="00D21A54" w:rsidRDefault="003125D3" w:rsidP="003125D3">
      <w:pPr>
        <w:rPr>
          <w:szCs w:val="20"/>
        </w:rPr>
      </w:pPr>
    </w:p>
    <w:p w14:paraId="6E773B01" w14:textId="77777777" w:rsidR="003125D3" w:rsidRDefault="003125D3" w:rsidP="003125D3">
      <w:pPr>
        <w:rPr>
          <w:szCs w:val="20"/>
        </w:rPr>
      </w:pPr>
      <w:r w:rsidRPr="00D21A54">
        <w:rPr>
          <w:b/>
          <w:bCs/>
          <w:szCs w:val="20"/>
        </w:rPr>
        <w:t>Diseño, entorno y participantes</w:t>
      </w:r>
      <w:r>
        <w:rPr>
          <w:b/>
          <w:bCs/>
          <w:szCs w:val="20"/>
        </w:rPr>
        <w:t xml:space="preserve">. </w:t>
      </w:r>
      <w:r w:rsidRPr="00D21A54">
        <w:rPr>
          <w:szCs w:val="20"/>
        </w:rPr>
        <w:t xml:space="preserve">En este estudio transversal seriado, </w:t>
      </w:r>
      <w:r>
        <w:rPr>
          <w:szCs w:val="20"/>
        </w:rPr>
        <w:t>que utiliza</w:t>
      </w:r>
      <w:r w:rsidRPr="00D21A54">
        <w:rPr>
          <w:szCs w:val="20"/>
        </w:rPr>
        <w:t xml:space="preserve"> una base de datos nacional de </w:t>
      </w:r>
      <w:r>
        <w:rPr>
          <w:szCs w:val="20"/>
        </w:rPr>
        <w:t xml:space="preserve">facturas </w:t>
      </w:r>
      <w:r w:rsidRPr="00D21A54">
        <w:rPr>
          <w:szCs w:val="20"/>
        </w:rPr>
        <w:t xml:space="preserve">de seguros comerciales, se crearon cohortes mensuales de personas de 6 años o más con diagnóstico de asma y cobertura de seguro </w:t>
      </w:r>
      <w:r w:rsidRPr="00D21A54">
        <w:rPr>
          <w:szCs w:val="20"/>
        </w:rPr>
        <w:lastRenderedPageBreak/>
        <w:t xml:space="preserve">continua durante el último año, desde octubre de 2017 hasta diciembre de 2022. </w:t>
      </w:r>
    </w:p>
    <w:p w14:paraId="6F1F8800" w14:textId="77777777" w:rsidR="003125D3" w:rsidRDefault="003125D3" w:rsidP="003125D3">
      <w:pPr>
        <w:rPr>
          <w:szCs w:val="20"/>
        </w:rPr>
      </w:pPr>
    </w:p>
    <w:p w14:paraId="27B164E8" w14:textId="77777777" w:rsidR="003125D3" w:rsidRPr="00D21A54" w:rsidRDefault="003125D3" w:rsidP="003125D3">
      <w:pPr>
        <w:rPr>
          <w:szCs w:val="20"/>
        </w:rPr>
      </w:pPr>
      <w:r w:rsidRPr="00D21A54">
        <w:rPr>
          <w:szCs w:val="20"/>
        </w:rPr>
        <w:t xml:space="preserve">Los resultados se estratificaron por grupo de edad, uso de corticosteroides inhalados (CSI) y una o más visitas a urgencias u hospitalizaciones relacionadas con el asma durante el año </w:t>
      </w:r>
      <w:r>
        <w:rPr>
          <w:szCs w:val="20"/>
        </w:rPr>
        <w:t>previo.</w:t>
      </w:r>
      <w:r w:rsidRPr="00D21A54">
        <w:rPr>
          <w:szCs w:val="20"/>
        </w:rPr>
        <w:t xml:space="preserve"> </w:t>
      </w:r>
      <w:r>
        <w:rPr>
          <w:szCs w:val="20"/>
        </w:rPr>
        <w:t xml:space="preserve">Los </w:t>
      </w:r>
      <w:r w:rsidRPr="00D21A54">
        <w:rPr>
          <w:szCs w:val="20"/>
        </w:rPr>
        <w:t xml:space="preserve">datos </w:t>
      </w:r>
      <w:r>
        <w:rPr>
          <w:szCs w:val="20"/>
        </w:rPr>
        <w:t>s</w:t>
      </w:r>
      <w:r w:rsidRPr="00D21A54">
        <w:rPr>
          <w:szCs w:val="20"/>
        </w:rPr>
        <w:t xml:space="preserve">e analizaron </w:t>
      </w:r>
      <w:r>
        <w:rPr>
          <w:szCs w:val="20"/>
        </w:rPr>
        <w:t>entre</w:t>
      </w:r>
      <w:r w:rsidRPr="00D21A54">
        <w:rPr>
          <w:szCs w:val="20"/>
        </w:rPr>
        <w:t xml:space="preserve"> agosto de 2024 </w:t>
      </w:r>
      <w:r>
        <w:rPr>
          <w:szCs w:val="20"/>
        </w:rPr>
        <w:t xml:space="preserve">y </w:t>
      </w:r>
      <w:r w:rsidRPr="00D21A54">
        <w:rPr>
          <w:szCs w:val="20"/>
        </w:rPr>
        <w:t>junio de 2025.</w:t>
      </w:r>
    </w:p>
    <w:p w14:paraId="5B78EA54" w14:textId="77777777" w:rsidR="003125D3" w:rsidRPr="00D21A54" w:rsidRDefault="003125D3" w:rsidP="003125D3">
      <w:pPr>
        <w:rPr>
          <w:szCs w:val="20"/>
        </w:rPr>
      </w:pPr>
    </w:p>
    <w:p w14:paraId="48C26E62" w14:textId="77777777" w:rsidR="003125D3" w:rsidRPr="00D21A54" w:rsidRDefault="003125D3" w:rsidP="003125D3">
      <w:pPr>
        <w:rPr>
          <w:szCs w:val="20"/>
        </w:rPr>
      </w:pPr>
      <w:r w:rsidRPr="00D21A54">
        <w:rPr>
          <w:b/>
          <w:bCs/>
          <w:szCs w:val="20"/>
        </w:rPr>
        <w:t>Exposiciones</w:t>
      </w:r>
      <w:r>
        <w:rPr>
          <w:b/>
          <w:bCs/>
          <w:szCs w:val="20"/>
        </w:rPr>
        <w:t xml:space="preserve">. </w:t>
      </w:r>
      <w:r w:rsidRPr="00D21A54">
        <w:rPr>
          <w:szCs w:val="20"/>
        </w:rPr>
        <w:t xml:space="preserve">Anuncio de una advertencia en recuadro sobre el </w:t>
      </w:r>
      <w:proofErr w:type="spellStart"/>
      <w:r w:rsidRPr="00D21A54">
        <w:rPr>
          <w:i/>
          <w:iCs/>
          <w:szCs w:val="20"/>
        </w:rPr>
        <w:t>montelukast</w:t>
      </w:r>
      <w:proofErr w:type="spellEnd"/>
      <w:r w:rsidRPr="00D21A54">
        <w:rPr>
          <w:i/>
          <w:iCs/>
          <w:szCs w:val="20"/>
        </w:rPr>
        <w:t xml:space="preserve"> </w:t>
      </w:r>
      <w:r w:rsidRPr="00D21A54">
        <w:rPr>
          <w:szCs w:val="20"/>
        </w:rPr>
        <w:t>en marzo de 2020.</w:t>
      </w:r>
    </w:p>
    <w:p w14:paraId="66118595" w14:textId="77777777" w:rsidR="003125D3" w:rsidRPr="00D21A54" w:rsidRDefault="003125D3" w:rsidP="003125D3">
      <w:pPr>
        <w:rPr>
          <w:color w:val="EE0000"/>
          <w:szCs w:val="20"/>
        </w:rPr>
      </w:pPr>
    </w:p>
    <w:p w14:paraId="493E991E" w14:textId="77777777" w:rsidR="003125D3" w:rsidRDefault="003125D3" w:rsidP="003125D3">
      <w:pPr>
        <w:rPr>
          <w:szCs w:val="20"/>
        </w:rPr>
      </w:pPr>
      <w:r w:rsidRPr="00D21A54">
        <w:rPr>
          <w:b/>
          <w:bCs/>
          <w:szCs w:val="20"/>
        </w:rPr>
        <w:t>Principales resultados y mediciones</w:t>
      </w:r>
      <w:r>
        <w:rPr>
          <w:b/>
          <w:bCs/>
          <w:szCs w:val="20"/>
        </w:rPr>
        <w:t xml:space="preserve">. </w:t>
      </w:r>
      <w:r w:rsidRPr="00D21A54">
        <w:rPr>
          <w:szCs w:val="20"/>
        </w:rPr>
        <w:t xml:space="preserve">Incidencia y prevalencia mensuales del uso de </w:t>
      </w:r>
      <w:proofErr w:type="spellStart"/>
      <w:r w:rsidRPr="00EF49D6">
        <w:rPr>
          <w:i/>
          <w:iCs/>
          <w:szCs w:val="20"/>
        </w:rPr>
        <w:t>montelukast</w:t>
      </w:r>
      <w:proofErr w:type="spellEnd"/>
      <w:r w:rsidRPr="00D21A54">
        <w:rPr>
          <w:szCs w:val="20"/>
        </w:rPr>
        <w:t xml:space="preserve"> en</w:t>
      </w:r>
      <w:r>
        <w:rPr>
          <w:szCs w:val="20"/>
        </w:rPr>
        <w:t>tre los</w:t>
      </w:r>
      <w:r w:rsidRPr="00D21A54">
        <w:rPr>
          <w:szCs w:val="20"/>
        </w:rPr>
        <w:t xml:space="preserve"> pacientes con asma. </w:t>
      </w:r>
    </w:p>
    <w:p w14:paraId="0184F4A3" w14:textId="2E92B9B9" w:rsidR="003125D3" w:rsidRPr="00D21A54" w:rsidRDefault="003125D3" w:rsidP="003125D3">
      <w:pPr>
        <w:rPr>
          <w:szCs w:val="20"/>
        </w:rPr>
      </w:pPr>
      <w:r w:rsidRPr="00D21A54">
        <w:rPr>
          <w:szCs w:val="20"/>
        </w:rPr>
        <w:t xml:space="preserve">Los datos se </w:t>
      </w:r>
      <w:r w:rsidR="0042686B">
        <w:rPr>
          <w:szCs w:val="20"/>
        </w:rPr>
        <w:t>procesaron</w:t>
      </w:r>
      <w:r w:rsidRPr="00D21A54">
        <w:rPr>
          <w:szCs w:val="20"/>
        </w:rPr>
        <w:t xml:space="preserve"> mediante un análisis de series temporales intermitentes utilizando modelos de regresión lineal </w:t>
      </w:r>
      <w:r w:rsidR="0042686B" w:rsidRPr="00D21A54">
        <w:rPr>
          <w:szCs w:val="20"/>
        </w:rPr>
        <w:t>segmentad</w:t>
      </w:r>
      <w:r w:rsidR="0042686B">
        <w:rPr>
          <w:szCs w:val="20"/>
        </w:rPr>
        <w:t>a</w:t>
      </w:r>
      <w:r w:rsidR="0042686B" w:rsidRPr="00D21A54">
        <w:rPr>
          <w:szCs w:val="20"/>
        </w:rPr>
        <w:t xml:space="preserve"> </w:t>
      </w:r>
      <w:r w:rsidR="0042686B" w:rsidRPr="0042686B">
        <w:rPr>
          <w:szCs w:val="20"/>
        </w:rPr>
        <w:t xml:space="preserve">usando mínimos cuadrados ordinarios con corrección de errores estándar de </w:t>
      </w:r>
      <w:proofErr w:type="spellStart"/>
      <w:r w:rsidR="0042686B" w:rsidRPr="0042686B">
        <w:rPr>
          <w:szCs w:val="20"/>
        </w:rPr>
        <w:t>Newey</w:t>
      </w:r>
      <w:proofErr w:type="spellEnd"/>
      <w:r w:rsidR="0042686B" w:rsidRPr="0042686B">
        <w:rPr>
          <w:szCs w:val="20"/>
        </w:rPr>
        <w:t>-West</w:t>
      </w:r>
      <w:r w:rsidRPr="00D21A54">
        <w:rPr>
          <w:szCs w:val="20"/>
        </w:rPr>
        <w:t>.</w:t>
      </w:r>
    </w:p>
    <w:p w14:paraId="64A9B16F" w14:textId="77777777" w:rsidR="003125D3" w:rsidRPr="00D21A54" w:rsidRDefault="003125D3" w:rsidP="003125D3">
      <w:pPr>
        <w:rPr>
          <w:szCs w:val="20"/>
        </w:rPr>
      </w:pPr>
    </w:p>
    <w:p w14:paraId="35B56669" w14:textId="39AE3938" w:rsidR="003125D3" w:rsidRDefault="003125D3" w:rsidP="003125D3">
      <w:pPr>
        <w:rPr>
          <w:szCs w:val="20"/>
        </w:rPr>
      </w:pPr>
      <w:r w:rsidRPr="00D21A54">
        <w:rPr>
          <w:b/>
          <w:bCs/>
          <w:szCs w:val="20"/>
        </w:rPr>
        <w:t>Resultados</w:t>
      </w:r>
      <w:r w:rsidR="0042686B">
        <w:rPr>
          <w:b/>
          <w:bCs/>
          <w:szCs w:val="20"/>
        </w:rPr>
        <w:t xml:space="preserve">. </w:t>
      </w:r>
      <w:r w:rsidRPr="00D21A54">
        <w:rPr>
          <w:szCs w:val="20"/>
        </w:rPr>
        <w:t>El número de pacientes con asma osciló entre 594</w:t>
      </w:r>
      <w:r>
        <w:rPr>
          <w:szCs w:val="20"/>
        </w:rPr>
        <w:t>.</w:t>
      </w:r>
      <w:r w:rsidRPr="00D21A54">
        <w:rPr>
          <w:szCs w:val="20"/>
        </w:rPr>
        <w:t>253 en octubre de 2017 y 614</w:t>
      </w:r>
      <w:r>
        <w:rPr>
          <w:szCs w:val="20"/>
        </w:rPr>
        <w:t>.</w:t>
      </w:r>
      <w:r w:rsidRPr="00D21A54">
        <w:rPr>
          <w:szCs w:val="20"/>
        </w:rPr>
        <w:t>637 en diciembre de 2022. En octubre de 2017, 348</w:t>
      </w:r>
      <w:r>
        <w:rPr>
          <w:szCs w:val="20"/>
        </w:rPr>
        <w:t>.</w:t>
      </w:r>
      <w:r w:rsidRPr="00D21A54">
        <w:rPr>
          <w:szCs w:val="20"/>
        </w:rPr>
        <w:t>359 pacientes (58,6%) eran mujeres, 113</w:t>
      </w:r>
      <w:r>
        <w:rPr>
          <w:szCs w:val="20"/>
        </w:rPr>
        <w:t>.</w:t>
      </w:r>
      <w:r w:rsidRPr="00D21A54">
        <w:rPr>
          <w:szCs w:val="20"/>
        </w:rPr>
        <w:t>913 (19,2%) eran menores de 18 años, 292</w:t>
      </w:r>
      <w:r>
        <w:rPr>
          <w:szCs w:val="20"/>
        </w:rPr>
        <w:t>.</w:t>
      </w:r>
      <w:r w:rsidRPr="00D21A54">
        <w:rPr>
          <w:szCs w:val="20"/>
        </w:rPr>
        <w:t>730 (49,3%) utilizaban un corticosteroide inhalado (CSI) y 105</w:t>
      </w:r>
      <w:r>
        <w:rPr>
          <w:szCs w:val="20"/>
        </w:rPr>
        <w:t>.</w:t>
      </w:r>
      <w:r w:rsidRPr="00D21A54">
        <w:rPr>
          <w:szCs w:val="20"/>
        </w:rPr>
        <w:t xml:space="preserve">869 (17,8%) habían </w:t>
      </w:r>
      <w:r>
        <w:rPr>
          <w:szCs w:val="20"/>
        </w:rPr>
        <w:t>hecho</w:t>
      </w:r>
      <w:r w:rsidRPr="00D21A54">
        <w:rPr>
          <w:szCs w:val="20"/>
        </w:rPr>
        <w:t xml:space="preserve"> una o más visitas a urgencias u </w:t>
      </w:r>
      <w:r>
        <w:rPr>
          <w:szCs w:val="20"/>
        </w:rPr>
        <w:t xml:space="preserve">habían sido </w:t>
      </w:r>
      <w:r w:rsidRPr="00D21A54">
        <w:rPr>
          <w:szCs w:val="20"/>
        </w:rPr>
        <w:t>hospitaliza</w:t>
      </w:r>
      <w:r>
        <w:rPr>
          <w:szCs w:val="20"/>
        </w:rPr>
        <w:t>dos</w:t>
      </w:r>
      <w:r w:rsidRPr="00D21A54">
        <w:rPr>
          <w:szCs w:val="20"/>
        </w:rPr>
        <w:t xml:space="preserve"> </w:t>
      </w:r>
      <w:r>
        <w:rPr>
          <w:szCs w:val="20"/>
        </w:rPr>
        <w:t>por problemas relacionados</w:t>
      </w:r>
      <w:r w:rsidRPr="00D21A54">
        <w:rPr>
          <w:szCs w:val="20"/>
        </w:rPr>
        <w:t xml:space="preserve"> con el asma </w:t>
      </w:r>
      <w:r>
        <w:rPr>
          <w:szCs w:val="20"/>
        </w:rPr>
        <w:t>durante</w:t>
      </w:r>
      <w:r w:rsidRPr="00D21A54">
        <w:rPr>
          <w:szCs w:val="20"/>
        </w:rPr>
        <w:t xml:space="preserve"> el año </w:t>
      </w:r>
      <w:r>
        <w:rPr>
          <w:szCs w:val="20"/>
        </w:rPr>
        <w:t>previo</w:t>
      </w:r>
      <w:r w:rsidRPr="00D21A54">
        <w:rPr>
          <w:szCs w:val="20"/>
        </w:rPr>
        <w:t xml:space="preserve">. </w:t>
      </w:r>
    </w:p>
    <w:p w14:paraId="0B26A32A" w14:textId="77777777" w:rsidR="003125D3" w:rsidRDefault="003125D3" w:rsidP="003125D3">
      <w:pPr>
        <w:rPr>
          <w:szCs w:val="20"/>
        </w:rPr>
      </w:pPr>
    </w:p>
    <w:p w14:paraId="644E2DA4" w14:textId="77777777" w:rsidR="003125D3" w:rsidRDefault="003125D3" w:rsidP="003125D3">
      <w:pPr>
        <w:rPr>
          <w:szCs w:val="20"/>
        </w:rPr>
      </w:pPr>
      <w:r w:rsidRPr="00D21A54">
        <w:rPr>
          <w:szCs w:val="20"/>
        </w:rPr>
        <w:t xml:space="preserve">La prevalencia mensual basal del uso de </w:t>
      </w:r>
      <w:proofErr w:type="spellStart"/>
      <w:r w:rsidRPr="00EF49D6">
        <w:rPr>
          <w:i/>
          <w:iCs/>
          <w:szCs w:val="20"/>
        </w:rPr>
        <w:t>montelukast</w:t>
      </w:r>
      <w:proofErr w:type="spellEnd"/>
      <w:r w:rsidRPr="00D21A54">
        <w:rPr>
          <w:szCs w:val="20"/>
        </w:rPr>
        <w:t xml:space="preserve"> fue de 160,0 por cada 1</w:t>
      </w:r>
      <w:r>
        <w:rPr>
          <w:szCs w:val="20"/>
        </w:rPr>
        <w:t>.</w:t>
      </w:r>
      <w:r w:rsidRPr="00D21A54">
        <w:rPr>
          <w:szCs w:val="20"/>
        </w:rPr>
        <w:t xml:space="preserve">000 pacientes con asma, y a incidencia basal de nuevos usos de </w:t>
      </w:r>
      <w:proofErr w:type="spellStart"/>
      <w:r w:rsidRPr="00EF49D6">
        <w:rPr>
          <w:i/>
          <w:iCs/>
          <w:szCs w:val="20"/>
        </w:rPr>
        <w:t>montelukast</w:t>
      </w:r>
      <w:proofErr w:type="spellEnd"/>
      <w:r w:rsidRPr="00D21A54">
        <w:rPr>
          <w:szCs w:val="20"/>
        </w:rPr>
        <w:t xml:space="preserve"> fue de 5,8 por cada 1</w:t>
      </w:r>
      <w:r>
        <w:rPr>
          <w:szCs w:val="20"/>
        </w:rPr>
        <w:t>.</w:t>
      </w:r>
      <w:r w:rsidRPr="00D21A54">
        <w:rPr>
          <w:szCs w:val="20"/>
        </w:rPr>
        <w:t xml:space="preserve">000. Tras la advertencia en recuadro, el nivel de </w:t>
      </w:r>
      <w:r>
        <w:rPr>
          <w:szCs w:val="20"/>
        </w:rPr>
        <w:t xml:space="preserve">nuevas </w:t>
      </w:r>
      <w:r w:rsidRPr="00D21A54">
        <w:rPr>
          <w:szCs w:val="20"/>
        </w:rPr>
        <w:t xml:space="preserve">prescripciones mensuales de </w:t>
      </w:r>
      <w:proofErr w:type="spellStart"/>
      <w:r w:rsidRPr="00EF49D6">
        <w:rPr>
          <w:i/>
          <w:iCs/>
          <w:szCs w:val="20"/>
        </w:rPr>
        <w:t>montelukast</w:t>
      </w:r>
      <w:proofErr w:type="spellEnd"/>
      <w:r w:rsidRPr="00D21A54">
        <w:rPr>
          <w:szCs w:val="20"/>
        </w:rPr>
        <w:t xml:space="preserve"> disminuyó en 1,7 (IC del 95%, -2,2 a -1,3) por cada 1</w:t>
      </w:r>
      <w:r>
        <w:rPr>
          <w:szCs w:val="20"/>
        </w:rPr>
        <w:t>.</w:t>
      </w:r>
      <w:r w:rsidRPr="00D21A54">
        <w:rPr>
          <w:szCs w:val="20"/>
        </w:rPr>
        <w:t>000 y la tendencia en la prevalencia de</w:t>
      </w:r>
      <w:r>
        <w:rPr>
          <w:szCs w:val="20"/>
        </w:rPr>
        <w:t>l uso de</w:t>
      </w:r>
      <w:r w:rsidRPr="00D21A54">
        <w:rPr>
          <w:szCs w:val="20"/>
        </w:rPr>
        <w:t xml:space="preserve"> </w:t>
      </w:r>
      <w:proofErr w:type="spellStart"/>
      <w:r w:rsidRPr="00EF49D6">
        <w:rPr>
          <w:i/>
          <w:iCs/>
          <w:szCs w:val="20"/>
        </w:rPr>
        <w:t>montelukast</w:t>
      </w:r>
      <w:proofErr w:type="spellEnd"/>
      <w:r w:rsidRPr="00D21A54">
        <w:rPr>
          <w:szCs w:val="20"/>
        </w:rPr>
        <w:t xml:space="preserve"> disminuyó en 0,9 (IC del 95%, -1,1 a -0,6) por cada 1</w:t>
      </w:r>
      <w:r>
        <w:rPr>
          <w:szCs w:val="20"/>
        </w:rPr>
        <w:t>.</w:t>
      </w:r>
      <w:r w:rsidRPr="00D21A54">
        <w:rPr>
          <w:szCs w:val="20"/>
        </w:rPr>
        <w:t xml:space="preserve">000 al mes en comparación con la tendencia previa a la advertencia. </w:t>
      </w:r>
    </w:p>
    <w:p w14:paraId="2639CCF0" w14:textId="77777777" w:rsidR="003125D3" w:rsidRDefault="003125D3" w:rsidP="003125D3">
      <w:pPr>
        <w:rPr>
          <w:szCs w:val="20"/>
        </w:rPr>
      </w:pPr>
    </w:p>
    <w:p w14:paraId="1277DD4B" w14:textId="77777777" w:rsidR="003125D3" w:rsidRPr="00D21A54" w:rsidRDefault="003125D3" w:rsidP="003125D3">
      <w:pPr>
        <w:rPr>
          <w:szCs w:val="20"/>
        </w:rPr>
      </w:pPr>
      <w:r w:rsidRPr="00D21A54">
        <w:rPr>
          <w:szCs w:val="20"/>
        </w:rPr>
        <w:t xml:space="preserve">La tendencia en el uso prevalente de </w:t>
      </w:r>
      <w:proofErr w:type="spellStart"/>
      <w:r w:rsidRPr="00EF49D6">
        <w:rPr>
          <w:i/>
          <w:iCs/>
          <w:szCs w:val="20"/>
        </w:rPr>
        <w:t>montelukast</w:t>
      </w:r>
      <w:proofErr w:type="spellEnd"/>
      <w:r w:rsidRPr="00D21A54">
        <w:rPr>
          <w:szCs w:val="20"/>
        </w:rPr>
        <w:t xml:space="preserve"> disminuyó después de la advertencia en recuadro en todos los subgrupos de edad y gravedad del asma.</w:t>
      </w:r>
    </w:p>
    <w:p w14:paraId="1B715260" w14:textId="77777777" w:rsidR="003125D3" w:rsidRPr="00D21A54" w:rsidRDefault="003125D3" w:rsidP="003125D3">
      <w:pPr>
        <w:rPr>
          <w:color w:val="EE0000"/>
          <w:szCs w:val="20"/>
        </w:rPr>
      </w:pPr>
    </w:p>
    <w:p w14:paraId="5FDD8A27" w14:textId="2FC6FA4D" w:rsidR="003125D3" w:rsidRDefault="003125D3" w:rsidP="003125D3">
      <w:pPr>
        <w:rPr>
          <w:szCs w:val="20"/>
        </w:rPr>
      </w:pPr>
      <w:r w:rsidRPr="00D21A54">
        <w:rPr>
          <w:b/>
          <w:bCs/>
          <w:szCs w:val="20"/>
        </w:rPr>
        <w:t>Conclusiones y relevancia</w:t>
      </w:r>
      <w:r w:rsidR="0042686B">
        <w:rPr>
          <w:b/>
          <w:bCs/>
          <w:szCs w:val="20"/>
        </w:rPr>
        <w:t xml:space="preserve">. </w:t>
      </w:r>
      <w:r w:rsidRPr="00D21A54">
        <w:rPr>
          <w:szCs w:val="20"/>
        </w:rPr>
        <w:t xml:space="preserve">En este estudio transversal de pacientes con asma asegurados comercialmente, una advertencia en recuadro de la FDA para </w:t>
      </w:r>
      <w:proofErr w:type="spellStart"/>
      <w:r w:rsidRPr="00D21A54">
        <w:rPr>
          <w:i/>
          <w:iCs/>
          <w:szCs w:val="20"/>
        </w:rPr>
        <w:t>montelukast</w:t>
      </w:r>
      <w:proofErr w:type="spellEnd"/>
      <w:r w:rsidRPr="00D21A54">
        <w:rPr>
          <w:szCs w:val="20"/>
        </w:rPr>
        <w:t xml:space="preserve"> se asoció con cambios en el uso del tratamiento del asma en pacientes de todas las edades.</w:t>
      </w:r>
    </w:p>
    <w:p w14:paraId="5109F6EC" w14:textId="77777777" w:rsidR="003125D3" w:rsidRDefault="003125D3" w:rsidP="003125D3">
      <w:pPr>
        <w:rPr>
          <w:szCs w:val="20"/>
        </w:rPr>
      </w:pPr>
    </w:p>
    <w:p w14:paraId="0652A623" w14:textId="77777777" w:rsidR="003125D3" w:rsidRPr="008F169D" w:rsidRDefault="003125D3" w:rsidP="003125D3">
      <w:pPr>
        <w:rPr>
          <w:b/>
          <w:bCs/>
          <w:szCs w:val="20"/>
        </w:rPr>
      </w:pPr>
      <w:r w:rsidRPr="008F169D">
        <w:rPr>
          <w:b/>
          <w:bCs/>
          <w:szCs w:val="20"/>
        </w:rPr>
        <w:t xml:space="preserve">Comentario de Salud y Fármacos: </w:t>
      </w:r>
      <w:proofErr w:type="spellStart"/>
      <w:r w:rsidRPr="008F169D">
        <w:rPr>
          <w:szCs w:val="20"/>
        </w:rPr>
        <w:t>Rizk</w:t>
      </w:r>
      <w:proofErr w:type="spellEnd"/>
      <w:r w:rsidRPr="008F169D">
        <w:rPr>
          <w:szCs w:val="20"/>
        </w:rPr>
        <w:t xml:space="preserve"> y Lewin publicaron un comentario [1] sobre las advertencias en los prospectos de medicamentos que hace referencia a lo ocurrido con el caso </w:t>
      </w:r>
      <w:proofErr w:type="spellStart"/>
      <w:r w:rsidRPr="008F169D">
        <w:rPr>
          <w:i/>
          <w:iCs/>
          <w:szCs w:val="20"/>
        </w:rPr>
        <w:t>montelukast</w:t>
      </w:r>
      <w:proofErr w:type="spellEnd"/>
      <w:r w:rsidRPr="008F169D">
        <w:rPr>
          <w:szCs w:val="20"/>
        </w:rPr>
        <w:t>. A continuación, resumimos los aspectos más destacados.</w:t>
      </w:r>
    </w:p>
    <w:p w14:paraId="2BBC3D7F" w14:textId="77777777" w:rsidR="003125D3" w:rsidRPr="008F169D" w:rsidRDefault="003125D3" w:rsidP="003125D3">
      <w:pPr>
        <w:rPr>
          <w:szCs w:val="20"/>
        </w:rPr>
      </w:pPr>
    </w:p>
    <w:p w14:paraId="6F8FEE20" w14:textId="77777777" w:rsidR="003125D3" w:rsidRPr="008F169D" w:rsidRDefault="003125D3" w:rsidP="003125D3">
      <w:pPr>
        <w:rPr>
          <w:szCs w:val="20"/>
        </w:rPr>
      </w:pPr>
      <w:r w:rsidRPr="008F169D">
        <w:rPr>
          <w:szCs w:val="20"/>
        </w:rPr>
        <w:t xml:space="preserve">Después del 2007, año en que la FDA recibió los primeros reportes post comercialización sobre los eventos neuropsiquiátricos asociados con </w:t>
      </w:r>
      <w:proofErr w:type="spellStart"/>
      <w:r w:rsidRPr="008F169D">
        <w:rPr>
          <w:i/>
          <w:iCs/>
          <w:szCs w:val="20"/>
        </w:rPr>
        <w:t>montelukast</w:t>
      </w:r>
      <w:proofErr w:type="spellEnd"/>
      <w:r w:rsidRPr="008F169D">
        <w:rPr>
          <w:szCs w:val="20"/>
        </w:rPr>
        <w:t xml:space="preserve">, la agencia emitió cuatro comunicados de seguridad que advertían sobre posibles efectos adversos en la salud mental. En 2020, la FDA exigió la inclusión de una advertencia de recuadro negro en la etiqueta/ficha técnica de </w:t>
      </w:r>
      <w:proofErr w:type="spellStart"/>
      <w:r w:rsidRPr="008F169D">
        <w:rPr>
          <w:i/>
          <w:iCs/>
          <w:szCs w:val="20"/>
        </w:rPr>
        <w:t>montelukast</w:t>
      </w:r>
      <w:proofErr w:type="spellEnd"/>
      <w:r w:rsidRPr="008F169D">
        <w:rPr>
          <w:i/>
          <w:iCs/>
          <w:szCs w:val="20"/>
        </w:rPr>
        <w:t xml:space="preserve"> </w:t>
      </w:r>
      <w:r w:rsidRPr="008F169D">
        <w:rPr>
          <w:szCs w:val="20"/>
        </w:rPr>
        <w:t xml:space="preserve">[2]. </w:t>
      </w:r>
    </w:p>
    <w:p w14:paraId="7FAF3C47" w14:textId="77777777" w:rsidR="003125D3" w:rsidRPr="008F169D" w:rsidRDefault="003125D3" w:rsidP="003125D3">
      <w:pPr>
        <w:rPr>
          <w:szCs w:val="20"/>
        </w:rPr>
      </w:pPr>
    </w:p>
    <w:p w14:paraId="00A87D56" w14:textId="77777777" w:rsidR="003125D3" w:rsidRPr="008F169D" w:rsidRDefault="003125D3" w:rsidP="003125D3">
      <w:pPr>
        <w:rPr>
          <w:szCs w:val="20"/>
        </w:rPr>
      </w:pPr>
      <w:r w:rsidRPr="008F169D">
        <w:rPr>
          <w:szCs w:val="20"/>
        </w:rPr>
        <w:t>Las advertencias constituyen el principal mecanismo para comunicar los hallazgos de farmacovigilancia a los prescriptores y consumidores. Estas acciones deberían tener un impacto en la comercialización del medicamento y deberían recibir cobertura mediática, pero hasta ahora no se ya estudiado el impacto que tienen estas comunicaciones como estrategia de farmacovigilancia.</w:t>
      </w:r>
    </w:p>
    <w:p w14:paraId="5ADD045D" w14:textId="77777777" w:rsidR="003125D3" w:rsidRPr="008F169D" w:rsidRDefault="003125D3" w:rsidP="003125D3">
      <w:pPr>
        <w:rPr>
          <w:szCs w:val="20"/>
        </w:rPr>
      </w:pPr>
    </w:p>
    <w:p w14:paraId="6BFD3F7F" w14:textId="77777777" w:rsidR="003125D3" w:rsidRPr="008F169D" w:rsidRDefault="003125D3" w:rsidP="003125D3">
      <w:pPr>
        <w:rPr>
          <w:szCs w:val="20"/>
        </w:rPr>
      </w:pPr>
      <w:r w:rsidRPr="008F169D">
        <w:rPr>
          <w:szCs w:val="20"/>
        </w:rPr>
        <w:t xml:space="preserve">La investigación de </w:t>
      </w:r>
      <w:proofErr w:type="spellStart"/>
      <w:r w:rsidRPr="008F169D">
        <w:rPr>
          <w:szCs w:val="20"/>
        </w:rPr>
        <w:t>Shanmugam</w:t>
      </w:r>
      <w:proofErr w:type="spellEnd"/>
      <w:r w:rsidRPr="008F169D">
        <w:rPr>
          <w:szCs w:val="20"/>
        </w:rPr>
        <w:t xml:space="preserve"> et al [3] evaluó si la advertencia de recuadro de la FDA sobre los posibles efectos adversos neuropsiquiátricos del </w:t>
      </w:r>
      <w:proofErr w:type="spellStart"/>
      <w:r w:rsidRPr="008F169D">
        <w:rPr>
          <w:i/>
          <w:iCs/>
          <w:szCs w:val="20"/>
        </w:rPr>
        <w:t>montelukast</w:t>
      </w:r>
      <w:proofErr w:type="spellEnd"/>
      <w:r w:rsidRPr="008F169D">
        <w:rPr>
          <w:i/>
          <w:iCs/>
          <w:szCs w:val="20"/>
        </w:rPr>
        <w:t>,</w:t>
      </w:r>
      <w:r w:rsidRPr="008F169D">
        <w:rPr>
          <w:szCs w:val="20"/>
        </w:rPr>
        <w:t xml:space="preserve"> se asoció con cambios en la prescripción para los pacientes con asma. Los autores observaron una reducción relativa del 30% en el inicio del tratamiento con </w:t>
      </w:r>
      <w:proofErr w:type="spellStart"/>
      <w:r w:rsidRPr="008F169D">
        <w:rPr>
          <w:i/>
          <w:szCs w:val="20"/>
        </w:rPr>
        <w:t>montelukast</w:t>
      </w:r>
      <w:proofErr w:type="spellEnd"/>
      <w:r w:rsidRPr="008F169D">
        <w:rPr>
          <w:szCs w:val="20"/>
        </w:rPr>
        <w:t xml:space="preserve"> y una reducción relativa del 5% en su prevalencia de uso tras la advertencia.</w:t>
      </w:r>
    </w:p>
    <w:p w14:paraId="6D79DD06" w14:textId="77777777" w:rsidR="003125D3" w:rsidRPr="005C5D82" w:rsidRDefault="003125D3" w:rsidP="003125D3">
      <w:pPr>
        <w:rPr>
          <w:szCs w:val="20"/>
          <w:highlight w:val="cyan"/>
        </w:rPr>
      </w:pPr>
    </w:p>
    <w:p w14:paraId="0C1A6D3D" w14:textId="604546AE" w:rsidR="003125D3" w:rsidRDefault="003125D3" w:rsidP="003125D3">
      <w:pPr>
        <w:rPr>
          <w:szCs w:val="20"/>
        </w:rPr>
      </w:pPr>
      <w:r w:rsidRPr="008F169D">
        <w:rPr>
          <w:szCs w:val="20"/>
        </w:rPr>
        <w:t xml:space="preserve">La FDA estableció una distinción explícita entre las dos indicaciones principales del </w:t>
      </w:r>
      <w:proofErr w:type="spellStart"/>
      <w:r w:rsidRPr="008F169D">
        <w:rPr>
          <w:i/>
          <w:iCs/>
          <w:szCs w:val="20"/>
        </w:rPr>
        <w:t>montelukast</w:t>
      </w:r>
      <w:proofErr w:type="spellEnd"/>
      <w:r w:rsidRPr="008F169D">
        <w:rPr>
          <w:szCs w:val="20"/>
        </w:rPr>
        <w:t>. En el caso de la rinitis alérgica</w:t>
      </w:r>
      <w:r>
        <w:rPr>
          <w:szCs w:val="20"/>
        </w:rPr>
        <w:t xml:space="preserve"> </w:t>
      </w:r>
      <w:r w:rsidRPr="008F169D">
        <w:rPr>
          <w:szCs w:val="20"/>
        </w:rPr>
        <w:t xml:space="preserve">existen alternativas fácilmente disponibles, por lo que el </w:t>
      </w:r>
      <w:proofErr w:type="spellStart"/>
      <w:r w:rsidRPr="003125D3">
        <w:rPr>
          <w:i/>
          <w:iCs/>
          <w:szCs w:val="20"/>
        </w:rPr>
        <w:t>montelukast</w:t>
      </w:r>
      <w:proofErr w:type="spellEnd"/>
      <w:r w:rsidRPr="008F169D">
        <w:rPr>
          <w:szCs w:val="20"/>
        </w:rPr>
        <w:t xml:space="preserve"> debía reservarse para pacientes que no hubieran experimentado mejoría con otros tratamientos. En cuanto al asma, cuya gravedad varía considerablemente y donde algunos pacientes con síntomas refractarios cuentan con pocas opciones, su uso debía determinarse caso por caso. </w:t>
      </w:r>
    </w:p>
    <w:p w14:paraId="0958F64F" w14:textId="77777777" w:rsidR="003125D3" w:rsidRDefault="003125D3" w:rsidP="003125D3">
      <w:pPr>
        <w:rPr>
          <w:szCs w:val="20"/>
        </w:rPr>
      </w:pPr>
    </w:p>
    <w:p w14:paraId="772132FA" w14:textId="6CDD858A" w:rsidR="003125D3" w:rsidRPr="008F169D" w:rsidRDefault="003125D3" w:rsidP="003125D3">
      <w:pPr>
        <w:rPr>
          <w:szCs w:val="20"/>
        </w:rPr>
      </w:pPr>
      <w:r w:rsidRPr="008F169D">
        <w:rPr>
          <w:szCs w:val="20"/>
        </w:rPr>
        <w:t xml:space="preserve">La disminución en la prescripción en todos los subgrupos de gravedad del asma, reportada por </w:t>
      </w:r>
      <w:proofErr w:type="spellStart"/>
      <w:r w:rsidRPr="008F169D">
        <w:rPr>
          <w:szCs w:val="20"/>
        </w:rPr>
        <w:t>Shanmugam</w:t>
      </w:r>
      <w:proofErr w:type="spellEnd"/>
      <w:r w:rsidRPr="008F169D">
        <w:rPr>
          <w:szCs w:val="20"/>
        </w:rPr>
        <w:t xml:space="preserve"> et al [3], sugiere que el mensaje más visible de la advertencia pudo haber eclipsado las recomendaciones más matizadas, destinadas a preservar el acceso al </w:t>
      </w:r>
      <w:proofErr w:type="spellStart"/>
      <w:r w:rsidRPr="008F169D">
        <w:rPr>
          <w:i/>
          <w:szCs w:val="20"/>
        </w:rPr>
        <w:t>montelukast</w:t>
      </w:r>
      <w:proofErr w:type="spellEnd"/>
      <w:r w:rsidRPr="008F169D">
        <w:rPr>
          <w:szCs w:val="20"/>
        </w:rPr>
        <w:t xml:space="preserve"> para los pacientes con mayores necesidades. </w:t>
      </w:r>
    </w:p>
    <w:p w14:paraId="4FAD8E24" w14:textId="77777777" w:rsidR="003125D3" w:rsidRPr="008F169D" w:rsidRDefault="003125D3" w:rsidP="003125D3">
      <w:pPr>
        <w:rPr>
          <w:szCs w:val="20"/>
        </w:rPr>
      </w:pPr>
    </w:p>
    <w:p w14:paraId="5032D584" w14:textId="77777777" w:rsidR="003125D3" w:rsidRPr="008F169D" w:rsidRDefault="003125D3" w:rsidP="003125D3">
      <w:pPr>
        <w:rPr>
          <w:szCs w:val="20"/>
        </w:rPr>
      </w:pPr>
      <w:r w:rsidRPr="008F169D">
        <w:rPr>
          <w:szCs w:val="20"/>
        </w:rPr>
        <w:t xml:space="preserve">Cuando surgen problemas de seguridad con un solo fármaco dentro de una clase terapéutica, los organismos reguladores deben decidir si las advertencias se aplican solo al fármaco involucrado o a toda la clase [5]. En 2009, se añadieron precauciones sobre los efectos neuropsiquiátricos a las etiquetas de otros agentes modificadores de leucotrienos (pero no recibieron la advertencia de recuadro negro), como </w:t>
      </w:r>
      <w:proofErr w:type="spellStart"/>
      <w:r w:rsidRPr="008F169D">
        <w:rPr>
          <w:i/>
          <w:iCs/>
          <w:szCs w:val="20"/>
        </w:rPr>
        <w:t>zafirlukast</w:t>
      </w:r>
      <w:proofErr w:type="spellEnd"/>
      <w:r w:rsidRPr="008F169D">
        <w:rPr>
          <w:i/>
          <w:iCs/>
          <w:szCs w:val="20"/>
        </w:rPr>
        <w:t xml:space="preserve"> </w:t>
      </w:r>
      <w:r w:rsidRPr="008F169D">
        <w:rPr>
          <w:szCs w:val="20"/>
        </w:rPr>
        <w:t xml:space="preserve">y </w:t>
      </w:r>
      <w:proofErr w:type="spellStart"/>
      <w:r w:rsidRPr="008F169D">
        <w:rPr>
          <w:i/>
          <w:iCs/>
          <w:szCs w:val="20"/>
        </w:rPr>
        <w:t>zileutón</w:t>
      </w:r>
      <w:proofErr w:type="spellEnd"/>
      <w:r w:rsidRPr="008F169D">
        <w:rPr>
          <w:i/>
          <w:iCs/>
          <w:szCs w:val="20"/>
        </w:rPr>
        <w:t>,</w:t>
      </w:r>
      <w:r w:rsidRPr="008F169D">
        <w:rPr>
          <w:szCs w:val="20"/>
        </w:rPr>
        <w:t xml:space="preserve"> que se utilizan mucho menos que </w:t>
      </w:r>
      <w:proofErr w:type="spellStart"/>
      <w:r w:rsidRPr="008F169D">
        <w:rPr>
          <w:i/>
          <w:iCs/>
          <w:szCs w:val="20"/>
        </w:rPr>
        <w:t>montelukast</w:t>
      </w:r>
      <w:proofErr w:type="spellEnd"/>
      <w:r w:rsidRPr="008F169D">
        <w:rPr>
          <w:szCs w:val="20"/>
        </w:rPr>
        <w:t xml:space="preserve"> y no están aprobados para la rinitis alérgica [2]. </w:t>
      </w:r>
    </w:p>
    <w:p w14:paraId="49360C02" w14:textId="77777777" w:rsidR="003125D3" w:rsidRPr="008F169D" w:rsidRDefault="003125D3" w:rsidP="003125D3">
      <w:pPr>
        <w:rPr>
          <w:szCs w:val="20"/>
          <w:lang w:val="es-ES"/>
        </w:rPr>
      </w:pPr>
    </w:p>
    <w:p w14:paraId="3A64F0F4" w14:textId="37F9ADEF" w:rsidR="003125D3" w:rsidRDefault="003125D3" w:rsidP="003125D3">
      <w:pPr>
        <w:rPr>
          <w:szCs w:val="20"/>
        </w:rPr>
      </w:pPr>
      <w:r w:rsidRPr="008F169D">
        <w:rPr>
          <w:szCs w:val="20"/>
        </w:rPr>
        <w:t xml:space="preserve">La reducción relativa en el inicio del tratamiento notificada por </w:t>
      </w:r>
      <w:proofErr w:type="spellStart"/>
      <w:r w:rsidRPr="008F169D">
        <w:rPr>
          <w:szCs w:val="20"/>
        </w:rPr>
        <w:t>Shanmugam</w:t>
      </w:r>
      <w:proofErr w:type="spellEnd"/>
      <w:r w:rsidRPr="008F169D">
        <w:rPr>
          <w:szCs w:val="20"/>
        </w:rPr>
        <w:t xml:space="preserve"> et al [3] puede parecer sustancial, pero los cambios absolutos en la prescripción fueron pequeños. La disminución en el uso de nuevos medicamentos refleja una reducción inmediata de </w:t>
      </w:r>
      <w:r>
        <w:rPr>
          <w:szCs w:val="20"/>
        </w:rPr>
        <w:t>una</w:t>
      </w:r>
      <w:r w:rsidRPr="008F169D">
        <w:rPr>
          <w:szCs w:val="20"/>
        </w:rPr>
        <w:t xml:space="preserve"> a </w:t>
      </w:r>
      <w:r>
        <w:rPr>
          <w:szCs w:val="20"/>
        </w:rPr>
        <w:t>dos</w:t>
      </w:r>
      <w:r w:rsidRPr="008F169D">
        <w:rPr>
          <w:szCs w:val="20"/>
        </w:rPr>
        <w:t xml:space="preserve"> recetas nuevas por cada 1.000 pacientes con asma, mientras que el uso prevalente de </w:t>
      </w:r>
      <w:proofErr w:type="spellStart"/>
      <w:r w:rsidRPr="008F169D">
        <w:rPr>
          <w:i/>
          <w:iCs/>
          <w:szCs w:val="20"/>
        </w:rPr>
        <w:t>montelukast</w:t>
      </w:r>
      <w:proofErr w:type="spellEnd"/>
      <w:r w:rsidRPr="008F169D">
        <w:rPr>
          <w:szCs w:val="20"/>
        </w:rPr>
        <w:t xml:space="preserve"> disminuyó de forma gradual en aproximadamente 8 por cada 1.000 en un periodo superior a 2 años. </w:t>
      </w:r>
    </w:p>
    <w:p w14:paraId="3F78DB47" w14:textId="77777777" w:rsidR="003125D3" w:rsidRDefault="003125D3" w:rsidP="003125D3">
      <w:pPr>
        <w:rPr>
          <w:szCs w:val="20"/>
        </w:rPr>
      </w:pPr>
    </w:p>
    <w:p w14:paraId="39778783" w14:textId="4D7C954F" w:rsidR="003125D3" w:rsidRPr="008F169D" w:rsidRDefault="003125D3" w:rsidP="003125D3">
      <w:pPr>
        <w:rPr>
          <w:szCs w:val="20"/>
        </w:rPr>
      </w:pPr>
      <w:r w:rsidRPr="008F169D">
        <w:rPr>
          <w:szCs w:val="20"/>
        </w:rPr>
        <w:t xml:space="preserve">Aunque el cambio es pequeño, es superior a los cambios mínimos o nulos en la prescripción de </w:t>
      </w:r>
      <w:proofErr w:type="spellStart"/>
      <w:r w:rsidRPr="008F169D">
        <w:rPr>
          <w:i/>
          <w:iCs/>
          <w:szCs w:val="20"/>
        </w:rPr>
        <w:t>bupropión</w:t>
      </w:r>
      <w:proofErr w:type="spellEnd"/>
      <w:r w:rsidRPr="008F169D">
        <w:rPr>
          <w:szCs w:val="20"/>
        </w:rPr>
        <w:t xml:space="preserve"> y </w:t>
      </w:r>
      <w:r w:rsidRPr="008F169D">
        <w:rPr>
          <w:i/>
          <w:iCs/>
          <w:szCs w:val="20"/>
        </w:rPr>
        <w:t>tramadol</w:t>
      </w:r>
      <w:r w:rsidRPr="008F169D">
        <w:rPr>
          <w:szCs w:val="20"/>
        </w:rPr>
        <w:t xml:space="preserve"> tras la emisión de advertencias en recuadro negro para dichos medicamentos [6, 7], por lo que los resultados para el </w:t>
      </w:r>
      <w:proofErr w:type="spellStart"/>
      <w:r w:rsidRPr="008F169D">
        <w:rPr>
          <w:i/>
          <w:iCs/>
          <w:szCs w:val="20"/>
        </w:rPr>
        <w:t>montelukast</w:t>
      </w:r>
      <w:proofErr w:type="spellEnd"/>
      <w:r w:rsidRPr="008F169D">
        <w:rPr>
          <w:szCs w:val="20"/>
        </w:rPr>
        <w:t xml:space="preserve"> podrían representar un éxito relativo.</w:t>
      </w:r>
    </w:p>
    <w:p w14:paraId="39967DD0" w14:textId="77777777" w:rsidR="003125D3" w:rsidRPr="008F169D" w:rsidRDefault="003125D3" w:rsidP="003125D3">
      <w:pPr>
        <w:rPr>
          <w:szCs w:val="20"/>
        </w:rPr>
      </w:pPr>
    </w:p>
    <w:p w14:paraId="5D656A81" w14:textId="77777777" w:rsidR="003125D3" w:rsidRPr="008F169D" w:rsidRDefault="003125D3" w:rsidP="003125D3">
      <w:pPr>
        <w:rPr>
          <w:szCs w:val="20"/>
        </w:rPr>
      </w:pPr>
      <w:r w:rsidRPr="008F169D">
        <w:rPr>
          <w:szCs w:val="20"/>
        </w:rPr>
        <w:t xml:space="preserve">El caso más exitoso es el de la </w:t>
      </w:r>
      <w:proofErr w:type="spellStart"/>
      <w:r w:rsidRPr="008F169D">
        <w:rPr>
          <w:i/>
          <w:iCs/>
          <w:szCs w:val="20"/>
        </w:rPr>
        <w:t>rosiglitazona</w:t>
      </w:r>
      <w:proofErr w:type="spellEnd"/>
      <w:r w:rsidRPr="008F169D">
        <w:rPr>
          <w:szCs w:val="20"/>
        </w:rPr>
        <w:t xml:space="preserve">, cuyas prescripciones se redujeron en el 70% después de la emisión de la advertencia de 2007, algo que se produjo en el contexto de un metaanálisis y de un gran revuelo mediático [8]. Para </w:t>
      </w:r>
      <w:proofErr w:type="spellStart"/>
      <w:r w:rsidRPr="008F169D">
        <w:rPr>
          <w:szCs w:val="20"/>
        </w:rPr>
        <w:t>Rizk</w:t>
      </w:r>
      <w:proofErr w:type="spellEnd"/>
      <w:r w:rsidRPr="008F169D">
        <w:rPr>
          <w:szCs w:val="20"/>
        </w:rPr>
        <w:t xml:space="preserve"> y Lewin estos hallazgos sugieren que, si bien dichas advertencias </w:t>
      </w:r>
      <w:r w:rsidRPr="008F169D">
        <w:rPr>
          <w:szCs w:val="20"/>
        </w:rPr>
        <w:lastRenderedPageBreak/>
        <w:t>son esenciales y deben emitirse cuando sea necesario, rara vez son suficientes para modificar significativamente el comportamiento de los prescriptores [1].</w:t>
      </w:r>
    </w:p>
    <w:p w14:paraId="16B3BDD1" w14:textId="77777777" w:rsidR="003125D3" w:rsidRPr="008F169D" w:rsidRDefault="003125D3" w:rsidP="003125D3">
      <w:pPr>
        <w:rPr>
          <w:szCs w:val="20"/>
        </w:rPr>
      </w:pPr>
    </w:p>
    <w:p w14:paraId="0885C46F" w14:textId="77777777" w:rsidR="003125D3" w:rsidRPr="008F169D" w:rsidRDefault="003125D3" w:rsidP="003125D3">
      <w:pPr>
        <w:rPr>
          <w:szCs w:val="20"/>
        </w:rPr>
      </w:pPr>
      <w:proofErr w:type="spellStart"/>
      <w:r w:rsidRPr="008F169D">
        <w:rPr>
          <w:szCs w:val="20"/>
        </w:rPr>
        <w:t>Shanmugam</w:t>
      </w:r>
      <w:proofErr w:type="spellEnd"/>
      <w:r w:rsidRPr="008F169D">
        <w:rPr>
          <w:szCs w:val="20"/>
        </w:rPr>
        <w:t xml:space="preserve"> et al [3] especulan que tal vez los médicos siguieron prescribiendo </w:t>
      </w:r>
      <w:proofErr w:type="spellStart"/>
      <w:r w:rsidRPr="008F169D">
        <w:rPr>
          <w:i/>
          <w:szCs w:val="20"/>
        </w:rPr>
        <w:t>montelukast</w:t>
      </w:r>
      <w:proofErr w:type="spellEnd"/>
      <w:r w:rsidRPr="008F169D">
        <w:rPr>
          <w:szCs w:val="20"/>
        </w:rPr>
        <w:t xml:space="preserve"> a los pacientes estables, especialmente aquellos con enfermedad refractaria donde los beneficios superan los riesgos, pero también </w:t>
      </w:r>
      <w:proofErr w:type="spellStart"/>
      <w:r w:rsidRPr="008F169D">
        <w:rPr>
          <w:szCs w:val="20"/>
        </w:rPr>
        <w:t>sufieren</w:t>
      </w:r>
      <w:proofErr w:type="spellEnd"/>
      <w:r w:rsidRPr="008F169D">
        <w:rPr>
          <w:szCs w:val="20"/>
        </w:rPr>
        <w:t xml:space="preserve"> que podrían no haberse enterado o dado suficiente importancia a la advertencia y/o decidieron monitorear más de cerca al paciente en lugar de cambiar la prescripción [3]. Otra posibilidad es que los médicos tuvieran incertidumbre sobre la asociación causal entre el uso de </w:t>
      </w:r>
      <w:proofErr w:type="spellStart"/>
      <w:r w:rsidRPr="008F169D">
        <w:rPr>
          <w:i/>
          <w:iCs/>
          <w:szCs w:val="20"/>
        </w:rPr>
        <w:t>montelukast</w:t>
      </w:r>
      <w:proofErr w:type="spellEnd"/>
      <w:r w:rsidRPr="008F169D">
        <w:rPr>
          <w:szCs w:val="20"/>
        </w:rPr>
        <w:t xml:space="preserve"> y los eventos neuropsiquiátricos [3]. </w:t>
      </w:r>
    </w:p>
    <w:p w14:paraId="0ECD9112" w14:textId="77777777" w:rsidR="003125D3" w:rsidRPr="008F169D" w:rsidRDefault="003125D3" w:rsidP="003125D3">
      <w:pPr>
        <w:rPr>
          <w:szCs w:val="20"/>
        </w:rPr>
      </w:pPr>
    </w:p>
    <w:p w14:paraId="7F432299" w14:textId="77777777" w:rsidR="003125D3" w:rsidRPr="008F169D" w:rsidRDefault="003125D3" w:rsidP="003125D3">
      <w:pPr>
        <w:rPr>
          <w:szCs w:val="20"/>
        </w:rPr>
      </w:pPr>
      <w:r w:rsidRPr="008F169D">
        <w:rPr>
          <w:szCs w:val="20"/>
        </w:rPr>
        <w:t xml:space="preserve">Las advertencias de recuadro negro pueden eliminarse si la evidencia posterior no confirma el riesgo de seguridad causal inicialmente sospechado. En el caso de </w:t>
      </w:r>
      <w:proofErr w:type="spellStart"/>
      <w:r w:rsidRPr="008F169D">
        <w:rPr>
          <w:i/>
          <w:iCs/>
          <w:szCs w:val="20"/>
        </w:rPr>
        <w:t>montelukast</w:t>
      </w:r>
      <w:proofErr w:type="spellEnd"/>
      <w:r w:rsidRPr="008F169D">
        <w:rPr>
          <w:szCs w:val="20"/>
        </w:rPr>
        <w:t xml:space="preserve"> la evidencia causal sigue siendo objeto de debate y pese a esa incertidumbre, la FDA adoptó un enfoque de precaución al emitir la advertencia más destacada [1].</w:t>
      </w:r>
    </w:p>
    <w:p w14:paraId="4D93373A" w14:textId="77777777" w:rsidR="003125D3" w:rsidRPr="008F169D" w:rsidRDefault="003125D3" w:rsidP="003125D3">
      <w:pPr>
        <w:rPr>
          <w:szCs w:val="20"/>
        </w:rPr>
      </w:pPr>
    </w:p>
    <w:p w14:paraId="23BA786D" w14:textId="77777777" w:rsidR="003125D3" w:rsidRPr="008F169D" w:rsidRDefault="003125D3" w:rsidP="003125D3">
      <w:pPr>
        <w:rPr>
          <w:szCs w:val="20"/>
        </w:rPr>
      </w:pPr>
      <w:r w:rsidRPr="008F169D">
        <w:rPr>
          <w:szCs w:val="20"/>
        </w:rPr>
        <w:t xml:space="preserve">Finalmente, </w:t>
      </w:r>
      <w:proofErr w:type="spellStart"/>
      <w:r w:rsidRPr="008F169D">
        <w:rPr>
          <w:szCs w:val="20"/>
        </w:rPr>
        <w:t>Rizk</w:t>
      </w:r>
      <w:proofErr w:type="spellEnd"/>
      <w:r w:rsidRPr="008F169D">
        <w:rPr>
          <w:szCs w:val="20"/>
        </w:rPr>
        <w:t xml:space="preserve"> y Lewin concluyen su comentario destacando que se ha invertido mucho en cómo evaluar la evidencia para la toma de decisiones regulatorias, pero afirma que persisten vacíos en la comprensión de lo que sucede después de que se toman e implementan dichas decisiones. Es decir, se ha prestado poca atención a cómo se traducen las advertencias de la FDA en cambios significativos en la atención médica [1]. </w:t>
      </w:r>
    </w:p>
    <w:p w14:paraId="43AAA498" w14:textId="77777777" w:rsidR="003125D3" w:rsidRPr="008F169D" w:rsidRDefault="003125D3" w:rsidP="003125D3">
      <w:pPr>
        <w:rPr>
          <w:szCs w:val="20"/>
        </w:rPr>
      </w:pPr>
    </w:p>
    <w:p w14:paraId="618CDDA1" w14:textId="77777777" w:rsidR="00952C85" w:rsidRDefault="003125D3" w:rsidP="003125D3">
      <w:pPr>
        <w:rPr>
          <w:szCs w:val="20"/>
        </w:rPr>
      </w:pPr>
      <w:r w:rsidRPr="008F169D">
        <w:rPr>
          <w:szCs w:val="20"/>
        </w:rPr>
        <w:t xml:space="preserve">Los autores plantean la necesidad de comprender mejor cómo se interpretan las comunicaciones sobre la seguridad de los fármacos y cómo se incorporan las recomendaciones de los reguladores en la práctica clínica [1]. </w:t>
      </w:r>
    </w:p>
    <w:p w14:paraId="6E2D41C6" w14:textId="77777777" w:rsidR="00952C85" w:rsidRDefault="00952C85" w:rsidP="003125D3">
      <w:pPr>
        <w:rPr>
          <w:szCs w:val="20"/>
        </w:rPr>
      </w:pPr>
    </w:p>
    <w:p w14:paraId="04794180" w14:textId="741F41D3" w:rsidR="003125D3" w:rsidRDefault="003125D3" w:rsidP="003125D3">
      <w:pPr>
        <w:rPr>
          <w:szCs w:val="20"/>
        </w:rPr>
      </w:pPr>
      <w:proofErr w:type="spellStart"/>
      <w:r w:rsidRPr="008F169D">
        <w:rPr>
          <w:szCs w:val="20"/>
        </w:rPr>
        <w:t>Rizk</w:t>
      </w:r>
      <w:proofErr w:type="spellEnd"/>
      <w:r w:rsidRPr="008F169D">
        <w:rPr>
          <w:szCs w:val="20"/>
        </w:rPr>
        <w:t xml:space="preserve"> y Lewin invitan a abordar esta brecha con estrategias complementarias (mecanismos de refuerzo, mensajes específicos, canales de comunicación eficaces y herramientas de apoyo a la toma de decisiones personalizadas), para que las recomendaciones de la agencia se vean reflejadas en cambios </w:t>
      </w:r>
      <w:r w:rsidRPr="008F169D">
        <w:rPr>
          <w:szCs w:val="20"/>
        </w:rPr>
        <w:t>significativos que disminuyan los riesgos de los consumidores de fármacos [1].</w:t>
      </w:r>
    </w:p>
    <w:p w14:paraId="3AD27CA7" w14:textId="77777777" w:rsidR="003125D3" w:rsidRDefault="003125D3" w:rsidP="003125D3">
      <w:pPr>
        <w:rPr>
          <w:szCs w:val="20"/>
        </w:rPr>
      </w:pPr>
    </w:p>
    <w:p w14:paraId="3804F281" w14:textId="77777777" w:rsidR="003125D3" w:rsidRPr="00904828" w:rsidRDefault="003125D3" w:rsidP="003125D3">
      <w:pPr>
        <w:rPr>
          <w:b/>
          <w:bCs/>
          <w:sz w:val="18"/>
          <w:szCs w:val="18"/>
          <w:lang w:val="en-US"/>
        </w:rPr>
      </w:pPr>
      <w:r w:rsidRPr="00904828">
        <w:rPr>
          <w:b/>
          <w:bCs/>
          <w:sz w:val="18"/>
          <w:szCs w:val="18"/>
          <w:lang w:val="en-US"/>
        </w:rPr>
        <w:t>Fuente Original:</w:t>
      </w:r>
    </w:p>
    <w:p w14:paraId="30D7FE8E" w14:textId="77777777" w:rsidR="003125D3" w:rsidRPr="001E6BEB" w:rsidRDefault="003125D3" w:rsidP="003125D3">
      <w:pPr>
        <w:ind w:left="180" w:hanging="180"/>
        <w:rPr>
          <w:sz w:val="18"/>
          <w:szCs w:val="18"/>
          <w:lang w:val="en-US"/>
        </w:rPr>
      </w:pPr>
      <w:r>
        <w:rPr>
          <w:sz w:val="18"/>
          <w:szCs w:val="18"/>
          <w:lang w:val="en-US"/>
        </w:rPr>
        <w:t>1.</w:t>
      </w:r>
      <w:r w:rsidRPr="007359BA">
        <w:rPr>
          <w:sz w:val="18"/>
          <w:szCs w:val="18"/>
          <w:lang w:val="en-US"/>
        </w:rPr>
        <w:t>Rizk JG,</w:t>
      </w:r>
      <w:r>
        <w:rPr>
          <w:sz w:val="18"/>
          <w:szCs w:val="18"/>
          <w:lang w:val="en-US"/>
        </w:rPr>
        <w:t xml:space="preserve"> </w:t>
      </w:r>
      <w:r w:rsidRPr="007359BA">
        <w:rPr>
          <w:sz w:val="18"/>
          <w:szCs w:val="18"/>
          <w:lang w:val="en-US"/>
        </w:rPr>
        <w:t>Lewin JC. The Unfinished Science of Boxed Drug Warnings.</w:t>
      </w:r>
      <w:r>
        <w:rPr>
          <w:sz w:val="18"/>
          <w:szCs w:val="18"/>
          <w:lang w:val="en-US"/>
        </w:rPr>
        <w:t xml:space="preserve"> </w:t>
      </w:r>
      <w:r w:rsidRPr="001E6BEB">
        <w:rPr>
          <w:i/>
          <w:iCs/>
          <w:sz w:val="18"/>
          <w:szCs w:val="18"/>
          <w:lang w:val="en-US"/>
        </w:rPr>
        <w:t xml:space="preserve">JAMA </w:t>
      </w:r>
      <w:proofErr w:type="spellStart"/>
      <w:r w:rsidRPr="001E6BEB">
        <w:rPr>
          <w:i/>
          <w:iCs/>
          <w:sz w:val="18"/>
          <w:szCs w:val="18"/>
          <w:lang w:val="en-US"/>
        </w:rPr>
        <w:t>Netw</w:t>
      </w:r>
      <w:proofErr w:type="spellEnd"/>
      <w:r w:rsidRPr="001E6BEB">
        <w:rPr>
          <w:i/>
          <w:iCs/>
          <w:sz w:val="18"/>
          <w:szCs w:val="18"/>
          <w:lang w:val="en-US"/>
        </w:rPr>
        <w:t xml:space="preserve"> Open.</w:t>
      </w:r>
      <w:r w:rsidRPr="001E6BEB">
        <w:rPr>
          <w:sz w:val="18"/>
          <w:szCs w:val="18"/>
          <w:lang w:val="en-US"/>
        </w:rPr>
        <w:t xml:space="preserve"> 2026;9(5):e2614282. doi:10.1001/jamanetworkopen.2026.14282 </w:t>
      </w:r>
      <w:hyperlink r:id="rId164" w:history="1">
        <w:r w:rsidRPr="001E6BEB">
          <w:rPr>
            <w:rStyle w:val="Hipervnculo"/>
            <w:sz w:val="18"/>
            <w:szCs w:val="18"/>
            <w:lang w:val="en-US"/>
          </w:rPr>
          <w:t>https://jamanetwork.com/journals/jamanetworkopen/fullarticle/2849289</w:t>
        </w:r>
      </w:hyperlink>
    </w:p>
    <w:p w14:paraId="694D5032" w14:textId="77777777" w:rsidR="003125D3" w:rsidRPr="001E6BEB" w:rsidRDefault="003125D3" w:rsidP="003125D3">
      <w:pPr>
        <w:rPr>
          <w:sz w:val="18"/>
          <w:szCs w:val="18"/>
          <w:lang w:val="en-US"/>
        </w:rPr>
      </w:pPr>
    </w:p>
    <w:p w14:paraId="560A7A5C" w14:textId="0BFB432D" w:rsidR="003125D3" w:rsidRPr="001E6BEB" w:rsidRDefault="003125D3" w:rsidP="003125D3">
      <w:pPr>
        <w:rPr>
          <w:b/>
          <w:bCs/>
          <w:sz w:val="18"/>
          <w:szCs w:val="18"/>
          <w:lang w:val="en-US"/>
        </w:rPr>
      </w:pPr>
      <w:proofErr w:type="spellStart"/>
      <w:r w:rsidRPr="001E6BEB">
        <w:rPr>
          <w:b/>
          <w:bCs/>
          <w:sz w:val="18"/>
          <w:szCs w:val="18"/>
          <w:lang w:val="en-US"/>
        </w:rPr>
        <w:t>Referencias</w:t>
      </w:r>
      <w:proofErr w:type="spellEnd"/>
      <w:r w:rsidRPr="001E6BEB">
        <w:rPr>
          <w:b/>
          <w:bCs/>
          <w:sz w:val="18"/>
          <w:szCs w:val="18"/>
          <w:lang w:val="en-US"/>
        </w:rPr>
        <w:t>:</w:t>
      </w:r>
    </w:p>
    <w:p w14:paraId="6B050059" w14:textId="77777777" w:rsidR="003125D3" w:rsidRPr="00617745" w:rsidRDefault="003125D3" w:rsidP="004D63D3">
      <w:pPr>
        <w:ind w:left="180" w:hanging="180"/>
        <w:rPr>
          <w:sz w:val="18"/>
          <w:szCs w:val="18"/>
          <w:lang w:val="en-US"/>
        </w:rPr>
      </w:pPr>
      <w:r>
        <w:rPr>
          <w:sz w:val="18"/>
          <w:szCs w:val="18"/>
          <w:lang w:val="en-US"/>
        </w:rPr>
        <w:t>2</w:t>
      </w:r>
      <w:r w:rsidRPr="00617745">
        <w:rPr>
          <w:sz w:val="18"/>
          <w:szCs w:val="18"/>
          <w:lang w:val="en-US"/>
        </w:rPr>
        <w:t xml:space="preserve">.Clarridge K, Chin S, </w:t>
      </w:r>
      <w:proofErr w:type="spellStart"/>
      <w:r w:rsidRPr="00617745">
        <w:rPr>
          <w:sz w:val="18"/>
          <w:szCs w:val="18"/>
          <w:lang w:val="en-US"/>
        </w:rPr>
        <w:t>Eworuke</w:t>
      </w:r>
      <w:proofErr w:type="spellEnd"/>
      <w:r w:rsidRPr="00617745">
        <w:rPr>
          <w:sz w:val="18"/>
          <w:szCs w:val="18"/>
          <w:lang w:val="en-US"/>
        </w:rPr>
        <w:t xml:space="preserve"> E</w:t>
      </w:r>
      <w:r w:rsidRPr="008F169D">
        <w:rPr>
          <w:rFonts w:ascii="Tahoma" w:hAnsi="Tahoma" w:cs="Tahoma"/>
          <w:sz w:val="18"/>
          <w:szCs w:val="18"/>
          <w:lang w:val="en-US"/>
        </w:rPr>
        <w:t>,</w:t>
      </w:r>
      <w:r w:rsidRPr="00617745">
        <w:rPr>
          <w:sz w:val="18"/>
          <w:szCs w:val="18"/>
          <w:lang w:val="en-US"/>
        </w:rPr>
        <w:t xml:space="preserve"> Seymour S. </w:t>
      </w:r>
      <w:r>
        <w:rPr>
          <w:rFonts w:cs="Times New Roman"/>
          <w:sz w:val="18"/>
          <w:szCs w:val="18"/>
          <w:lang w:val="en-US"/>
        </w:rPr>
        <w:t xml:space="preserve"> </w:t>
      </w:r>
      <w:r w:rsidRPr="00617745">
        <w:rPr>
          <w:sz w:val="18"/>
          <w:szCs w:val="18"/>
          <w:lang w:val="en-US"/>
        </w:rPr>
        <w:t>A boxed warning for montelukast: the FDA perspective.</w:t>
      </w:r>
      <w:r>
        <w:rPr>
          <w:i/>
          <w:iCs/>
          <w:sz w:val="18"/>
          <w:szCs w:val="18"/>
          <w:lang w:val="en-US"/>
        </w:rPr>
        <w:t xml:space="preserve"> </w:t>
      </w:r>
      <w:r w:rsidRPr="00617745">
        <w:rPr>
          <w:i/>
          <w:iCs/>
          <w:sz w:val="18"/>
          <w:szCs w:val="18"/>
          <w:lang w:val="en-US"/>
        </w:rPr>
        <w:t>J Allergy Clinical Immunology</w:t>
      </w:r>
      <w:r w:rsidRPr="00617745">
        <w:rPr>
          <w:sz w:val="18"/>
          <w:szCs w:val="18"/>
          <w:lang w:val="en-US"/>
        </w:rPr>
        <w:t>. 2021;9(7):2638-2641. doi:</w:t>
      </w:r>
      <w:hyperlink r:id="rId165" w:history="1">
        <w:r w:rsidRPr="00617745">
          <w:rPr>
            <w:rStyle w:val="Hipervnculo"/>
            <w:sz w:val="18"/>
            <w:szCs w:val="18"/>
            <w:lang w:val="en-US"/>
          </w:rPr>
          <w:t>10.1016/j.jaip.2021.02.057</w:t>
        </w:r>
      </w:hyperlink>
      <w:r>
        <w:rPr>
          <w:rStyle w:val="Hipervnculo"/>
          <w:sz w:val="18"/>
          <w:szCs w:val="18"/>
          <w:lang w:val="en-US"/>
        </w:rPr>
        <w:t xml:space="preserve"> </w:t>
      </w:r>
    </w:p>
    <w:p w14:paraId="39EB49DF" w14:textId="77777777" w:rsidR="003125D3" w:rsidRDefault="003125D3" w:rsidP="004D63D3">
      <w:pPr>
        <w:ind w:left="180" w:hanging="180"/>
        <w:rPr>
          <w:sz w:val="18"/>
          <w:szCs w:val="18"/>
          <w:lang w:val="en-US"/>
        </w:rPr>
      </w:pPr>
      <w:r>
        <w:rPr>
          <w:sz w:val="18"/>
          <w:szCs w:val="18"/>
          <w:lang w:val="en-US"/>
        </w:rPr>
        <w:t>3</w:t>
      </w:r>
      <w:r w:rsidRPr="00617745">
        <w:rPr>
          <w:sz w:val="18"/>
          <w:szCs w:val="18"/>
          <w:lang w:val="en-US"/>
        </w:rPr>
        <w:t xml:space="preserve">.Shanmugam H, </w:t>
      </w:r>
      <w:proofErr w:type="spellStart"/>
      <w:r w:rsidRPr="00617745">
        <w:rPr>
          <w:sz w:val="18"/>
          <w:szCs w:val="18"/>
          <w:lang w:val="en-US"/>
        </w:rPr>
        <w:t>Kesselheim</w:t>
      </w:r>
      <w:proofErr w:type="spellEnd"/>
      <w:r w:rsidRPr="00617745">
        <w:rPr>
          <w:sz w:val="18"/>
          <w:szCs w:val="18"/>
          <w:lang w:val="en-US"/>
        </w:rPr>
        <w:t xml:space="preserve"> AS, Liu ITT, Feldman WB, Rome BN. </w:t>
      </w:r>
      <w:r>
        <w:rPr>
          <w:rFonts w:cs="Times New Roman"/>
          <w:sz w:val="18"/>
          <w:szCs w:val="18"/>
          <w:lang w:val="en-US"/>
        </w:rPr>
        <w:t xml:space="preserve"> </w:t>
      </w:r>
      <w:r w:rsidRPr="00617745">
        <w:rPr>
          <w:sz w:val="18"/>
          <w:szCs w:val="18"/>
          <w:lang w:val="en-US"/>
        </w:rPr>
        <w:t>Changes in the use of montelukast for asthma after a US Food and Drug Administration boxed warning.</w:t>
      </w:r>
      <w:r>
        <w:rPr>
          <w:i/>
          <w:iCs/>
          <w:sz w:val="18"/>
          <w:szCs w:val="18"/>
          <w:lang w:val="en-US"/>
        </w:rPr>
        <w:t xml:space="preserve"> </w:t>
      </w:r>
      <w:r w:rsidRPr="00617745">
        <w:rPr>
          <w:i/>
          <w:iCs/>
          <w:sz w:val="18"/>
          <w:szCs w:val="18"/>
          <w:lang w:val="en-US"/>
        </w:rPr>
        <w:t xml:space="preserve">JAMA </w:t>
      </w:r>
      <w:proofErr w:type="spellStart"/>
      <w:r w:rsidRPr="00617745">
        <w:rPr>
          <w:i/>
          <w:iCs/>
          <w:sz w:val="18"/>
          <w:szCs w:val="18"/>
          <w:lang w:val="en-US"/>
        </w:rPr>
        <w:t>Netw</w:t>
      </w:r>
      <w:proofErr w:type="spellEnd"/>
      <w:r w:rsidRPr="00617745">
        <w:rPr>
          <w:i/>
          <w:iCs/>
          <w:sz w:val="18"/>
          <w:szCs w:val="18"/>
          <w:lang w:val="en-US"/>
        </w:rPr>
        <w:t xml:space="preserve"> Open</w:t>
      </w:r>
      <w:r w:rsidRPr="00617745">
        <w:rPr>
          <w:sz w:val="18"/>
          <w:szCs w:val="18"/>
          <w:lang w:val="en-US"/>
        </w:rPr>
        <w:t>. 2026;9(5):e2614274. doi:</w:t>
      </w:r>
      <w:hyperlink r:id="rId166" w:history="1">
        <w:r w:rsidRPr="00617745">
          <w:rPr>
            <w:rStyle w:val="Hipervnculo"/>
            <w:sz w:val="18"/>
            <w:szCs w:val="18"/>
            <w:lang w:val="en-US"/>
          </w:rPr>
          <w:t>10.1001/jamanetworkopen.2026.14274</w:t>
        </w:r>
      </w:hyperlink>
    </w:p>
    <w:p w14:paraId="127DCD73" w14:textId="77777777" w:rsidR="003125D3" w:rsidRDefault="003125D3" w:rsidP="004D63D3">
      <w:pPr>
        <w:ind w:left="180" w:hanging="180"/>
        <w:rPr>
          <w:rStyle w:val="Hipervnculo"/>
          <w:sz w:val="18"/>
          <w:szCs w:val="18"/>
          <w:lang w:val="en-US"/>
        </w:rPr>
      </w:pPr>
      <w:r>
        <w:rPr>
          <w:sz w:val="18"/>
          <w:szCs w:val="18"/>
          <w:lang w:val="en-US"/>
        </w:rPr>
        <w:t>4</w:t>
      </w:r>
      <w:r w:rsidRPr="00617745">
        <w:rPr>
          <w:sz w:val="18"/>
          <w:szCs w:val="18"/>
          <w:lang w:val="en-US"/>
        </w:rPr>
        <w:t xml:space="preserve">.Rizk JG, </w:t>
      </w:r>
      <w:proofErr w:type="spellStart"/>
      <w:r w:rsidRPr="00617745">
        <w:rPr>
          <w:sz w:val="18"/>
          <w:szCs w:val="18"/>
          <w:lang w:val="en-US"/>
        </w:rPr>
        <w:t>Slejko</w:t>
      </w:r>
      <w:proofErr w:type="spellEnd"/>
      <w:r>
        <w:rPr>
          <w:rFonts w:cs="Times New Roman"/>
          <w:sz w:val="18"/>
          <w:szCs w:val="18"/>
          <w:lang w:val="en-US"/>
        </w:rPr>
        <w:t xml:space="preserve"> </w:t>
      </w:r>
      <w:r w:rsidRPr="00617745">
        <w:rPr>
          <w:sz w:val="18"/>
          <w:szCs w:val="18"/>
          <w:lang w:val="en-US"/>
        </w:rPr>
        <w:t>JF, Heil</w:t>
      </w:r>
      <w:r>
        <w:rPr>
          <w:rFonts w:cs="Times New Roman"/>
          <w:sz w:val="18"/>
          <w:szCs w:val="18"/>
          <w:lang w:val="en-US"/>
        </w:rPr>
        <w:t xml:space="preserve"> </w:t>
      </w:r>
      <w:r w:rsidRPr="00617745">
        <w:rPr>
          <w:sz w:val="18"/>
          <w:szCs w:val="18"/>
          <w:lang w:val="en-US"/>
        </w:rPr>
        <w:t xml:space="preserve">EL </w:t>
      </w:r>
      <w:proofErr w:type="spellStart"/>
      <w:r w:rsidRPr="00617745">
        <w:rPr>
          <w:sz w:val="18"/>
          <w:szCs w:val="18"/>
          <w:lang w:val="en-US"/>
        </w:rPr>
        <w:t>Seo</w:t>
      </w:r>
      <w:proofErr w:type="spellEnd"/>
      <w:r w:rsidRPr="00617745">
        <w:rPr>
          <w:sz w:val="18"/>
          <w:szCs w:val="18"/>
          <w:lang w:val="en-US"/>
        </w:rPr>
        <w:t xml:space="preserve"> D, </w:t>
      </w:r>
      <w:proofErr w:type="spellStart"/>
      <w:r w:rsidRPr="00617745">
        <w:rPr>
          <w:sz w:val="18"/>
          <w:szCs w:val="18"/>
          <w:lang w:val="en-US"/>
        </w:rPr>
        <w:t>Qato</w:t>
      </w:r>
      <w:proofErr w:type="spellEnd"/>
      <w:r w:rsidRPr="00617745">
        <w:rPr>
          <w:sz w:val="18"/>
          <w:szCs w:val="18"/>
          <w:lang w:val="en-US"/>
        </w:rPr>
        <w:t xml:space="preserve"> DM. </w:t>
      </w:r>
      <w:r>
        <w:rPr>
          <w:rFonts w:cs="Times New Roman"/>
          <w:sz w:val="18"/>
          <w:szCs w:val="18"/>
          <w:lang w:val="en-US"/>
        </w:rPr>
        <w:t xml:space="preserve"> </w:t>
      </w:r>
      <w:r w:rsidRPr="00617745">
        <w:rPr>
          <w:sz w:val="18"/>
          <w:szCs w:val="18"/>
          <w:lang w:val="en-US"/>
        </w:rPr>
        <w:t>Impact of the US Food and Drug Administration warning regarding increased risk of aortic aneurysms or aortic dissections on fluoroquinolone prescribing trends.</w:t>
      </w:r>
      <w:r>
        <w:rPr>
          <w:i/>
          <w:iCs/>
          <w:sz w:val="18"/>
          <w:szCs w:val="18"/>
          <w:lang w:val="en-US"/>
        </w:rPr>
        <w:t xml:space="preserve"> </w:t>
      </w:r>
      <w:r w:rsidRPr="00617745">
        <w:rPr>
          <w:i/>
          <w:iCs/>
          <w:sz w:val="18"/>
          <w:szCs w:val="18"/>
          <w:lang w:val="en-US"/>
        </w:rPr>
        <w:t>BMJ Open Qual</w:t>
      </w:r>
      <w:r w:rsidRPr="00617745">
        <w:rPr>
          <w:sz w:val="18"/>
          <w:szCs w:val="18"/>
          <w:lang w:val="en-US"/>
        </w:rPr>
        <w:t>. 2024;13(3):e002925. doi:</w:t>
      </w:r>
      <w:hyperlink r:id="rId167" w:history="1">
        <w:r w:rsidRPr="00617745">
          <w:rPr>
            <w:rStyle w:val="Hipervnculo"/>
            <w:sz w:val="18"/>
            <w:szCs w:val="18"/>
            <w:lang w:val="en-US"/>
          </w:rPr>
          <w:t>10.1136/bmjoq-2024-002925</w:t>
        </w:r>
      </w:hyperlink>
    </w:p>
    <w:p w14:paraId="7F3F7BA8" w14:textId="77777777" w:rsidR="003125D3" w:rsidRPr="00617745" w:rsidRDefault="003125D3" w:rsidP="004D63D3">
      <w:pPr>
        <w:ind w:left="180" w:hanging="180"/>
        <w:rPr>
          <w:sz w:val="18"/>
          <w:szCs w:val="18"/>
          <w:lang w:val="en-US"/>
        </w:rPr>
      </w:pPr>
      <w:r>
        <w:rPr>
          <w:sz w:val="18"/>
          <w:szCs w:val="18"/>
          <w:lang w:val="en-US"/>
        </w:rPr>
        <w:t>5</w:t>
      </w:r>
      <w:r w:rsidRPr="00617745">
        <w:rPr>
          <w:sz w:val="18"/>
          <w:szCs w:val="18"/>
          <w:lang w:val="en-US"/>
        </w:rPr>
        <w:t xml:space="preserve">.Panagiotou OA, </w:t>
      </w:r>
      <w:proofErr w:type="spellStart"/>
      <w:r w:rsidRPr="00617745">
        <w:rPr>
          <w:sz w:val="18"/>
          <w:szCs w:val="18"/>
          <w:lang w:val="en-US"/>
        </w:rPr>
        <w:t>Contopoulos</w:t>
      </w:r>
      <w:proofErr w:type="spellEnd"/>
      <w:r w:rsidRPr="00617745">
        <w:rPr>
          <w:sz w:val="18"/>
          <w:szCs w:val="18"/>
          <w:lang w:val="en-US"/>
        </w:rPr>
        <w:t>-Ioannidis DG, Papanikolaou</w:t>
      </w:r>
      <w:r>
        <w:rPr>
          <w:rFonts w:cs="Times New Roman"/>
          <w:sz w:val="18"/>
          <w:szCs w:val="18"/>
          <w:lang w:val="en-US"/>
        </w:rPr>
        <w:t xml:space="preserve"> </w:t>
      </w:r>
      <w:r w:rsidRPr="00617745">
        <w:rPr>
          <w:sz w:val="18"/>
          <w:szCs w:val="18"/>
          <w:lang w:val="en-US"/>
        </w:rPr>
        <w:t xml:space="preserve">PN, </w:t>
      </w:r>
      <w:proofErr w:type="spellStart"/>
      <w:r w:rsidRPr="00617745">
        <w:rPr>
          <w:sz w:val="18"/>
          <w:szCs w:val="18"/>
          <w:lang w:val="en-US"/>
        </w:rPr>
        <w:t>Ntzani</w:t>
      </w:r>
      <w:proofErr w:type="spellEnd"/>
      <w:r w:rsidRPr="00617745">
        <w:rPr>
          <w:sz w:val="18"/>
          <w:szCs w:val="18"/>
          <w:lang w:val="en-US"/>
        </w:rPr>
        <w:t xml:space="preserve"> EE, Ioannidis JPA. </w:t>
      </w:r>
      <w:r>
        <w:rPr>
          <w:rFonts w:cs="Times New Roman"/>
          <w:sz w:val="18"/>
          <w:szCs w:val="18"/>
          <w:lang w:val="en-US"/>
        </w:rPr>
        <w:t xml:space="preserve"> </w:t>
      </w:r>
      <w:r w:rsidRPr="00617745">
        <w:rPr>
          <w:sz w:val="18"/>
          <w:szCs w:val="18"/>
          <w:lang w:val="en-US"/>
        </w:rPr>
        <w:t>Different black box warning labeling for same-class drugs.</w:t>
      </w:r>
      <w:r>
        <w:rPr>
          <w:rFonts w:cs="Times New Roman"/>
          <w:sz w:val="18"/>
          <w:szCs w:val="18"/>
          <w:lang w:val="en-US"/>
        </w:rPr>
        <w:t xml:space="preserve"> </w:t>
      </w:r>
      <w:r>
        <w:rPr>
          <w:i/>
          <w:iCs/>
          <w:sz w:val="18"/>
          <w:szCs w:val="18"/>
          <w:lang w:val="en-US"/>
        </w:rPr>
        <w:t xml:space="preserve"> </w:t>
      </w:r>
      <w:r w:rsidRPr="00617745">
        <w:rPr>
          <w:i/>
          <w:iCs/>
          <w:sz w:val="18"/>
          <w:szCs w:val="18"/>
          <w:lang w:val="en-US"/>
        </w:rPr>
        <w:t>J Gen Intern Med</w:t>
      </w:r>
      <w:r w:rsidRPr="00617745">
        <w:rPr>
          <w:sz w:val="18"/>
          <w:szCs w:val="18"/>
          <w:lang w:val="en-US"/>
        </w:rPr>
        <w:t>. 2011;26(6):603-610. doi:</w:t>
      </w:r>
      <w:hyperlink r:id="rId168" w:history="1">
        <w:r w:rsidRPr="00617745">
          <w:rPr>
            <w:rStyle w:val="Hipervnculo"/>
            <w:sz w:val="18"/>
            <w:szCs w:val="18"/>
            <w:lang w:val="en-US"/>
          </w:rPr>
          <w:t>10.1007/s11606-011-1633-9</w:t>
        </w:r>
      </w:hyperlink>
      <w:r w:rsidRPr="00617745">
        <w:rPr>
          <w:sz w:val="18"/>
          <w:szCs w:val="18"/>
          <w:lang w:val="en-US"/>
        </w:rPr>
        <w:t xml:space="preserve"> </w:t>
      </w:r>
    </w:p>
    <w:p w14:paraId="4177D5CA" w14:textId="77777777" w:rsidR="003125D3" w:rsidRPr="008F169D" w:rsidRDefault="003125D3" w:rsidP="004D63D3">
      <w:pPr>
        <w:ind w:left="180" w:hanging="180"/>
        <w:rPr>
          <w:sz w:val="18"/>
          <w:szCs w:val="18"/>
          <w:lang w:val="en-US"/>
        </w:rPr>
      </w:pPr>
      <w:r>
        <w:rPr>
          <w:sz w:val="18"/>
          <w:szCs w:val="18"/>
          <w:lang w:val="en-US"/>
        </w:rPr>
        <w:t>6</w:t>
      </w:r>
      <w:r w:rsidRPr="00617745">
        <w:rPr>
          <w:sz w:val="18"/>
          <w:szCs w:val="18"/>
          <w:lang w:val="en-US"/>
        </w:rPr>
        <w:t>.Shah D, Shah</w:t>
      </w:r>
      <w:r>
        <w:rPr>
          <w:rFonts w:cs="Times New Roman"/>
          <w:sz w:val="18"/>
          <w:szCs w:val="18"/>
          <w:lang w:val="en-US"/>
        </w:rPr>
        <w:t xml:space="preserve"> </w:t>
      </w:r>
      <w:r w:rsidRPr="00617745">
        <w:rPr>
          <w:sz w:val="18"/>
          <w:szCs w:val="18"/>
          <w:lang w:val="en-US"/>
        </w:rPr>
        <w:t xml:space="preserve">A, Tan X, </w:t>
      </w:r>
      <w:proofErr w:type="spellStart"/>
      <w:r w:rsidRPr="00617745">
        <w:rPr>
          <w:sz w:val="18"/>
          <w:szCs w:val="18"/>
          <w:lang w:val="en-US"/>
        </w:rPr>
        <w:t>Sambamoorthi</w:t>
      </w:r>
      <w:proofErr w:type="spellEnd"/>
      <w:r w:rsidRPr="00617745">
        <w:rPr>
          <w:sz w:val="18"/>
          <w:szCs w:val="18"/>
          <w:lang w:val="en-US"/>
        </w:rPr>
        <w:t xml:space="preserve"> U. </w:t>
      </w:r>
      <w:r>
        <w:rPr>
          <w:rFonts w:cs="Times New Roman"/>
          <w:sz w:val="18"/>
          <w:szCs w:val="18"/>
          <w:lang w:val="en-US"/>
        </w:rPr>
        <w:t xml:space="preserve"> </w:t>
      </w:r>
      <w:r w:rsidRPr="00617745">
        <w:rPr>
          <w:sz w:val="18"/>
          <w:szCs w:val="18"/>
          <w:lang w:val="en-US"/>
        </w:rPr>
        <w:t>Trends in utilization of smoking cessation agents before and after the passage of FDA boxed warning in the United States.</w:t>
      </w:r>
      <w:r>
        <w:rPr>
          <w:rFonts w:cs="Times New Roman"/>
          <w:sz w:val="18"/>
          <w:szCs w:val="18"/>
          <w:lang w:val="en-US"/>
        </w:rPr>
        <w:t xml:space="preserve"> </w:t>
      </w:r>
      <w:r w:rsidRPr="008F169D">
        <w:rPr>
          <w:i/>
          <w:iCs/>
          <w:sz w:val="18"/>
          <w:szCs w:val="18"/>
          <w:lang w:val="en-US"/>
        </w:rPr>
        <w:t>Drug Alcohol Depend</w:t>
      </w:r>
      <w:r w:rsidRPr="008F169D">
        <w:rPr>
          <w:sz w:val="18"/>
          <w:szCs w:val="18"/>
          <w:lang w:val="en-US"/>
        </w:rPr>
        <w:t>. 2017;177:187-193. doi:</w:t>
      </w:r>
      <w:hyperlink r:id="rId169" w:history="1">
        <w:r w:rsidRPr="008F169D">
          <w:rPr>
            <w:rStyle w:val="Hipervnculo"/>
            <w:sz w:val="18"/>
            <w:szCs w:val="18"/>
            <w:lang w:val="en-US"/>
          </w:rPr>
          <w:t>10.1016/j.drugalcdep.2017.03.021</w:t>
        </w:r>
      </w:hyperlink>
      <w:r w:rsidRPr="008F169D">
        <w:rPr>
          <w:sz w:val="18"/>
          <w:szCs w:val="18"/>
          <w:lang w:val="en-US"/>
        </w:rPr>
        <w:t xml:space="preserve"> </w:t>
      </w:r>
    </w:p>
    <w:p w14:paraId="2D5186AB" w14:textId="77777777" w:rsidR="003125D3" w:rsidRPr="00617745" w:rsidRDefault="003125D3" w:rsidP="004D63D3">
      <w:pPr>
        <w:ind w:left="180" w:hanging="180"/>
        <w:rPr>
          <w:sz w:val="18"/>
          <w:szCs w:val="18"/>
          <w:lang w:val="en-US"/>
        </w:rPr>
      </w:pPr>
      <w:r w:rsidRPr="008F169D">
        <w:rPr>
          <w:sz w:val="18"/>
          <w:szCs w:val="18"/>
          <w:lang w:val="en-US"/>
        </w:rPr>
        <w:t>7.Kohler JE, Cartmill</w:t>
      </w:r>
      <w:r w:rsidRPr="008F169D">
        <w:rPr>
          <w:rFonts w:cs="Times New Roman"/>
          <w:sz w:val="18"/>
          <w:szCs w:val="18"/>
          <w:lang w:val="en-US"/>
        </w:rPr>
        <w:t xml:space="preserve"> </w:t>
      </w:r>
      <w:r w:rsidRPr="008F169D">
        <w:rPr>
          <w:sz w:val="18"/>
          <w:szCs w:val="18"/>
          <w:lang w:val="en-US"/>
        </w:rPr>
        <w:t xml:space="preserve">RS, </w:t>
      </w:r>
      <w:proofErr w:type="spellStart"/>
      <w:r w:rsidRPr="008F169D">
        <w:rPr>
          <w:sz w:val="18"/>
          <w:szCs w:val="18"/>
          <w:lang w:val="en-US"/>
        </w:rPr>
        <w:t>Kalbfell</w:t>
      </w:r>
      <w:proofErr w:type="spellEnd"/>
      <w:r w:rsidRPr="008F169D">
        <w:rPr>
          <w:sz w:val="18"/>
          <w:szCs w:val="18"/>
          <w:lang w:val="en-US"/>
        </w:rPr>
        <w:t xml:space="preserve"> E, Schumacher J. </w:t>
      </w:r>
      <w:r w:rsidRPr="008F169D">
        <w:rPr>
          <w:rFonts w:cs="Times New Roman"/>
          <w:sz w:val="18"/>
          <w:szCs w:val="18"/>
          <w:lang w:val="en-US"/>
        </w:rPr>
        <w:t xml:space="preserve"> </w:t>
      </w:r>
      <w:r w:rsidRPr="00617745">
        <w:rPr>
          <w:sz w:val="18"/>
          <w:szCs w:val="18"/>
          <w:lang w:val="en-US"/>
        </w:rPr>
        <w:t>Continued prescribing of periprocedural codeine and tramadol to children after a black box warning.</w:t>
      </w:r>
      <w:r>
        <w:rPr>
          <w:i/>
          <w:iCs/>
          <w:sz w:val="18"/>
          <w:szCs w:val="18"/>
          <w:lang w:val="en-US"/>
        </w:rPr>
        <w:t xml:space="preserve"> </w:t>
      </w:r>
      <w:r w:rsidRPr="00617745">
        <w:rPr>
          <w:i/>
          <w:iCs/>
          <w:sz w:val="18"/>
          <w:szCs w:val="18"/>
          <w:lang w:val="en-US"/>
        </w:rPr>
        <w:t>J Surg Res</w:t>
      </w:r>
      <w:r w:rsidRPr="00617745">
        <w:rPr>
          <w:sz w:val="18"/>
          <w:szCs w:val="18"/>
          <w:lang w:val="en-US"/>
        </w:rPr>
        <w:t>. 2020;256:131-135. doi:</w:t>
      </w:r>
      <w:hyperlink r:id="rId170" w:history="1">
        <w:r w:rsidRPr="00617745">
          <w:rPr>
            <w:rStyle w:val="Hipervnculo"/>
            <w:sz w:val="18"/>
            <w:szCs w:val="18"/>
            <w:lang w:val="en-US"/>
          </w:rPr>
          <w:t>10.1016/j.jss.2020.06.023</w:t>
        </w:r>
      </w:hyperlink>
      <w:r w:rsidRPr="00617745">
        <w:rPr>
          <w:sz w:val="18"/>
          <w:szCs w:val="18"/>
          <w:lang w:val="en-US"/>
        </w:rPr>
        <w:t xml:space="preserve"> </w:t>
      </w:r>
    </w:p>
    <w:p w14:paraId="2BA81142" w14:textId="77777777" w:rsidR="003125D3" w:rsidRPr="00617745" w:rsidRDefault="003125D3" w:rsidP="004D63D3">
      <w:pPr>
        <w:ind w:left="180" w:hanging="180"/>
        <w:rPr>
          <w:sz w:val="18"/>
          <w:szCs w:val="18"/>
          <w:lang w:val="en-US"/>
        </w:rPr>
      </w:pPr>
      <w:r>
        <w:rPr>
          <w:sz w:val="18"/>
          <w:szCs w:val="18"/>
          <w:lang w:val="en-US"/>
        </w:rPr>
        <w:t>8</w:t>
      </w:r>
      <w:r w:rsidRPr="00617745">
        <w:rPr>
          <w:sz w:val="18"/>
          <w:szCs w:val="18"/>
          <w:lang w:val="en-US"/>
        </w:rPr>
        <w:t>.Shah</w:t>
      </w:r>
      <w:r>
        <w:rPr>
          <w:sz w:val="18"/>
          <w:szCs w:val="18"/>
          <w:lang w:val="en-US"/>
        </w:rPr>
        <w:t xml:space="preserve"> </w:t>
      </w:r>
      <w:r w:rsidRPr="00617745">
        <w:rPr>
          <w:sz w:val="18"/>
          <w:szCs w:val="18"/>
          <w:lang w:val="en-US"/>
        </w:rPr>
        <w:t xml:space="preserve">ND, </w:t>
      </w:r>
      <w:proofErr w:type="spellStart"/>
      <w:r w:rsidRPr="00617745">
        <w:rPr>
          <w:sz w:val="18"/>
          <w:szCs w:val="18"/>
          <w:lang w:val="en-US"/>
        </w:rPr>
        <w:t>Montori</w:t>
      </w:r>
      <w:proofErr w:type="spellEnd"/>
      <w:r w:rsidRPr="00617745">
        <w:rPr>
          <w:sz w:val="18"/>
          <w:szCs w:val="18"/>
          <w:lang w:val="en-US"/>
        </w:rPr>
        <w:t xml:space="preserve"> VM, </w:t>
      </w:r>
      <w:proofErr w:type="spellStart"/>
      <w:r w:rsidRPr="00617745">
        <w:rPr>
          <w:sz w:val="18"/>
          <w:szCs w:val="18"/>
          <w:lang w:val="en-US"/>
        </w:rPr>
        <w:t>Krumholz</w:t>
      </w:r>
      <w:proofErr w:type="spellEnd"/>
      <w:r>
        <w:rPr>
          <w:rFonts w:cs="Times New Roman"/>
          <w:sz w:val="18"/>
          <w:szCs w:val="18"/>
          <w:lang w:val="en-US"/>
        </w:rPr>
        <w:t xml:space="preserve"> </w:t>
      </w:r>
      <w:r w:rsidRPr="00617745">
        <w:rPr>
          <w:sz w:val="18"/>
          <w:szCs w:val="18"/>
          <w:lang w:val="en-US"/>
        </w:rPr>
        <w:t>HM, Tu K, Alexander</w:t>
      </w:r>
      <w:r>
        <w:rPr>
          <w:rFonts w:cs="Times New Roman"/>
          <w:sz w:val="18"/>
          <w:szCs w:val="18"/>
          <w:lang w:val="en-US"/>
        </w:rPr>
        <w:t xml:space="preserve"> </w:t>
      </w:r>
      <w:r w:rsidRPr="00617745">
        <w:rPr>
          <w:sz w:val="18"/>
          <w:szCs w:val="18"/>
          <w:lang w:val="en-US"/>
        </w:rPr>
        <w:t xml:space="preserve">GC, </w:t>
      </w:r>
      <w:proofErr w:type="spellStart"/>
      <w:r w:rsidRPr="00617745">
        <w:rPr>
          <w:sz w:val="18"/>
          <w:szCs w:val="18"/>
          <w:lang w:val="en-US"/>
        </w:rPr>
        <w:t>Jackevicius</w:t>
      </w:r>
      <w:proofErr w:type="spellEnd"/>
      <w:r w:rsidRPr="00617745">
        <w:rPr>
          <w:sz w:val="18"/>
          <w:szCs w:val="18"/>
          <w:lang w:val="en-US"/>
        </w:rPr>
        <w:t xml:space="preserve"> CA. </w:t>
      </w:r>
      <w:r>
        <w:rPr>
          <w:rFonts w:cs="Times New Roman"/>
          <w:sz w:val="18"/>
          <w:szCs w:val="18"/>
          <w:lang w:val="en-US"/>
        </w:rPr>
        <w:t xml:space="preserve"> </w:t>
      </w:r>
      <w:r w:rsidRPr="00617745">
        <w:rPr>
          <w:sz w:val="18"/>
          <w:szCs w:val="18"/>
          <w:lang w:val="en-US"/>
        </w:rPr>
        <w:t>Responding to an FDA warning</w:t>
      </w:r>
      <w:r w:rsidRPr="00617745">
        <w:rPr>
          <w:rFonts w:cs="Times New Roman"/>
          <w:sz w:val="18"/>
          <w:szCs w:val="18"/>
          <w:lang w:val="en-US"/>
        </w:rPr>
        <w:t>–</w:t>
      </w:r>
      <w:r w:rsidRPr="00617745">
        <w:rPr>
          <w:sz w:val="18"/>
          <w:szCs w:val="18"/>
          <w:lang w:val="en-US"/>
        </w:rPr>
        <w:t>geographic variation in the use of rosiglitazone.</w:t>
      </w:r>
      <w:r>
        <w:rPr>
          <w:rFonts w:cs="Times New Roman"/>
          <w:sz w:val="18"/>
          <w:szCs w:val="18"/>
          <w:lang w:val="en-US"/>
        </w:rPr>
        <w:t xml:space="preserve"> </w:t>
      </w:r>
      <w:r>
        <w:rPr>
          <w:i/>
          <w:iCs/>
          <w:sz w:val="18"/>
          <w:szCs w:val="18"/>
          <w:lang w:val="en-US"/>
        </w:rPr>
        <w:t xml:space="preserve"> </w:t>
      </w:r>
      <w:r w:rsidRPr="00617745">
        <w:rPr>
          <w:i/>
          <w:iCs/>
          <w:sz w:val="18"/>
          <w:szCs w:val="18"/>
          <w:lang w:val="en-US"/>
        </w:rPr>
        <w:t xml:space="preserve">N </w:t>
      </w:r>
      <w:proofErr w:type="spellStart"/>
      <w:r w:rsidRPr="00617745">
        <w:rPr>
          <w:i/>
          <w:iCs/>
          <w:sz w:val="18"/>
          <w:szCs w:val="18"/>
          <w:lang w:val="en-US"/>
        </w:rPr>
        <w:t>Engl</w:t>
      </w:r>
      <w:proofErr w:type="spellEnd"/>
      <w:r w:rsidRPr="00617745">
        <w:rPr>
          <w:i/>
          <w:iCs/>
          <w:sz w:val="18"/>
          <w:szCs w:val="18"/>
          <w:lang w:val="en-US"/>
        </w:rPr>
        <w:t xml:space="preserve"> J Med</w:t>
      </w:r>
      <w:r w:rsidRPr="00617745">
        <w:rPr>
          <w:sz w:val="18"/>
          <w:szCs w:val="18"/>
          <w:lang w:val="en-US"/>
        </w:rPr>
        <w:t>. 2010;363(22):2081-2084. doi:</w:t>
      </w:r>
      <w:hyperlink r:id="rId171" w:history="1">
        <w:r w:rsidRPr="00617745">
          <w:rPr>
            <w:rStyle w:val="Hipervnculo"/>
            <w:sz w:val="18"/>
            <w:szCs w:val="18"/>
            <w:lang w:val="en-US"/>
          </w:rPr>
          <w:t>10.1056/NEJMp1011042</w:t>
        </w:r>
      </w:hyperlink>
      <w:r w:rsidRPr="00617745">
        <w:rPr>
          <w:sz w:val="18"/>
          <w:szCs w:val="18"/>
          <w:lang w:val="en-US"/>
        </w:rPr>
        <w:t xml:space="preserve"> </w:t>
      </w:r>
    </w:p>
    <w:p w14:paraId="3F5D1450" w14:textId="2EC0235E" w:rsidR="003125D3" w:rsidRPr="001E6BEB" w:rsidRDefault="003125D3" w:rsidP="00FE3E51">
      <w:pPr>
        <w:ind w:left="180" w:hanging="180"/>
      </w:pPr>
      <w:r w:rsidRPr="008F169D">
        <w:rPr>
          <w:sz w:val="18"/>
          <w:szCs w:val="18"/>
          <w:lang w:val="en-US"/>
        </w:rPr>
        <w:t xml:space="preserve">9.Lo CWH, </w:t>
      </w:r>
      <w:proofErr w:type="spellStart"/>
      <w:r w:rsidRPr="008F169D">
        <w:rPr>
          <w:sz w:val="18"/>
          <w:szCs w:val="18"/>
          <w:lang w:val="en-US"/>
        </w:rPr>
        <w:t>Pathadka</w:t>
      </w:r>
      <w:proofErr w:type="spellEnd"/>
      <w:r w:rsidRPr="008F169D">
        <w:rPr>
          <w:sz w:val="18"/>
          <w:szCs w:val="18"/>
          <w:lang w:val="en-US"/>
        </w:rPr>
        <w:t xml:space="preserve"> S, Qin </w:t>
      </w:r>
      <w:r w:rsidRPr="008F169D">
        <w:rPr>
          <w:rFonts w:cs="Times New Roman"/>
          <w:sz w:val="18"/>
          <w:szCs w:val="18"/>
          <w:lang w:val="en-US"/>
        </w:rPr>
        <w:t xml:space="preserve"> </w:t>
      </w:r>
      <w:r w:rsidRPr="008F169D">
        <w:rPr>
          <w:sz w:val="18"/>
          <w:szCs w:val="18"/>
          <w:lang w:val="en-US"/>
        </w:rPr>
        <w:t xml:space="preserve">SX, et al. </w:t>
      </w:r>
      <w:r w:rsidRPr="008F169D">
        <w:rPr>
          <w:rFonts w:cs="Times New Roman"/>
          <w:sz w:val="18"/>
          <w:szCs w:val="18"/>
          <w:lang w:val="en-US"/>
        </w:rPr>
        <w:t xml:space="preserve"> </w:t>
      </w:r>
      <w:r w:rsidRPr="00617745">
        <w:rPr>
          <w:sz w:val="18"/>
          <w:szCs w:val="18"/>
          <w:lang w:val="en-US"/>
        </w:rPr>
        <w:t>Neuropsychiatric events associated with montelukast in patients with asthma: a systematic review.</w:t>
      </w:r>
      <w:r>
        <w:rPr>
          <w:i/>
          <w:iCs/>
          <w:sz w:val="18"/>
          <w:szCs w:val="18"/>
          <w:lang w:val="en-US"/>
        </w:rPr>
        <w:t xml:space="preserve"> </w:t>
      </w:r>
      <w:proofErr w:type="spellStart"/>
      <w:r w:rsidRPr="001E6BEB">
        <w:rPr>
          <w:i/>
          <w:iCs/>
          <w:sz w:val="18"/>
          <w:szCs w:val="18"/>
        </w:rPr>
        <w:t>Eur</w:t>
      </w:r>
      <w:proofErr w:type="spellEnd"/>
      <w:r w:rsidRPr="001E6BEB">
        <w:rPr>
          <w:i/>
          <w:iCs/>
          <w:sz w:val="18"/>
          <w:szCs w:val="18"/>
        </w:rPr>
        <w:t xml:space="preserve"> </w:t>
      </w:r>
      <w:proofErr w:type="spellStart"/>
      <w:r w:rsidRPr="001E6BEB">
        <w:rPr>
          <w:i/>
          <w:iCs/>
          <w:sz w:val="18"/>
          <w:szCs w:val="18"/>
        </w:rPr>
        <w:t>Respir</w:t>
      </w:r>
      <w:proofErr w:type="spellEnd"/>
      <w:r w:rsidRPr="001E6BEB">
        <w:rPr>
          <w:i/>
          <w:iCs/>
          <w:sz w:val="18"/>
          <w:szCs w:val="18"/>
        </w:rPr>
        <w:t xml:space="preserve"> Rev</w:t>
      </w:r>
      <w:r w:rsidRPr="001E6BEB">
        <w:rPr>
          <w:sz w:val="18"/>
          <w:szCs w:val="18"/>
        </w:rPr>
        <w:t>. 2023;32(169):230079. doi:</w:t>
      </w:r>
      <w:hyperlink r:id="rId172" w:history="1">
        <w:r w:rsidRPr="001E6BEB">
          <w:rPr>
            <w:rStyle w:val="Hipervnculo"/>
            <w:sz w:val="18"/>
            <w:szCs w:val="18"/>
          </w:rPr>
          <w:t>10.1183/16000617.0079-2023</w:t>
        </w:r>
      </w:hyperlink>
    </w:p>
    <w:p w14:paraId="0B4D0B88" w14:textId="0B95651A" w:rsidR="00C24284" w:rsidRPr="00F25512" w:rsidRDefault="00C24284" w:rsidP="00261692">
      <w:pPr>
        <w:rPr>
          <w:rFonts w:eastAsia="Times New Roman" w:cs="Times New Roman"/>
          <w:color w:val="212529"/>
          <w:sz w:val="18"/>
          <w:szCs w:val="18"/>
          <w:lang w:val="es-ES"/>
        </w:rPr>
        <w:sectPr w:rsidR="00C24284" w:rsidRPr="00F25512" w:rsidSect="00AB1BEF">
          <w:type w:val="continuous"/>
          <w:pgSz w:w="12240" w:h="15840" w:code="1"/>
          <w:pgMar w:top="720" w:right="720" w:bottom="720" w:left="720" w:header="288" w:footer="288" w:gutter="0"/>
          <w:cols w:num="2" w:space="288"/>
          <w:docGrid w:linePitch="360"/>
        </w:sectPr>
      </w:pPr>
    </w:p>
    <w:p w14:paraId="649240FB" w14:textId="59D3C329" w:rsidR="001C43F6" w:rsidRPr="00C50B64" w:rsidRDefault="001C43F6" w:rsidP="002730DC">
      <w:pPr>
        <w:rPr>
          <w:rFonts w:cs="Times New Roman"/>
          <w:b/>
          <w:bCs/>
          <w:szCs w:val="20"/>
        </w:rPr>
      </w:pPr>
    </w:p>
    <w:p w14:paraId="6072510A" w14:textId="77777777" w:rsidR="00424E39" w:rsidRDefault="00424E39" w:rsidP="00424E39">
      <w:pPr>
        <w:spacing w:line="278" w:lineRule="auto"/>
        <w:jc w:val="center"/>
        <w:rPr>
          <w:rFonts w:cs="Times New Roman"/>
          <w:b/>
          <w:bCs/>
          <w:sz w:val="24"/>
          <w:szCs w:val="32"/>
        </w:rPr>
      </w:pPr>
    </w:p>
    <w:p w14:paraId="57C1085E" w14:textId="5DD5718F" w:rsidR="004D63D3" w:rsidRDefault="001C43F6" w:rsidP="00424E39">
      <w:pPr>
        <w:spacing w:line="278" w:lineRule="auto"/>
        <w:jc w:val="center"/>
        <w:rPr>
          <w:rFonts w:cs="Times New Roman"/>
          <w:b/>
          <w:bCs/>
          <w:sz w:val="24"/>
          <w:szCs w:val="32"/>
        </w:rPr>
      </w:pPr>
      <w:r>
        <w:rPr>
          <w:rFonts w:cs="Times New Roman"/>
          <w:b/>
          <w:bCs/>
          <w:sz w:val="24"/>
          <w:szCs w:val="32"/>
        </w:rPr>
        <w:t>As</w:t>
      </w:r>
      <w:r w:rsidRPr="00560BAC">
        <w:rPr>
          <w:rFonts w:cs="Times New Roman"/>
          <w:b/>
          <w:bCs/>
          <w:sz w:val="24"/>
          <w:szCs w:val="32"/>
        </w:rPr>
        <w:t>ia</w:t>
      </w:r>
    </w:p>
    <w:p w14:paraId="0F0178EA" w14:textId="1CF25F97" w:rsidR="004D63D3" w:rsidRPr="00F25512" w:rsidRDefault="004D63D3" w:rsidP="004D63D3">
      <w:pPr>
        <w:jc w:val="center"/>
        <w:rPr>
          <w:b/>
          <w:color w:val="00B0F0"/>
          <w:lang w:val="es-ES"/>
        </w:rPr>
      </w:pPr>
      <w:r w:rsidRPr="00202F57">
        <w:rPr>
          <w:b/>
          <w:lang w:val="es-ES"/>
        </w:rPr>
        <w:t>Muertes por DEG: ¿Por qué India no puede detenerlas?</w:t>
      </w:r>
      <w:r>
        <w:rPr>
          <w:b/>
          <w:lang w:val="es-ES"/>
        </w:rPr>
        <w:t xml:space="preserve"> </w:t>
      </w:r>
    </w:p>
    <w:p w14:paraId="46885D4F" w14:textId="77777777" w:rsidR="004D63D3" w:rsidRPr="00202F57" w:rsidRDefault="004D63D3" w:rsidP="004D63D3">
      <w:pPr>
        <w:jc w:val="center"/>
        <w:rPr>
          <w:i/>
          <w:lang w:val="en-US"/>
        </w:rPr>
      </w:pPr>
      <w:r w:rsidRPr="00202F57">
        <w:rPr>
          <w:i/>
          <w:lang w:val="en-US"/>
        </w:rPr>
        <w:t>(DEG deaths: Why is India unable to stop them?)</w:t>
      </w:r>
    </w:p>
    <w:p w14:paraId="7870714B" w14:textId="77777777" w:rsidR="004D63D3" w:rsidRPr="00202F57" w:rsidRDefault="004D63D3" w:rsidP="004D63D3">
      <w:pPr>
        <w:jc w:val="center"/>
        <w:rPr>
          <w:lang w:val="en-US"/>
        </w:rPr>
      </w:pPr>
      <w:r w:rsidRPr="00202F57">
        <w:rPr>
          <w:lang w:val="en-US"/>
        </w:rPr>
        <w:t>Rema Nagarajan</w:t>
      </w:r>
    </w:p>
    <w:p w14:paraId="0CB74309" w14:textId="6B3C8041" w:rsidR="004D63D3" w:rsidRPr="00202F57" w:rsidRDefault="004D63D3" w:rsidP="004D63D3">
      <w:pPr>
        <w:jc w:val="center"/>
        <w:rPr>
          <w:lang w:val="en-US"/>
        </w:rPr>
      </w:pPr>
      <w:r w:rsidRPr="00827AA2">
        <w:rPr>
          <w:i/>
          <w:lang w:val="en-US"/>
        </w:rPr>
        <w:t>Indian Journal of Medical Ethics</w:t>
      </w:r>
      <w:r>
        <w:rPr>
          <w:lang w:val="en-US"/>
        </w:rPr>
        <w:t>, 2026; XI (2)</w:t>
      </w:r>
      <w:r w:rsidRPr="00202F57">
        <w:rPr>
          <w:lang w:val="en-US"/>
        </w:rPr>
        <w:t xml:space="preserve"> DOI:10.20529/IJME.2025.082</w:t>
      </w:r>
    </w:p>
    <w:p w14:paraId="6D935C40" w14:textId="1A4885AA" w:rsidR="004D63D3" w:rsidRPr="006B3D48" w:rsidRDefault="00B00DA4" w:rsidP="006B3D48">
      <w:pPr>
        <w:jc w:val="center"/>
      </w:pPr>
      <w:hyperlink r:id="rId173" w:history="1">
        <w:r w:rsidR="006B3D48" w:rsidRPr="003B6E80">
          <w:rPr>
            <w:rStyle w:val="Hipervnculo"/>
          </w:rPr>
          <w:t>https://ijme.in/articles/deg-deaths-why-is-india-unable-to-stop-them/</w:t>
        </w:r>
      </w:hyperlink>
      <w:r w:rsidR="006B3D48">
        <w:t xml:space="preserve"> </w:t>
      </w:r>
      <w:r w:rsidR="004D63D3" w:rsidRPr="00827AA2">
        <w:rPr>
          <w:color w:val="FF0000"/>
          <w:lang w:val="es-ES"/>
        </w:rPr>
        <w:t>(de libre</w:t>
      </w:r>
      <w:r w:rsidR="004D63D3">
        <w:rPr>
          <w:color w:val="FF0000"/>
          <w:lang w:val="es-ES"/>
        </w:rPr>
        <w:t xml:space="preserve"> acceso en inglés)</w:t>
      </w:r>
    </w:p>
    <w:p w14:paraId="4946F4FE" w14:textId="77777777" w:rsidR="004D63D3" w:rsidRDefault="004D63D3" w:rsidP="004D63D3">
      <w:pPr>
        <w:jc w:val="center"/>
        <w:rPr>
          <w:lang w:val="es-ES"/>
        </w:rPr>
      </w:pPr>
    </w:p>
    <w:p w14:paraId="25C1C8A0" w14:textId="77777777" w:rsidR="00AB1BEF" w:rsidRDefault="00AB1BEF" w:rsidP="004D63D3">
      <w:pPr>
        <w:rPr>
          <w:b/>
          <w:bCs/>
          <w:color w:val="000000" w:themeColor="text1"/>
          <w:sz w:val="18"/>
          <w:szCs w:val="22"/>
          <w:lang w:val="es-ES"/>
        </w:rPr>
        <w:sectPr w:rsidR="00AB1BEF" w:rsidSect="002730DC">
          <w:type w:val="continuous"/>
          <w:pgSz w:w="12240" w:h="15840" w:code="1"/>
          <w:pgMar w:top="720" w:right="720" w:bottom="720" w:left="720" w:header="288" w:footer="288" w:gutter="0"/>
          <w:cols w:space="708"/>
          <w:docGrid w:linePitch="360"/>
        </w:sectPr>
      </w:pPr>
    </w:p>
    <w:p w14:paraId="423183EC" w14:textId="4148ED3B" w:rsidR="004D63D3" w:rsidRPr="00827AA2" w:rsidRDefault="004D63D3" w:rsidP="004D63D3">
      <w:pPr>
        <w:rPr>
          <w:b/>
          <w:bCs/>
          <w:lang w:val="es-ES"/>
        </w:rPr>
      </w:pPr>
      <w:r w:rsidRPr="00827AA2">
        <w:rPr>
          <w:b/>
          <w:bCs/>
          <w:color w:val="000000" w:themeColor="text1"/>
          <w:sz w:val="18"/>
          <w:szCs w:val="22"/>
          <w:lang w:val="es-ES"/>
        </w:rPr>
        <w:t xml:space="preserve">Tags: </w:t>
      </w:r>
      <w:r w:rsidRPr="00827AA2">
        <w:rPr>
          <w:b/>
          <w:bCs/>
          <w:sz w:val="18"/>
          <w:szCs w:val="22"/>
          <w:lang w:val="es-ES"/>
        </w:rPr>
        <w:t>jarabe para tos, tos en niños, dietilenglicol, DEG, medicamento envenenado, regulación de fármacos en India</w:t>
      </w:r>
    </w:p>
    <w:p w14:paraId="009ED1CD" w14:textId="77777777" w:rsidR="004D63D3" w:rsidRPr="00827AA2" w:rsidRDefault="004D63D3" w:rsidP="004D63D3">
      <w:pPr>
        <w:rPr>
          <w:lang w:val="es-ES"/>
        </w:rPr>
      </w:pPr>
    </w:p>
    <w:p w14:paraId="1FA4A0A8" w14:textId="77777777" w:rsidR="004D63D3" w:rsidRPr="0094680A" w:rsidRDefault="004D63D3" w:rsidP="004D63D3">
      <w:pPr>
        <w:rPr>
          <w:b/>
          <w:lang w:val="es-ES"/>
        </w:rPr>
      </w:pPr>
      <w:r w:rsidRPr="0094680A">
        <w:rPr>
          <w:b/>
          <w:lang w:val="es-ES"/>
        </w:rPr>
        <w:t>Resumen</w:t>
      </w:r>
    </w:p>
    <w:p w14:paraId="744CE3CC" w14:textId="77777777" w:rsidR="00AB1BEF" w:rsidRDefault="004D63D3" w:rsidP="004D63D3">
      <w:pPr>
        <w:rPr>
          <w:lang w:val="es-ES"/>
        </w:rPr>
      </w:pPr>
      <w:r w:rsidRPr="00202F57">
        <w:rPr>
          <w:lang w:val="es-ES"/>
        </w:rPr>
        <w:t xml:space="preserve">Las muertes de niños en </w:t>
      </w:r>
      <w:proofErr w:type="spellStart"/>
      <w:r w:rsidRPr="00202F57">
        <w:rPr>
          <w:lang w:val="es-ES"/>
        </w:rPr>
        <w:t>Chhindwara</w:t>
      </w:r>
      <w:proofErr w:type="spellEnd"/>
      <w:r w:rsidRPr="00202F57">
        <w:rPr>
          <w:lang w:val="es-ES"/>
        </w:rPr>
        <w:t xml:space="preserve"> (Madhya Pradesh) a causa de un jarabe para la tos adulterado con dietilenglicol (DEG) han puesto al descubierto las deficiencias en la regulación farmacéutica, desde las plantas de fabricación hasta </w:t>
      </w:r>
      <w:r>
        <w:rPr>
          <w:lang w:val="es-ES"/>
        </w:rPr>
        <w:t>el farmacéutico</w:t>
      </w:r>
      <w:r w:rsidRPr="00202F57">
        <w:rPr>
          <w:lang w:val="es-ES"/>
        </w:rPr>
        <w:t xml:space="preserve">. </w:t>
      </w:r>
    </w:p>
    <w:p w14:paraId="5E60C3EB" w14:textId="77777777" w:rsidR="00AB1BEF" w:rsidRDefault="00AB1BEF" w:rsidP="004D63D3">
      <w:pPr>
        <w:rPr>
          <w:lang w:val="es-ES"/>
        </w:rPr>
      </w:pPr>
    </w:p>
    <w:p w14:paraId="66C26B47" w14:textId="44CBED70" w:rsidR="00AB1BEF" w:rsidRDefault="004D63D3" w:rsidP="004D63D3">
      <w:pPr>
        <w:rPr>
          <w:lang w:val="es-ES"/>
        </w:rPr>
      </w:pPr>
      <w:r w:rsidRPr="00202F57">
        <w:rPr>
          <w:lang w:val="es-ES"/>
        </w:rPr>
        <w:t xml:space="preserve">Han dejado en evidencia la vacuidad de los anuncios realizados por gobiernos y organismos reguladores —tras </w:t>
      </w:r>
      <w:r w:rsidRPr="00202F57">
        <w:rPr>
          <w:lang w:val="es-ES"/>
        </w:rPr>
        <w:t xml:space="preserve">casos similares de intoxicaciones masivas por DEG en jarabes para la tos registrados en 2020, 2022 y 2023— sobre la implementación de estándares de fabricación más elevados, inspecciones periódicas de las plantas y medidas contundentes contra quienes incumplen la normativa. </w:t>
      </w:r>
    </w:p>
    <w:p w14:paraId="7E252A65" w14:textId="77777777" w:rsidR="00AB1BEF" w:rsidRDefault="00AB1BEF" w:rsidP="004D63D3">
      <w:pPr>
        <w:rPr>
          <w:lang w:val="es-ES"/>
        </w:rPr>
      </w:pPr>
    </w:p>
    <w:p w14:paraId="09B412CB" w14:textId="4B9A6BC4" w:rsidR="004D63D3" w:rsidRPr="00202F57" w:rsidRDefault="004D63D3" w:rsidP="004D63D3">
      <w:pPr>
        <w:rPr>
          <w:lang w:val="es-ES"/>
        </w:rPr>
      </w:pPr>
      <w:r w:rsidRPr="00202F57">
        <w:rPr>
          <w:lang w:val="es-ES"/>
        </w:rPr>
        <w:t xml:space="preserve">La tragedia de </w:t>
      </w:r>
      <w:proofErr w:type="spellStart"/>
      <w:r w:rsidRPr="00202F57">
        <w:rPr>
          <w:lang w:val="es-ES"/>
        </w:rPr>
        <w:t>Chhindwara</w:t>
      </w:r>
      <w:proofErr w:type="spellEnd"/>
      <w:r w:rsidRPr="00202F57">
        <w:rPr>
          <w:lang w:val="es-ES"/>
        </w:rPr>
        <w:t xml:space="preserve"> ha revelado un sistema de regulación farmacéutica que no solo ha fracasado reiteradamente en garantizar la seguridad de los medicamentos, sino que también se opone activamente a cualquier escrutinio público de su funcionamiento.</w:t>
      </w:r>
    </w:p>
    <w:p w14:paraId="5B7EF23D" w14:textId="77777777" w:rsidR="00AB1BEF" w:rsidRDefault="00AB1BEF" w:rsidP="006110BD">
      <w:pPr>
        <w:rPr>
          <w:rFonts w:cs="Times New Roman"/>
          <w:color w:val="EE0000"/>
          <w:szCs w:val="20"/>
          <w:lang w:val="es-ES"/>
        </w:rPr>
        <w:sectPr w:rsidR="00AB1BEF" w:rsidSect="00AB1BEF">
          <w:type w:val="continuous"/>
          <w:pgSz w:w="12240" w:h="15840" w:code="1"/>
          <w:pgMar w:top="720" w:right="720" w:bottom="720" w:left="720" w:header="288" w:footer="288" w:gutter="0"/>
          <w:cols w:num="2" w:space="708"/>
          <w:docGrid w:linePitch="360"/>
        </w:sectPr>
      </w:pPr>
    </w:p>
    <w:p w14:paraId="4DB78128" w14:textId="77777777" w:rsidR="001C58D0" w:rsidRPr="00F25512" w:rsidRDefault="001C58D0" w:rsidP="006110BD">
      <w:pPr>
        <w:rPr>
          <w:rFonts w:cs="Times New Roman"/>
          <w:color w:val="EE0000"/>
          <w:szCs w:val="20"/>
          <w:lang w:val="es-ES"/>
        </w:rPr>
      </w:pPr>
    </w:p>
    <w:p w14:paraId="10F95641" w14:textId="75B22C6D" w:rsidR="001C58D0" w:rsidRDefault="001C58D0" w:rsidP="001C58D0">
      <w:pPr>
        <w:spacing w:after="160" w:line="278" w:lineRule="auto"/>
        <w:jc w:val="center"/>
        <w:rPr>
          <w:rFonts w:cs="Times New Roman"/>
          <w:b/>
          <w:bCs/>
          <w:sz w:val="24"/>
          <w:szCs w:val="32"/>
        </w:rPr>
      </w:pPr>
      <w:r>
        <w:rPr>
          <w:rFonts w:cs="Times New Roman"/>
          <w:b/>
          <w:bCs/>
          <w:sz w:val="24"/>
          <w:szCs w:val="32"/>
        </w:rPr>
        <w:lastRenderedPageBreak/>
        <w:t>Oce</w:t>
      </w:r>
      <w:r w:rsidRPr="00560BAC">
        <w:rPr>
          <w:rFonts w:cs="Times New Roman"/>
          <w:b/>
          <w:bCs/>
          <w:sz w:val="24"/>
          <w:szCs w:val="32"/>
        </w:rPr>
        <w:t>a</w:t>
      </w:r>
      <w:r>
        <w:rPr>
          <w:rFonts w:cs="Times New Roman"/>
          <w:b/>
          <w:bCs/>
          <w:sz w:val="24"/>
          <w:szCs w:val="32"/>
        </w:rPr>
        <w:t>nía</w:t>
      </w:r>
    </w:p>
    <w:p w14:paraId="4F9EF390" w14:textId="41971263" w:rsidR="0082398E" w:rsidRPr="009609BA" w:rsidRDefault="0082398E" w:rsidP="0082398E">
      <w:pPr>
        <w:jc w:val="center"/>
        <w:rPr>
          <w:rFonts w:eastAsia="Times New Roman" w:cs="Times New Roman"/>
          <w:b/>
          <w:color w:val="FF0000"/>
          <w:szCs w:val="20"/>
        </w:rPr>
      </w:pPr>
      <w:r w:rsidRPr="009D3ABC">
        <w:rPr>
          <w:rFonts w:eastAsia="Times New Roman" w:cs="Times New Roman"/>
          <w:b/>
          <w:szCs w:val="20"/>
        </w:rPr>
        <w:t xml:space="preserve">Preocupación por los riesgos para la salud pública asociados </w:t>
      </w:r>
      <w:r w:rsidR="009609BA">
        <w:rPr>
          <w:rFonts w:eastAsia="Times New Roman" w:cs="Times New Roman"/>
          <w:b/>
          <w:szCs w:val="20"/>
        </w:rPr>
        <w:t>a</w:t>
      </w:r>
      <w:r w:rsidRPr="009D3ABC">
        <w:rPr>
          <w:rFonts w:eastAsia="Times New Roman" w:cs="Times New Roman"/>
          <w:b/>
          <w:szCs w:val="20"/>
        </w:rPr>
        <w:t xml:space="preserve"> los </w:t>
      </w:r>
      <w:proofErr w:type="spellStart"/>
      <w:r w:rsidRPr="009D3ABC">
        <w:rPr>
          <w:rFonts w:eastAsia="Times New Roman" w:cs="Times New Roman"/>
          <w:b/>
          <w:szCs w:val="20"/>
        </w:rPr>
        <w:t>pept</w:t>
      </w:r>
      <w:r w:rsidR="009609BA">
        <w:rPr>
          <w:rFonts w:eastAsia="Times New Roman" w:cs="Times New Roman"/>
          <w:b/>
          <w:szCs w:val="20"/>
        </w:rPr>
        <w:t>i</w:t>
      </w:r>
      <w:r w:rsidRPr="009D3ABC">
        <w:rPr>
          <w:rFonts w:eastAsia="Times New Roman" w:cs="Times New Roman"/>
          <w:b/>
          <w:szCs w:val="20"/>
        </w:rPr>
        <w:t>dos</w:t>
      </w:r>
      <w:proofErr w:type="spellEnd"/>
      <w:r w:rsidRPr="009D3ABC">
        <w:rPr>
          <w:rFonts w:eastAsia="Times New Roman" w:cs="Times New Roman"/>
          <w:b/>
          <w:szCs w:val="20"/>
        </w:rPr>
        <w:t xml:space="preserve"> no aprobados</w:t>
      </w:r>
      <w:r w:rsidR="009609BA">
        <w:rPr>
          <w:rFonts w:eastAsia="Times New Roman" w:cs="Times New Roman"/>
          <w:b/>
          <w:szCs w:val="20"/>
        </w:rPr>
        <w:t xml:space="preserve"> </w:t>
      </w:r>
    </w:p>
    <w:p w14:paraId="1FF2BEBF" w14:textId="77777777" w:rsidR="0082398E" w:rsidRPr="00421615" w:rsidRDefault="0082398E" w:rsidP="0082398E">
      <w:pPr>
        <w:jc w:val="center"/>
        <w:rPr>
          <w:rFonts w:eastAsia="Times New Roman" w:cs="Times New Roman"/>
          <w:i/>
          <w:iCs/>
          <w:szCs w:val="20"/>
          <w:lang w:val="en-US"/>
        </w:rPr>
      </w:pPr>
      <w:r>
        <w:rPr>
          <w:rFonts w:eastAsia="Times New Roman" w:cs="Times New Roman"/>
          <w:i/>
          <w:iCs/>
          <w:szCs w:val="20"/>
          <w:lang w:val="en-US"/>
        </w:rPr>
        <w:t>(</w:t>
      </w:r>
      <w:r w:rsidRPr="00421615">
        <w:rPr>
          <w:rFonts w:eastAsia="Times New Roman" w:cs="Times New Roman"/>
          <w:i/>
          <w:iCs/>
          <w:szCs w:val="20"/>
          <w:lang w:val="en-US"/>
        </w:rPr>
        <w:t>Concerns regarding the public health risks associated with unapproved peptide products</w:t>
      </w:r>
      <w:r>
        <w:rPr>
          <w:rFonts w:eastAsia="Times New Roman" w:cs="Times New Roman"/>
          <w:i/>
          <w:iCs/>
          <w:szCs w:val="20"/>
          <w:lang w:val="en-US"/>
        </w:rPr>
        <w:t>)</w:t>
      </w:r>
    </w:p>
    <w:p w14:paraId="3E8C5A49" w14:textId="77777777" w:rsidR="0082398E" w:rsidRDefault="0082398E" w:rsidP="0082398E">
      <w:pPr>
        <w:jc w:val="center"/>
        <w:rPr>
          <w:rFonts w:eastAsia="Times New Roman" w:cs="Times New Roman"/>
          <w:szCs w:val="20"/>
        </w:rPr>
      </w:pPr>
      <w:r w:rsidRPr="004A6F54">
        <w:rPr>
          <w:rFonts w:eastAsia="Times New Roman" w:cs="Times New Roman"/>
          <w:i/>
          <w:iCs/>
          <w:szCs w:val="20"/>
        </w:rPr>
        <w:t>Administración de Productos Terapéuticos (TGA)</w:t>
      </w:r>
      <w:r>
        <w:rPr>
          <w:rFonts w:eastAsia="Times New Roman" w:cs="Times New Roman"/>
          <w:i/>
          <w:iCs/>
          <w:szCs w:val="20"/>
        </w:rPr>
        <w:t xml:space="preserve">, </w:t>
      </w:r>
      <w:r w:rsidRPr="009D3ABC">
        <w:rPr>
          <w:rFonts w:eastAsia="Times New Roman" w:cs="Times New Roman"/>
          <w:szCs w:val="20"/>
        </w:rPr>
        <w:t>19 de junio de 2026</w:t>
      </w:r>
    </w:p>
    <w:p w14:paraId="29708580" w14:textId="77777777" w:rsidR="0082398E" w:rsidRPr="004A6F54" w:rsidRDefault="00B00DA4" w:rsidP="0082398E">
      <w:pPr>
        <w:jc w:val="center"/>
        <w:rPr>
          <w:rFonts w:eastAsia="Times New Roman" w:cs="Times New Roman"/>
          <w:szCs w:val="20"/>
        </w:rPr>
      </w:pPr>
      <w:hyperlink r:id="rId174" w:history="1">
        <w:r w:rsidR="0082398E" w:rsidRPr="004A6F54">
          <w:rPr>
            <w:rStyle w:val="Hipervnculo"/>
            <w:rFonts w:eastAsia="Times New Roman" w:cs="Times New Roman"/>
            <w:szCs w:val="20"/>
          </w:rPr>
          <w:t>https://www.tga.gov.au/news/media-releases/concerns-regarding-public-health-risks-associated-unapproved-peptide-products</w:t>
        </w:r>
      </w:hyperlink>
    </w:p>
    <w:p w14:paraId="5CBE5751" w14:textId="32A9AC3C" w:rsidR="0082398E" w:rsidRPr="004A6F54" w:rsidRDefault="0082398E" w:rsidP="0082398E">
      <w:pPr>
        <w:jc w:val="center"/>
        <w:rPr>
          <w:lang w:val="es-ES"/>
        </w:rPr>
      </w:pPr>
      <w:r w:rsidRPr="00CA0441">
        <w:rPr>
          <w:rFonts w:eastAsia="Times New Roman" w:cs="Times New Roman"/>
          <w:szCs w:val="20"/>
          <w:lang w:val="es-ES"/>
        </w:rPr>
        <w:t xml:space="preserve">Traducido por Salud y Fármacos, publicado en </w:t>
      </w:r>
      <w:r w:rsidRPr="00CA0441">
        <w:rPr>
          <w:rFonts w:cs="Times New Roman"/>
          <w:i/>
          <w:iCs/>
          <w:szCs w:val="20"/>
          <w:lang w:val="es-ES"/>
        </w:rPr>
        <w:t xml:space="preserve">Boletín Fármacos: </w:t>
      </w:r>
      <w:r>
        <w:rPr>
          <w:rFonts w:eastAsia="Times New Roman" w:cs="Times New Roman"/>
          <w:bCs/>
          <w:i/>
          <w:iCs/>
          <w:szCs w:val="16"/>
          <w:lang w:val="es-ES"/>
        </w:rPr>
        <w:t>Age</w:t>
      </w:r>
      <w:r w:rsidRPr="00CA0441">
        <w:rPr>
          <w:rFonts w:eastAsia="Times New Roman" w:cs="Times New Roman"/>
          <w:bCs/>
          <w:i/>
          <w:iCs/>
          <w:szCs w:val="16"/>
          <w:lang w:val="es-ES"/>
        </w:rPr>
        <w:t>ncia</w:t>
      </w:r>
      <w:r>
        <w:rPr>
          <w:rFonts w:eastAsia="Times New Roman" w:cs="Times New Roman"/>
          <w:bCs/>
          <w:i/>
          <w:iCs/>
          <w:szCs w:val="16"/>
          <w:lang w:val="es-ES"/>
        </w:rPr>
        <w:t>s Reguladoras</w:t>
      </w:r>
      <w:r w:rsidRPr="00CA0441">
        <w:rPr>
          <w:rFonts w:eastAsia="Times New Roman" w:cs="Times New Roman"/>
          <w:bCs/>
          <w:i/>
          <w:iCs/>
          <w:szCs w:val="16"/>
          <w:lang w:val="es-ES"/>
        </w:rPr>
        <w:t xml:space="preserve"> 2026; 29(3)</w:t>
      </w:r>
    </w:p>
    <w:p w14:paraId="0D2893C6" w14:textId="77777777" w:rsidR="0082398E" w:rsidRDefault="0082398E" w:rsidP="0082398E">
      <w:pPr>
        <w:rPr>
          <w:rFonts w:eastAsia="Times New Roman" w:cs="Times New Roman"/>
          <w:b/>
          <w:bCs/>
          <w:sz w:val="18"/>
          <w:szCs w:val="18"/>
        </w:rPr>
      </w:pPr>
    </w:p>
    <w:p w14:paraId="55DA19BA" w14:textId="77777777" w:rsidR="00AB1BEF" w:rsidRDefault="00AB1BEF" w:rsidP="0082398E">
      <w:pPr>
        <w:rPr>
          <w:rFonts w:eastAsia="Times New Roman" w:cs="Times New Roman"/>
          <w:b/>
          <w:bCs/>
          <w:sz w:val="18"/>
          <w:szCs w:val="18"/>
          <w:lang w:val="es-ES"/>
        </w:rPr>
        <w:sectPr w:rsidR="00AB1BEF" w:rsidSect="002730DC">
          <w:type w:val="continuous"/>
          <w:pgSz w:w="12240" w:h="15840" w:code="1"/>
          <w:pgMar w:top="720" w:right="720" w:bottom="720" w:left="720" w:header="288" w:footer="288" w:gutter="0"/>
          <w:cols w:space="708"/>
          <w:docGrid w:linePitch="360"/>
        </w:sectPr>
      </w:pPr>
    </w:p>
    <w:p w14:paraId="68B9C222" w14:textId="301FFA82" w:rsidR="0082398E" w:rsidRPr="00F25512" w:rsidRDefault="0082398E" w:rsidP="0082398E">
      <w:pPr>
        <w:rPr>
          <w:rFonts w:eastAsia="Times New Roman" w:cs="Times New Roman"/>
          <w:b/>
          <w:bCs/>
          <w:sz w:val="18"/>
          <w:szCs w:val="18"/>
          <w:lang w:val="es-ES"/>
        </w:rPr>
      </w:pPr>
      <w:r w:rsidRPr="00F25512">
        <w:rPr>
          <w:rFonts w:eastAsia="Times New Roman" w:cs="Times New Roman"/>
          <w:b/>
          <w:bCs/>
          <w:sz w:val="18"/>
          <w:szCs w:val="18"/>
          <w:lang w:val="es-ES"/>
        </w:rPr>
        <w:t>Tags: BPC</w:t>
      </w:r>
      <w:r w:rsidRPr="00F25512">
        <w:rPr>
          <w:rFonts w:eastAsia="Times New Roman" w:cs="Times New Roman"/>
          <w:b/>
          <w:bCs/>
          <w:sz w:val="18"/>
          <w:szCs w:val="18"/>
          <w:lang w:val="es-ES"/>
        </w:rPr>
        <w:noBreakHyphen/>
        <w:t>157, GHK</w:t>
      </w:r>
      <w:r w:rsidRPr="00F25512">
        <w:rPr>
          <w:rFonts w:eastAsia="Times New Roman" w:cs="Times New Roman"/>
          <w:b/>
          <w:bCs/>
          <w:sz w:val="18"/>
          <w:szCs w:val="18"/>
          <w:lang w:val="es-ES"/>
        </w:rPr>
        <w:noBreakHyphen/>
        <w:t>Cu, TB</w:t>
      </w:r>
      <w:r w:rsidRPr="00F25512">
        <w:rPr>
          <w:rFonts w:eastAsia="Times New Roman" w:cs="Times New Roman"/>
          <w:b/>
          <w:bCs/>
          <w:sz w:val="18"/>
          <w:szCs w:val="18"/>
          <w:lang w:val="es-ES"/>
        </w:rPr>
        <w:noBreakHyphen/>
        <w:t xml:space="preserve">500, </w:t>
      </w:r>
      <w:proofErr w:type="spellStart"/>
      <w:r w:rsidRPr="00F25512">
        <w:rPr>
          <w:rFonts w:eastAsia="Times New Roman" w:cs="Times New Roman"/>
          <w:b/>
          <w:bCs/>
          <w:i/>
          <w:iCs/>
          <w:sz w:val="18"/>
          <w:szCs w:val="18"/>
          <w:lang w:val="es-ES"/>
        </w:rPr>
        <w:t>retatrutida</w:t>
      </w:r>
      <w:proofErr w:type="spellEnd"/>
      <w:r w:rsidRPr="00F25512">
        <w:rPr>
          <w:rFonts w:eastAsia="Times New Roman" w:cs="Times New Roman"/>
          <w:b/>
          <w:bCs/>
          <w:i/>
          <w:iCs/>
          <w:sz w:val="18"/>
          <w:szCs w:val="18"/>
          <w:lang w:val="es-ES"/>
        </w:rPr>
        <w:t>,</w:t>
      </w:r>
      <w:r w:rsidRPr="00F25512">
        <w:rPr>
          <w:rFonts w:eastAsia="Times New Roman" w:cs="Times New Roman"/>
          <w:b/>
          <w:bCs/>
          <w:sz w:val="18"/>
          <w:szCs w:val="18"/>
          <w:lang w:val="es-ES"/>
        </w:rPr>
        <w:t xml:space="preserve"> CJC</w:t>
      </w:r>
      <w:r w:rsidRPr="00F25512">
        <w:rPr>
          <w:rFonts w:eastAsia="Times New Roman" w:cs="Times New Roman"/>
          <w:b/>
          <w:bCs/>
          <w:sz w:val="18"/>
          <w:szCs w:val="18"/>
          <w:lang w:val="es-ES"/>
        </w:rPr>
        <w:noBreakHyphen/>
        <w:t xml:space="preserve">1295, </w:t>
      </w:r>
      <w:r w:rsidRPr="00F25512">
        <w:rPr>
          <w:rFonts w:eastAsia="Times New Roman" w:cs="Times New Roman"/>
          <w:b/>
          <w:sz w:val="18"/>
          <w:szCs w:val="18"/>
          <w:lang w:val="es-ES"/>
        </w:rPr>
        <w:t>daño hepático, reacciones alérgicas graves</w:t>
      </w:r>
    </w:p>
    <w:p w14:paraId="39597CD3" w14:textId="77777777" w:rsidR="0082398E" w:rsidRPr="00F25512" w:rsidRDefault="0082398E" w:rsidP="0082398E">
      <w:pPr>
        <w:rPr>
          <w:rFonts w:eastAsia="Times New Roman" w:cs="Times New Roman"/>
          <w:color w:val="EE0000"/>
          <w:szCs w:val="20"/>
          <w:lang w:val="es-ES"/>
        </w:rPr>
      </w:pPr>
    </w:p>
    <w:p w14:paraId="30898013" w14:textId="153F221C" w:rsidR="0082398E" w:rsidRDefault="0082398E" w:rsidP="0082398E">
      <w:pPr>
        <w:rPr>
          <w:rFonts w:eastAsia="Times New Roman" w:cs="Times New Roman"/>
          <w:bCs/>
          <w:szCs w:val="20"/>
        </w:rPr>
      </w:pPr>
      <w:r w:rsidRPr="009D3ABC">
        <w:rPr>
          <w:rFonts w:eastAsia="Times New Roman" w:cs="Times New Roman"/>
          <w:bCs/>
          <w:szCs w:val="20"/>
        </w:rPr>
        <w:t xml:space="preserve">Esta es una declaración conjunta de la TGA y el </w:t>
      </w:r>
      <w:r w:rsidR="00FE3E51" w:rsidRPr="009D3ABC">
        <w:rPr>
          <w:rFonts w:eastAsia="Times New Roman" w:cs="Times New Roman"/>
          <w:bCs/>
          <w:szCs w:val="20"/>
        </w:rPr>
        <w:t>director</w:t>
      </w:r>
      <w:r w:rsidRPr="009D3ABC">
        <w:rPr>
          <w:rFonts w:eastAsia="Times New Roman" w:cs="Times New Roman"/>
          <w:bCs/>
          <w:szCs w:val="20"/>
        </w:rPr>
        <w:t xml:space="preserve"> Médico de Australia</w:t>
      </w:r>
    </w:p>
    <w:p w14:paraId="26032D93" w14:textId="77777777" w:rsidR="0082398E" w:rsidRDefault="0082398E" w:rsidP="0082398E">
      <w:pPr>
        <w:rPr>
          <w:rFonts w:eastAsia="Times New Roman" w:cs="Times New Roman"/>
          <w:bCs/>
          <w:szCs w:val="20"/>
        </w:rPr>
      </w:pPr>
    </w:p>
    <w:p w14:paraId="138151E3" w14:textId="565B8AE1" w:rsidR="0082398E" w:rsidRDefault="0082398E" w:rsidP="0082398E">
      <w:pPr>
        <w:rPr>
          <w:rFonts w:eastAsia="Times New Roman" w:cs="Times New Roman"/>
          <w:bCs/>
          <w:szCs w:val="20"/>
        </w:rPr>
      </w:pPr>
      <w:r w:rsidRPr="00386799">
        <w:rPr>
          <w:rFonts w:eastAsia="Times New Roman" w:cs="Times New Roman"/>
          <w:bCs/>
          <w:szCs w:val="20"/>
        </w:rPr>
        <w:t xml:space="preserve">Líderes </w:t>
      </w:r>
      <w:r>
        <w:rPr>
          <w:rFonts w:eastAsia="Times New Roman" w:cs="Times New Roman"/>
          <w:bCs/>
          <w:szCs w:val="20"/>
        </w:rPr>
        <w:t xml:space="preserve">en </w:t>
      </w:r>
      <w:r w:rsidRPr="00386799">
        <w:rPr>
          <w:rFonts w:eastAsia="Times New Roman" w:cs="Times New Roman"/>
          <w:bCs/>
          <w:szCs w:val="20"/>
        </w:rPr>
        <w:t>sa</w:t>
      </w:r>
      <w:r>
        <w:rPr>
          <w:rFonts w:eastAsia="Times New Roman" w:cs="Times New Roman"/>
          <w:bCs/>
          <w:szCs w:val="20"/>
        </w:rPr>
        <w:t>lud</w:t>
      </w:r>
      <w:r w:rsidRPr="00386799">
        <w:rPr>
          <w:rFonts w:eastAsia="Times New Roman" w:cs="Times New Roman"/>
          <w:bCs/>
          <w:szCs w:val="20"/>
        </w:rPr>
        <w:t xml:space="preserve"> australianos están cada vez más preocupados por la creciente disponibilidad, promoción y uso de productos peptídicos no aprobados en Australia. Los informes recibidos por la Administración de Productos Terapéuticos (TGA</w:t>
      </w:r>
      <w:r>
        <w:rPr>
          <w:rFonts w:eastAsia="Times New Roman" w:cs="Times New Roman"/>
          <w:bCs/>
          <w:szCs w:val="20"/>
        </w:rPr>
        <w:t xml:space="preserve"> por su sigla </w:t>
      </w:r>
      <w:proofErr w:type="spellStart"/>
      <w:r>
        <w:rPr>
          <w:rFonts w:eastAsia="Times New Roman" w:cs="Times New Roman"/>
          <w:bCs/>
          <w:szCs w:val="20"/>
        </w:rPr>
        <w:t>ne</w:t>
      </w:r>
      <w:proofErr w:type="spellEnd"/>
      <w:r>
        <w:rPr>
          <w:rFonts w:eastAsia="Times New Roman" w:cs="Times New Roman"/>
          <w:bCs/>
          <w:szCs w:val="20"/>
        </w:rPr>
        <w:t xml:space="preserve"> inglés </w:t>
      </w:r>
      <w:proofErr w:type="spellStart"/>
      <w:r w:rsidRPr="00F34150">
        <w:rPr>
          <w:rFonts w:eastAsia="Times New Roman" w:cs="Times New Roman"/>
          <w:bCs/>
          <w:i/>
          <w:iCs/>
          <w:szCs w:val="20"/>
        </w:rPr>
        <w:t>Therapeutic</w:t>
      </w:r>
      <w:proofErr w:type="spellEnd"/>
      <w:r w:rsidRPr="00F34150">
        <w:rPr>
          <w:rFonts w:eastAsia="Times New Roman" w:cs="Times New Roman"/>
          <w:bCs/>
          <w:i/>
          <w:iCs/>
          <w:szCs w:val="20"/>
        </w:rPr>
        <w:t xml:space="preserve"> </w:t>
      </w:r>
      <w:proofErr w:type="spellStart"/>
      <w:r w:rsidRPr="00F34150">
        <w:rPr>
          <w:rFonts w:eastAsia="Times New Roman" w:cs="Times New Roman"/>
          <w:bCs/>
          <w:i/>
          <w:iCs/>
          <w:szCs w:val="20"/>
        </w:rPr>
        <w:t>Goods</w:t>
      </w:r>
      <w:proofErr w:type="spellEnd"/>
      <w:r w:rsidRPr="00F34150">
        <w:rPr>
          <w:rFonts w:eastAsia="Times New Roman" w:cs="Times New Roman"/>
          <w:bCs/>
          <w:i/>
          <w:iCs/>
          <w:szCs w:val="20"/>
        </w:rPr>
        <w:t xml:space="preserve"> </w:t>
      </w:r>
      <w:proofErr w:type="spellStart"/>
      <w:r w:rsidRPr="00F34150">
        <w:rPr>
          <w:rFonts w:eastAsia="Times New Roman" w:cs="Times New Roman"/>
          <w:bCs/>
          <w:i/>
          <w:iCs/>
          <w:szCs w:val="20"/>
        </w:rPr>
        <w:t>Administration</w:t>
      </w:r>
      <w:proofErr w:type="spellEnd"/>
      <w:r w:rsidRPr="00386799">
        <w:rPr>
          <w:rFonts w:eastAsia="Times New Roman" w:cs="Times New Roman"/>
          <w:bCs/>
          <w:szCs w:val="20"/>
        </w:rPr>
        <w:t xml:space="preserve">), junto con los datos de hospitalización de los estados y territorios, han identificado efectos adversos graves asociados con el uso de péptidos no aprobados. Estos incluyen: </w:t>
      </w:r>
    </w:p>
    <w:p w14:paraId="10EBAF4F" w14:textId="77777777" w:rsidR="009609BA" w:rsidRDefault="009609BA" w:rsidP="0082398E">
      <w:pPr>
        <w:rPr>
          <w:rFonts w:eastAsia="Times New Roman" w:cs="Times New Roman"/>
          <w:bCs/>
          <w:szCs w:val="20"/>
        </w:rPr>
      </w:pPr>
    </w:p>
    <w:p w14:paraId="632F3114" w14:textId="5BA93FB9" w:rsidR="0082398E" w:rsidRDefault="0082398E" w:rsidP="002478D5">
      <w:pPr>
        <w:pStyle w:val="Prrafodelista"/>
        <w:numPr>
          <w:ilvl w:val="0"/>
          <w:numId w:val="10"/>
        </w:numPr>
        <w:ind w:left="180" w:hanging="180"/>
        <w:rPr>
          <w:rFonts w:eastAsia="Times New Roman" w:cs="Times New Roman"/>
          <w:bCs/>
          <w:szCs w:val="20"/>
        </w:rPr>
      </w:pPr>
      <w:r w:rsidRPr="00A0038F">
        <w:rPr>
          <w:rFonts w:eastAsia="Times New Roman" w:cs="Times New Roman"/>
          <w:bCs/>
          <w:szCs w:val="20"/>
        </w:rPr>
        <w:t>daño hepático</w:t>
      </w:r>
    </w:p>
    <w:p w14:paraId="06FE7B4B" w14:textId="77777777" w:rsidR="00F25512" w:rsidRPr="00A0038F" w:rsidRDefault="00F25512" w:rsidP="00F25512">
      <w:pPr>
        <w:pStyle w:val="Prrafodelista"/>
        <w:ind w:left="180"/>
        <w:rPr>
          <w:rFonts w:eastAsia="Times New Roman" w:cs="Times New Roman"/>
          <w:bCs/>
          <w:szCs w:val="20"/>
        </w:rPr>
      </w:pPr>
    </w:p>
    <w:p w14:paraId="247AAE46" w14:textId="6BCCB2FA" w:rsidR="0082398E" w:rsidRDefault="0082398E" w:rsidP="002478D5">
      <w:pPr>
        <w:pStyle w:val="Prrafodelista"/>
        <w:numPr>
          <w:ilvl w:val="0"/>
          <w:numId w:val="10"/>
        </w:numPr>
        <w:ind w:left="180" w:hanging="180"/>
        <w:rPr>
          <w:rFonts w:eastAsia="Times New Roman" w:cs="Times New Roman"/>
          <w:bCs/>
          <w:szCs w:val="20"/>
        </w:rPr>
      </w:pPr>
      <w:r w:rsidRPr="00A0038F">
        <w:rPr>
          <w:rFonts w:eastAsia="Times New Roman" w:cs="Times New Roman"/>
          <w:bCs/>
          <w:szCs w:val="20"/>
        </w:rPr>
        <w:t>reacciones alérgicas graves que requieren hospitalización</w:t>
      </w:r>
    </w:p>
    <w:p w14:paraId="26FB0CA5" w14:textId="77777777" w:rsidR="00F25512" w:rsidRPr="00F25512" w:rsidRDefault="00F25512" w:rsidP="00F25512">
      <w:pPr>
        <w:rPr>
          <w:rFonts w:eastAsia="Times New Roman" w:cs="Times New Roman"/>
          <w:bCs/>
          <w:szCs w:val="20"/>
        </w:rPr>
      </w:pPr>
    </w:p>
    <w:p w14:paraId="117C7D63" w14:textId="77777777" w:rsidR="0082398E" w:rsidRPr="00A0038F" w:rsidRDefault="0082398E" w:rsidP="002478D5">
      <w:pPr>
        <w:pStyle w:val="Prrafodelista"/>
        <w:numPr>
          <w:ilvl w:val="0"/>
          <w:numId w:val="10"/>
        </w:numPr>
        <w:ind w:left="180" w:hanging="180"/>
        <w:rPr>
          <w:rFonts w:eastAsia="Times New Roman" w:cs="Times New Roman"/>
          <w:bCs/>
          <w:szCs w:val="20"/>
        </w:rPr>
      </w:pPr>
      <w:r w:rsidRPr="00A0038F">
        <w:rPr>
          <w:rFonts w:eastAsia="Times New Roman" w:cs="Times New Roman"/>
          <w:bCs/>
          <w:szCs w:val="20"/>
        </w:rPr>
        <w:t>inflamación y otras complicaciones de salud que requieren atención médica.</w:t>
      </w:r>
    </w:p>
    <w:p w14:paraId="6FE2FD27" w14:textId="77777777" w:rsidR="0082398E" w:rsidRPr="00386799" w:rsidRDefault="0082398E" w:rsidP="0082398E">
      <w:pPr>
        <w:rPr>
          <w:rFonts w:eastAsia="Times New Roman" w:cs="Times New Roman"/>
          <w:bCs/>
          <w:color w:val="EE0000"/>
          <w:szCs w:val="20"/>
        </w:rPr>
      </w:pPr>
    </w:p>
    <w:p w14:paraId="6CA67B09" w14:textId="77777777" w:rsidR="0082398E" w:rsidRDefault="0082398E" w:rsidP="0082398E">
      <w:pPr>
        <w:rPr>
          <w:rFonts w:eastAsia="Times New Roman" w:cs="Times New Roman"/>
          <w:bCs/>
          <w:szCs w:val="20"/>
        </w:rPr>
      </w:pPr>
      <w:r w:rsidRPr="00A0038F">
        <w:rPr>
          <w:rFonts w:eastAsia="Times New Roman" w:cs="Times New Roman"/>
          <w:bCs/>
          <w:szCs w:val="20"/>
        </w:rPr>
        <w:t xml:space="preserve">Los productos peptídicos no aprobados que no están incluidos en el Registro Australiano de Productos Terapéuticos no han sido evaluados por la TGA en cuanto a seguridad, calidad o eficacia. Estos pueden incluir productos que contienen BPC-157, GHK-Cu, TB-500, </w:t>
      </w:r>
      <w:proofErr w:type="spellStart"/>
      <w:r w:rsidRPr="00A0038F">
        <w:rPr>
          <w:rFonts w:eastAsia="Times New Roman" w:cs="Times New Roman"/>
          <w:bCs/>
          <w:i/>
          <w:iCs/>
          <w:szCs w:val="20"/>
        </w:rPr>
        <w:t>retatrutida</w:t>
      </w:r>
      <w:proofErr w:type="spellEnd"/>
      <w:r w:rsidRPr="00A0038F">
        <w:rPr>
          <w:rFonts w:eastAsia="Times New Roman" w:cs="Times New Roman"/>
          <w:bCs/>
          <w:i/>
          <w:iCs/>
          <w:szCs w:val="20"/>
        </w:rPr>
        <w:t xml:space="preserve"> </w:t>
      </w:r>
      <w:r w:rsidRPr="00A0038F">
        <w:rPr>
          <w:rFonts w:eastAsia="Times New Roman" w:cs="Times New Roman"/>
          <w:bCs/>
          <w:szCs w:val="20"/>
        </w:rPr>
        <w:t xml:space="preserve">y CJC-1295. </w:t>
      </w:r>
    </w:p>
    <w:p w14:paraId="49CAECC0" w14:textId="77777777" w:rsidR="0082398E" w:rsidRDefault="0082398E" w:rsidP="0082398E">
      <w:pPr>
        <w:rPr>
          <w:rFonts w:eastAsia="Times New Roman" w:cs="Times New Roman"/>
          <w:bCs/>
          <w:szCs w:val="20"/>
        </w:rPr>
      </w:pPr>
    </w:p>
    <w:p w14:paraId="79045D33" w14:textId="77777777" w:rsidR="0082398E" w:rsidRPr="00A0038F" w:rsidRDefault="0082398E" w:rsidP="0082398E">
      <w:pPr>
        <w:rPr>
          <w:rFonts w:eastAsia="Times New Roman" w:cs="Times New Roman"/>
          <w:bCs/>
          <w:szCs w:val="20"/>
        </w:rPr>
      </w:pPr>
      <w:r w:rsidRPr="00A0038F">
        <w:rPr>
          <w:rFonts w:eastAsia="Times New Roman" w:cs="Times New Roman"/>
          <w:bCs/>
          <w:szCs w:val="20"/>
        </w:rPr>
        <w:t>La TGA no supervisa la composición de los ingredientes, los estándares de fabricación ni la seguridad y eficacia de los productos peptídicos no aprobados. Además, los productos falsificados a menudo se diseñan deliberadamente para imitar medicamentos genuinos, lo que dificulta que los consumidores identifiquen productos inseguros o potencialmente dañinos.</w:t>
      </w:r>
    </w:p>
    <w:p w14:paraId="37786CD5" w14:textId="77777777" w:rsidR="0082398E" w:rsidRPr="00A0038F" w:rsidRDefault="0082398E" w:rsidP="0082398E">
      <w:pPr>
        <w:rPr>
          <w:rFonts w:eastAsia="Times New Roman" w:cs="Times New Roman"/>
          <w:bCs/>
          <w:color w:val="EE0000"/>
          <w:szCs w:val="20"/>
        </w:rPr>
      </w:pPr>
    </w:p>
    <w:p w14:paraId="7951F08F" w14:textId="457F420B" w:rsidR="0082398E" w:rsidRDefault="0082398E" w:rsidP="0082398E">
      <w:pPr>
        <w:rPr>
          <w:rFonts w:eastAsia="Times New Roman" w:cs="Times New Roman"/>
          <w:bCs/>
          <w:szCs w:val="20"/>
        </w:rPr>
      </w:pPr>
      <w:r w:rsidRPr="007D24CF">
        <w:rPr>
          <w:rFonts w:eastAsia="Times New Roman" w:cs="Times New Roman"/>
          <w:bCs/>
          <w:szCs w:val="20"/>
        </w:rPr>
        <w:t xml:space="preserve">Se desconoce información importante </w:t>
      </w:r>
      <w:r>
        <w:rPr>
          <w:rFonts w:eastAsia="Times New Roman" w:cs="Times New Roman"/>
          <w:bCs/>
          <w:szCs w:val="20"/>
        </w:rPr>
        <w:t xml:space="preserve">y </w:t>
      </w:r>
      <w:r w:rsidRPr="007D24CF">
        <w:rPr>
          <w:rFonts w:eastAsia="Times New Roman" w:cs="Times New Roman"/>
          <w:bCs/>
          <w:szCs w:val="20"/>
        </w:rPr>
        <w:t xml:space="preserve">relevante para la seguridad del consumidor, incluyendo: </w:t>
      </w:r>
    </w:p>
    <w:p w14:paraId="3E1575DD" w14:textId="77777777" w:rsidR="00F25512" w:rsidRDefault="00F25512" w:rsidP="0082398E">
      <w:pPr>
        <w:rPr>
          <w:rFonts w:eastAsia="Times New Roman" w:cs="Times New Roman"/>
          <w:bCs/>
          <w:szCs w:val="20"/>
        </w:rPr>
      </w:pPr>
    </w:p>
    <w:p w14:paraId="578687D2" w14:textId="58577F44" w:rsidR="0082398E" w:rsidRDefault="0082398E" w:rsidP="00F25512">
      <w:pPr>
        <w:pStyle w:val="Prrafodelista"/>
        <w:numPr>
          <w:ilvl w:val="0"/>
          <w:numId w:val="11"/>
        </w:numPr>
        <w:ind w:left="180" w:hanging="180"/>
        <w:rPr>
          <w:rFonts w:eastAsia="Times New Roman" w:cs="Times New Roman"/>
          <w:bCs/>
          <w:szCs w:val="20"/>
        </w:rPr>
      </w:pPr>
      <w:r w:rsidRPr="00371FFA">
        <w:rPr>
          <w:rFonts w:eastAsia="Times New Roman" w:cs="Times New Roman"/>
          <w:bCs/>
          <w:szCs w:val="20"/>
        </w:rPr>
        <w:t xml:space="preserve">cómo se fabrican estos productos y si cumplen con los estándares de calidad apropiados, </w:t>
      </w:r>
    </w:p>
    <w:p w14:paraId="2FBA47B2" w14:textId="77777777" w:rsidR="00F25512" w:rsidRPr="00371FFA" w:rsidRDefault="00F25512" w:rsidP="00F25512">
      <w:pPr>
        <w:pStyle w:val="Prrafodelista"/>
        <w:ind w:left="180"/>
        <w:rPr>
          <w:rFonts w:eastAsia="Times New Roman" w:cs="Times New Roman"/>
          <w:bCs/>
          <w:szCs w:val="20"/>
        </w:rPr>
      </w:pPr>
    </w:p>
    <w:p w14:paraId="5F157674" w14:textId="185D3209" w:rsidR="0082398E" w:rsidRDefault="0082398E" w:rsidP="00F25512">
      <w:pPr>
        <w:pStyle w:val="Prrafodelista"/>
        <w:numPr>
          <w:ilvl w:val="0"/>
          <w:numId w:val="11"/>
        </w:numPr>
        <w:ind w:left="180" w:hanging="180"/>
        <w:rPr>
          <w:rFonts w:eastAsia="Times New Roman" w:cs="Times New Roman"/>
          <w:bCs/>
          <w:szCs w:val="20"/>
        </w:rPr>
      </w:pPr>
      <w:r w:rsidRPr="00371FFA">
        <w:rPr>
          <w:rFonts w:eastAsia="Times New Roman" w:cs="Times New Roman"/>
          <w:bCs/>
          <w:szCs w:val="20"/>
        </w:rPr>
        <w:t xml:space="preserve">si los productos inyectables son estériles y se producen en condiciones asépticas, </w:t>
      </w:r>
    </w:p>
    <w:p w14:paraId="4A5549DA" w14:textId="77777777" w:rsidR="00F25512" w:rsidRPr="00F25512" w:rsidRDefault="00F25512" w:rsidP="00F25512">
      <w:pPr>
        <w:rPr>
          <w:rFonts w:eastAsia="Times New Roman" w:cs="Times New Roman"/>
          <w:bCs/>
          <w:szCs w:val="20"/>
        </w:rPr>
      </w:pPr>
    </w:p>
    <w:p w14:paraId="556E20F2" w14:textId="267F217D" w:rsidR="0082398E" w:rsidRDefault="0082398E" w:rsidP="00F25512">
      <w:pPr>
        <w:pStyle w:val="Prrafodelista"/>
        <w:numPr>
          <w:ilvl w:val="0"/>
          <w:numId w:val="11"/>
        </w:numPr>
        <w:ind w:left="180" w:hanging="180"/>
        <w:rPr>
          <w:rFonts w:eastAsia="Times New Roman" w:cs="Times New Roman"/>
          <w:bCs/>
          <w:szCs w:val="20"/>
        </w:rPr>
      </w:pPr>
      <w:r w:rsidRPr="00371FFA">
        <w:rPr>
          <w:rFonts w:eastAsia="Times New Roman" w:cs="Times New Roman"/>
          <w:bCs/>
          <w:szCs w:val="20"/>
        </w:rPr>
        <w:t xml:space="preserve">cómo actúan estos péptidos en el cuerpo humano y </w:t>
      </w:r>
    </w:p>
    <w:p w14:paraId="76348030" w14:textId="77777777" w:rsidR="00F25512" w:rsidRPr="00F25512" w:rsidRDefault="00F25512" w:rsidP="00F25512">
      <w:pPr>
        <w:rPr>
          <w:rFonts w:eastAsia="Times New Roman" w:cs="Times New Roman"/>
          <w:bCs/>
          <w:szCs w:val="20"/>
        </w:rPr>
      </w:pPr>
    </w:p>
    <w:p w14:paraId="7CF2D7D3" w14:textId="77777777" w:rsidR="0082398E" w:rsidRPr="00371FFA" w:rsidRDefault="0082398E" w:rsidP="00F25512">
      <w:pPr>
        <w:pStyle w:val="Prrafodelista"/>
        <w:numPr>
          <w:ilvl w:val="0"/>
          <w:numId w:val="11"/>
        </w:numPr>
        <w:ind w:left="180" w:hanging="180"/>
        <w:rPr>
          <w:rFonts w:eastAsia="Times New Roman" w:cs="Times New Roman"/>
          <w:bCs/>
          <w:szCs w:val="20"/>
        </w:rPr>
      </w:pPr>
      <w:r w:rsidRPr="00371FFA">
        <w:rPr>
          <w:rFonts w:eastAsia="Times New Roman" w:cs="Times New Roman"/>
          <w:bCs/>
          <w:szCs w:val="20"/>
        </w:rPr>
        <w:t xml:space="preserve">la naturaleza, frecuencia y gravedad de los posibles efectos secundarios. </w:t>
      </w:r>
    </w:p>
    <w:p w14:paraId="0B4EB9C9" w14:textId="77777777" w:rsidR="0082398E" w:rsidRPr="007D24CF" w:rsidRDefault="0082398E" w:rsidP="0082398E">
      <w:pPr>
        <w:rPr>
          <w:rFonts w:eastAsia="Times New Roman" w:cs="Times New Roman"/>
          <w:bCs/>
          <w:color w:val="EE0000"/>
          <w:szCs w:val="20"/>
        </w:rPr>
      </w:pPr>
    </w:p>
    <w:p w14:paraId="58FF7EAC" w14:textId="586D4813" w:rsidR="0082398E" w:rsidRPr="00371FFA" w:rsidRDefault="009609BA" w:rsidP="0082398E">
      <w:pPr>
        <w:rPr>
          <w:rFonts w:eastAsia="Times New Roman" w:cs="Times New Roman"/>
          <w:bCs/>
          <w:szCs w:val="20"/>
        </w:rPr>
      </w:pPr>
      <w:r w:rsidRPr="009609BA">
        <w:rPr>
          <w:rFonts w:eastAsia="Times New Roman" w:cs="Times New Roman"/>
          <w:bCs/>
          <w:szCs w:val="20"/>
          <w:lang w:val="es-ES"/>
        </w:rPr>
        <w:t>M</w:t>
      </w:r>
      <w:proofErr w:type="spellStart"/>
      <w:r w:rsidR="0082398E" w:rsidRPr="007D24CF">
        <w:rPr>
          <w:rFonts w:eastAsia="Times New Roman" w:cs="Times New Roman"/>
          <w:bCs/>
          <w:szCs w:val="20"/>
        </w:rPr>
        <w:t>uchos</w:t>
      </w:r>
      <w:proofErr w:type="spellEnd"/>
      <w:r w:rsidR="0082398E" w:rsidRPr="007D24CF">
        <w:rPr>
          <w:rFonts w:eastAsia="Times New Roman" w:cs="Times New Roman"/>
          <w:bCs/>
          <w:szCs w:val="20"/>
        </w:rPr>
        <w:t xml:space="preserve"> de estos productos </w:t>
      </w:r>
      <w:r>
        <w:rPr>
          <w:rFonts w:eastAsia="Times New Roman" w:cs="Times New Roman"/>
          <w:bCs/>
          <w:szCs w:val="20"/>
        </w:rPr>
        <w:t>se suministran</w:t>
      </w:r>
      <w:r w:rsidR="0082398E" w:rsidRPr="007D24CF">
        <w:rPr>
          <w:rFonts w:eastAsia="Times New Roman" w:cs="Times New Roman"/>
          <w:bCs/>
          <w:szCs w:val="20"/>
        </w:rPr>
        <w:t xml:space="preserve"> </w:t>
      </w:r>
      <w:r w:rsidR="0082398E">
        <w:rPr>
          <w:rFonts w:eastAsia="Times New Roman" w:cs="Times New Roman"/>
          <w:bCs/>
          <w:szCs w:val="20"/>
        </w:rPr>
        <w:t>en</w:t>
      </w:r>
      <w:r w:rsidR="0082398E" w:rsidRPr="007D24CF">
        <w:rPr>
          <w:rFonts w:eastAsia="Times New Roman" w:cs="Times New Roman"/>
          <w:bCs/>
          <w:szCs w:val="20"/>
        </w:rPr>
        <w:t xml:space="preserve"> polvo o en</w:t>
      </w:r>
      <w:r w:rsidR="0082398E">
        <w:rPr>
          <w:rFonts w:eastAsia="Times New Roman" w:cs="Times New Roman"/>
          <w:bCs/>
          <w:szCs w:val="20"/>
        </w:rPr>
        <w:t xml:space="preserve"> inyecciones con</w:t>
      </w:r>
      <w:r w:rsidR="0082398E" w:rsidRPr="007D24CF">
        <w:rPr>
          <w:rFonts w:eastAsia="Times New Roman" w:cs="Times New Roman"/>
          <w:bCs/>
          <w:szCs w:val="20"/>
        </w:rPr>
        <w:t xml:space="preserve"> viales mal etiquetados o sin marcar, lo que hace que sea difícil o imposible verificar sus ingredientes o la seguridad </w:t>
      </w:r>
      <w:r>
        <w:rPr>
          <w:rFonts w:eastAsia="Times New Roman" w:cs="Times New Roman"/>
          <w:bCs/>
          <w:szCs w:val="20"/>
        </w:rPr>
        <w:t>con la que</w:t>
      </w:r>
      <w:r w:rsidR="0082398E" w:rsidRPr="007D24CF">
        <w:rPr>
          <w:rFonts w:eastAsia="Times New Roman" w:cs="Times New Roman"/>
          <w:bCs/>
          <w:szCs w:val="20"/>
        </w:rPr>
        <w:t xml:space="preserve"> se han fabricado. Esto presenta además riesgos significativos para la seguridad del consumidor, incluyendo posible contaminación, incertidumbre en la dosificación y exposición a sustancias desconocidas o dañinas.</w:t>
      </w:r>
    </w:p>
    <w:p w14:paraId="5CAB7874" w14:textId="77777777" w:rsidR="0082398E" w:rsidRPr="00371FFA" w:rsidRDefault="0082398E" w:rsidP="0082398E">
      <w:pPr>
        <w:rPr>
          <w:rFonts w:eastAsia="Times New Roman" w:cs="Times New Roman"/>
          <w:bCs/>
          <w:color w:val="EE0000"/>
          <w:szCs w:val="20"/>
        </w:rPr>
      </w:pPr>
    </w:p>
    <w:p w14:paraId="6603E44A" w14:textId="77777777" w:rsidR="0082398E" w:rsidRPr="00875307" w:rsidRDefault="0082398E" w:rsidP="0082398E">
      <w:pPr>
        <w:rPr>
          <w:rFonts w:eastAsia="Times New Roman" w:cs="Times New Roman"/>
          <w:bCs/>
          <w:szCs w:val="20"/>
        </w:rPr>
      </w:pPr>
      <w:r w:rsidRPr="00875307">
        <w:rPr>
          <w:rFonts w:eastAsia="Times New Roman" w:cs="Times New Roman"/>
          <w:bCs/>
          <w:szCs w:val="20"/>
        </w:rPr>
        <w:t>La TGA señala que el aumento de las importaciones, la promoción en línea y el suministro de estos productos están contribuyendo a una creciente preocupación de salud pública. Siguen surgiendo pruebas de posibles daños a medida que aumenta el uso de estos productos no aprobados. El profesor Michael Kidd AO, director médico, declaró: «Los productos peptídicos no aprobados representan un riesgo creciente para la salud pública. Algunos de estos productos no se han sometido a suficientes ensayos clínicos en humanos y pueden causar daños significativos. Los australianos no deben usar estos productos y deben consultar a su</w:t>
      </w:r>
      <w:r>
        <w:rPr>
          <w:rFonts w:eastAsia="Times New Roman" w:cs="Times New Roman"/>
          <w:bCs/>
          <w:szCs w:val="20"/>
        </w:rPr>
        <w:t>s</w:t>
      </w:r>
      <w:r w:rsidRPr="00875307">
        <w:rPr>
          <w:rFonts w:eastAsia="Times New Roman" w:cs="Times New Roman"/>
          <w:bCs/>
          <w:szCs w:val="20"/>
        </w:rPr>
        <w:t xml:space="preserve"> profesional</w:t>
      </w:r>
      <w:r>
        <w:rPr>
          <w:rFonts w:eastAsia="Times New Roman" w:cs="Times New Roman"/>
          <w:bCs/>
          <w:szCs w:val="20"/>
        </w:rPr>
        <w:t>es de salud</w:t>
      </w:r>
      <w:r w:rsidRPr="00875307">
        <w:rPr>
          <w:rFonts w:eastAsia="Times New Roman" w:cs="Times New Roman"/>
          <w:bCs/>
          <w:szCs w:val="20"/>
        </w:rPr>
        <w:t xml:space="preserve"> de confianza».</w:t>
      </w:r>
    </w:p>
    <w:p w14:paraId="3E59D4C2" w14:textId="77777777" w:rsidR="0082398E" w:rsidRPr="00875307" w:rsidRDefault="0082398E" w:rsidP="0082398E">
      <w:pPr>
        <w:rPr>
          <w:rFonts w:eastAsia="Times New Roman" w:cs="Times New Roman"/>
          <w:bCs/>
          <w:color w:val="EE0000"/>
          <w:szCs w:val="20"/>
        </w:rPr>
      </w:pPr>
    </w:p>
    <w:p w14:paraId="22701BBB" w14:textId="77777777" w:rsidR="0082398E" w:rsidRPr="005D270B" w:rsidRDefault="0082398E" w:rsidP="0082398E">
      <w:pPr>
        <w:rPr>
          <w:rFonts w:eastAsia="Times New Roman" w:cs="Times New Roman"/>
          <w:bCs/>
          <w:szCs w:val="20"/>
        </w:rPr>
      </w:pPr>
      <w:r w:rsidRPr="005D270B">
        <w:rPr>
          <w:rFonts w:eastAsia="Times New Roman" w:cs="Times New Roman"/>
          <w:bCs/>
          <w:szCs w:val="20"/>
        </w:rPr>
        <w:t xml:space="preserve">La Dra. Amanda </w:t>
      </w:r>
      <w:proofErr w:type="spellStart"/>
      <w:r w:rsidRPr="005D270B">
        <w:rPr>
          <w:rFonts w:eastAsia="Times New Roman" w:cs="Times New Roman"/>
          <w:bCs/>
          <w:szCs w:val="20"/>
        </w:rPr>
        <w:t>Cuss</w:t>
      </w:r>
      <w:proofErr w:type="spellEnd"/>
      <w:r w:rsidRPr="005D270B">
        <w:rPr>
          <w:rFonts w:eastAsia="Times New Roman" w:cs="Times New Roman"/>
          <w:bCs/>
          <w:szCs w:val="20"/>
        </w:rPr>
        <w:t xml:space="preserve">, asesora médica principal interina, afirmó que «la TGA está supervisando activamente y respondiendo a posibles incumplimientos de la Ley de Productos Terapéuticos de 1989, incluyendo la importación, el suministro y la publicidad ilícitos de productos terapéuticos. Los productos peptídicos no aprobados se han añadido como área prioritaria de atención para el cumplimiento normativo de la TGA. Cuando se identifique un incumplimiento grave, la TGA podrá tomar medidas regulatorias de acuerdo con su marco de cumplimiento normativo». </w:t>
      </w:r>
    </w:p>
    <w:p w14:paraId="41E4A69B" w14:textId="77777777" w:rsidR="0082398E" w:rsidRPr="005D270B" w:rsidRDefault="0082398E" w:rsidP="0082398E">
      <w:pPr>
        <w:rPr>
          <w:rFonts w:eastAsia="Times New Roman" w:cs="Times New Roman"/>
          <w:bCs/>
          <w:color w:val="EE0000"/>
          <w:szCs w:val="20"/>
        </w:rPr>
      </w:pPr>
    </w:p>
    <w:p w14:paraId="1D3C5542" w14:textId="77777777" w:rsidR="00AB1BEF" w:rsidRDefault="0082398E" w:rsidP="0082398E">
      <w:pPr>
        <w:rPr>
          <w:rFonts w:eastAsia="Times New Roman" w:cs="Times New Roman"/>
          <w:bCs/>
          <w:szCs w:val="20"/>
        </w:rPr>
      </w:pPr>
      <w:r w:rsidRPr="005D270B">
        <w:rPr>
          <w:rFonts w:eastAsia="Times New Roman" w:cs="Times New Roman"/>
          <w:bCs/>
          <w:szCs w:val="20"/>
        </w:rPr>
        <w:t xml:space="preserve">Se </w:t>
      </w:r>
      <w:r>
        <w:rPr>
          <w:rFonts w:eastAsia="Times New Roman" w:cs="Times New Roman"/>
          <w:bCs/>
          <w:szCs w:val="20"/>
        </w:rPr>
        <w:t>advier</w:t>
      </w:r>
      <w:r w:rsidRPr="005D270B">
        <w:rPr>
          <w:rFonts w:eastAsia="Times New Roman" w:cs="Times New Roman"/>
          <w:bCs/>
          <w:szCs w:val="20"/>
        </w:rPr>
        <w:t xml:space="preserve">te </w:t>
      </w:r>
      <w:r>
        <w:rPr>
          <w:rFonts w:eastAsia="Times New Roman" w:cs="Times New Roman"/>
          <w:bCs/>
          <w:szCs w:val="20"/>
        </w:rPr>
        <w:t xml:space="preserve">firmemente </w:t>
      </w:r>
      <w:r w:rsidRPr="005D270B">
        <w:rPr>
          <w:rFonts w:eastAsia="Times New Roman" w:cs="Times New Roman"/>
          <w:bCs/>
          <w:szCs w:val="20"/>
        </w:rPr>
        <w:t xml:space="preserve">a los australianos que no </w:t>
      </w:r>
      <w:r>
        <w:rPr>
          <w:rFonts w:eastAsia="Times New Roman" w:cs="Times New Roman"/>
          <w:bCs/>
          <w:szCs w:val="20"/>
        </w:rPr>
        <w:t xml:space="preserve">deben </w:t>
      </w:r>
      <w:r w:rsidRPr="005D270B">
        <w:rPr>
          <w:rFonts w:eastAsia="Times New Roman" w:cs="Times New Roman"/>
          <w:bCs/>
          <w:szCs w:val="20"/>
        </w:rPr>
        <w:t>compr</w:t>
      </w:r>
      <w:r>
        <w:rPr>
          <w:rFonts w:eastAsia="Times New Roman" w:cs="Times New Roman"/>
          <w:bCs/>
          <w:szCs w:val="20"/>
        </w:rPr>
        <w:t>ar</w:t>
      </w:r>
      <w:r w:rsidRPr="005D270B">
        <w:rPr>
          <w:rFonts w:eastAsia="Times New Roman" w:cs="Times New Roman"/>
          <w:bCs/>
          <w:szCs w:val="20"/>
        </w:rPr>
        <w:t xml:space="preserve"> ni utili</w:t>
      </w:r>
      <w:r>
        <w:rPr>
          <w:rFonts w:eastAsia="Times New Roman" w:cs="Times New Roman"/>
          <w:bCs/>
          <w:szCs w:val="20"/>
        </w:rPr>
        <w:t>zar</w:t>
      </w:r>
      <w:r w:rsidRPr="005D270B">
        <w:rPr>
          <w:rFonts w:eastAsia="Times New Roman" w:cs="Times New Roman"/>
          <w:bCs/>
          <w:szCs w:val="20"/>
        </w:rPr>
        <w:t xml:space="preserve"> productos peptídicos no aprobados, especialmente los obtenidos en línea o en el extranjero. </w:t>
      </w:r>
    </w:p>
    <w:p w14:paraId="387D9910" w14:textId="77777777" w:rsidR="00AB1BEF" w:rsidRDefault="00AB1BEF" w:rsidP="0082398E">
      <w:pPr>
        <w:rPr>
          <w:rFonts w:eastAsia="Times New Roman" w:cs="Times New Roman"/>
          <w:bCs/>
          <w:szCs w:val="20"/>
        </w:rPr>
      </w:pPr>
    </w:p>
    <w:p w14:paraId="3728DE41" w14:textId="2E9F8351" w:rsidR="0082398E" w:rsidRPr="005D270B" w:rsidRDefault="0082398E" w:rsidP="0082398E">
      <w:pPr>
        <w:rPr>
          <w:rFonts w:eastAsia="Times New Roman" w:cs="Times New Roman"/>
          <w:bCs/>
          <w:szCs w:val="20"/>
        </w:rPr>
      </w:pPr>
      <w:r w:rsidRPr="005D270B">
        <w:rPr>
          <w:rFonts w:eastAsia="Times New Roman" w:cs="Times New Roman"/>
          <w:bCs/>
          <w:szCs w:val="20"/>
        </w:rPr>
        <w:t>Los consumidores deben consultar a profesionales sanitarios cualificados y utilizar únicamente productos suministrados a través de farmacias australianas.</w:t>
      </w:r>
    </w:p>
    <w:p w14:paraId="1AAE25B0" w14:textId="77777777" w:rsidR="00AB1BEF" w:rsidRDefault="00AB1BEF" w:rsidP="001C58D0">
      <w:pPr>
        <w:spacing w:after="160" w:line="278" w:lineRule="auto"/>
        <w:jc w:val="center"/>
        <w:rPr>
          <w:rFonts w:cs="Times New Roman"/>
          <w:b/>
          <w:bCs/>
        </w:rPr>
        <w:sectPr w:rsidR="00AB1BEF" w:rsidSect="00AB1BEF">
          <w:type w:val="continuous"/>
          <w:pgSz w:w="12240" w:h="15840" w:code="1"/>
          <w:pgMar w:top="720" w:right="720" w:bottom="720" w:left="720" w:header="288" w:footer="288" w:gutter="0"/>
          <w:cols w:num="2" w:space="708"/>
          <w:docGrid w:linePitch="360"/>
        </w:sectPr>
      </w:pPr>
    </w:p>
    <w:p w14:paraId="15DDA24A" w14:textId="2B19DFDF" w:rsidR="001C58D0" w:rsidRPr="001C58D0" w:rsidRDefault="001C58D0" w:rsidP="001C58D0">
      <w:pPr>
        <w:spacing w:after="160" w:line="278" w:lineRule="auto"/>
        <w:jc w:val="center"/>
        <w:rPr>
          <w:rFonts w:cs="Times New Roman"/>
          <w:b/>
          <w:bCs/>
        </w:rPr>
      </w:pPr>
    </w:p>
    <w:p w14:paraId="7D827617" w14:textId="77777777" w:rsidR="001C58D0" w:rsidRPr="0082398E" w:rsidRDefault="001C58D0" w:rsidP="001C58D0">
      <w:pPr>
        <w:jc w:val="center"/>
        <w:rPr>
          <w:rFonts w:cs="Times New Roman"/>
          <w:color w:val="EE0000"/>
          <w:szCs w:val="20"/>
        </w:rPr>
      </w:pPr>
    </w:p>
    <w:sectPr w:rsidR="001C58D0" w:rsidRPr="0082398E" w:rsidSect="002730DC">
      <w:type w:val="continuous"/>
      <w:pgSz w:w="12240" w:h="15840" w:code="1"/>
      <w:pgMar w:top="720" w:right="720" w:bottom="720" w:left="72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54DB0" w14:textId="77777777" w:rsidR="00B00DA4" w:rsidRDefault="00B00DA4" w:rsidP="00551EB5">
      <w:r>
        <w:separator/>
      </w:r>
    </w:p>
  </w:endnote>
  <w:endnote w:type="continuationSeparator" w:id="0">
    <w:p w14:paraId="4BBB7E21" w14:textId="77777777" w:rsidR="00B00DA4" w:rsidRDefault="00B00DA4" w:rsidP="00551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1002AFF" w:usb1="4000ACFF" w:usb2="00000009" w:usb3="00000000" w:csb0="000001FF" w:csb1="00000000"/>
  </w:font>
  <w:font w:name="Helvetica">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190492"/>
      <w:docPartObj>
        <w:docPartGallery w:val="Page Numbers (Bottom of Page)"/>
        <w:docPartUnique/>
      </w:docPartObj>
    </w:sdtPr>
    <w:sdtEndPr>
      <w:rPr>
        <w:noProof/>
      </w:rPr>
    </w:sdtEndPr>
    <w:sdtContent>
      <w:p w14:paraId="525931EB" w14:textId="77777777" w:rsidR="002A2E6A" w:rsidRDefault="002A2E6A">
        <w:pPr>
          <w:pStyle w:val="Piedepgina"/>
          <w:jc w:val="center"/>
        </w:pPr>
      </w:p>
      <w:p w14:paraId="42DCEB19" w14:textId="77777777" w:rsidR="002A2E6A" w:rsidRDefault="00B00DA4" w:rsidP="000F06D9">
        <w:pPr>
          <w:pStyle w:val="Piedepgina"/>
          <w:jc w:val="cen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491580"/>
      <w:docPartObj>
        <w:docPartGallery w:val="Page Numbers (Bottom of Page)"/>
        <w:docPartUnique/>
      </w:docPartObj>
    </w:sdtPr>
    <w:sdtEndPr>
      <w:rPr>
        <w:noProof/>
      </w:rPr>
    </w:sdtEndPr>
    <w:sdtContent>
      <w:sdt>
        <w:sdtPr>
          <w:id w:val="-912934689"/>
          <w:docPartObj>
            <w:docPartGallery w:val="Page Numbers (Bottom of Page)"/>
            <w:docPartUnique/>
          </w:docPartObj>
        </w:sdtPr>
        <w:sdtEndPr>
          <w:rPr>
            <w:rFonts w:cs="Times New Roman"/>
            <w:noProof/>
            <w:szCs w:val="20"/>
          </w:rPr>
        </w:sdtEndPr>
        <w:sdtContent>
          <w:p w14:paraId="2762FE36" w14:textId="40580893" w:rsidR="00817F11" w:rsidRPr="003A0725" w:rsidRDefault="003A0725" w:rsidP="003A0725">
            <w:pPr>
              <w:pStyle w:val="Piedepgina"/>
              <w:jc w:val="center"/>
              <w:rPr>
                <w:rFonts w:cs="Times New Roman"/>
                <w:szCs w:val="20"/>
              </w:rPr>
            </w:pPr>
            <w:r w:rsidRPr="00BC3D36">
              <w:rPr>
                <w:rFonts w:cs="Times New Roman"/>
                <w:szCs w:val="20"/>
              </w:rPr>
              <w:fldChar w:fldCharType="begin"/>
            </w:r>
            <w:r w:rsidRPr="00BC3D36">
              <w:rPr>
                <w:rFonts w:cs="Times New Roman"/>
                <w:szCs w:val="20"/>
              </w:rPr>
              <w:instrText xml:space="preserve"> PAGE   \* MERGEFORMAT </w:instrText>
            </w:r>
            <w:r w:rsidRPr="00BC3D36">
              <w:rPr>
                <w:rFonts w:cs="Times New Roman"/>
                <w:szCs w:val="20"/>
              </w:rPr>
              <w:fldChar w:fldCharType="separate"/>
            </w:r>
            <w:r>
              <w:rPr>
                <w:rFonts w:cs="Times New Roman"/>
                <w:szCs w:val="20"/>
              </w:rPr>
              <w:t>1</w:t>
            </w:r>
            <w:r w:rsidRPr="00BC3D36">
              <w:rPr>
                <w:rFonts w:cs="Times New Roman"/>
                <w:noProof/>
                <w:szCs w:val="20"/>
              </w:rPr>
              <w:fldChar w:fldCharType="end"/>
            </w:r>
          </w:p>
        </w:sdtContent>
      </w:sdt>
      <w:p w14:paraId="1BBF173D" w14:textId="77777777" w:rsidR="00817F11" w:rsidRDefault="00B00DA4" w:rsidP="000F06D9">
        <w:pPr>
          <w:pStyle w:val="Piedepgina"/>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43EF1" w14:textId="77777777" w:rsidR="00B00DA4" w:rsidRDefault="00B00DA4" w:rsidP="00551EB5">
      <w:r>
        <w:separator/>
      </w:r>
    </w:p>
  </w:footnote>
  <w:footnote w:type="continuationSeparator" w:id="0">
    <w:p w14:paraId="20D5762B" w14:textId="77777777" w:rsidR="00B00DA4" w:rsidRDefault="00B00DA4" w:rsidP="00551E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FB63C" w14:textId="77777777" w:rsidR="002A2E6A" w:rsidRDefault="002A2E6A">
    <w:pPr>
      <w:pStyle w:val="Encabezado"/>
    </w:pPr>
  </w:p>
  <w:p w14:paraId="2E2F005A" w14:textId="77777777" w:rsidR="002A2E6A" w:rsidRPr="00B91C09" w:rsidRDefault="002A2E6A" w:rsidP="000F06D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E1BF7" w14:textId="77777777" w:rsidR="009B64F1" w:rsidRPr="00B91C09" w:rsidRDefault="009B64F1" w:rsidP="0042747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69558" w14:textId="77777777" w:rsidR="00F25512" w:rsidRPr="00077CAD" w:rsidRDefault="00F25512" w:rsidP="00402C05">
    <w:pPr>
      <w:jc w:val="right"/>
      <w:rPr>
        <w:i/>
        <w:iCs/>
        <w:szCs w:val="20"/>
      </w:rPr>
    </w:pPr>
    <w:r w:rsidRPr="00D55319">
      <w:rPr>
        <w:i/>
        <w:iCs/>
        <w:szCs w:val="20"/>
      </w:rPr>
      <w:t xml:space="preserve">Boletín Fármacos: </w:t>
    </w:r>
    <w:r>
      <w:rPr>
        <w:i/>
        <w:iCs/>
        <w:szCs w:val="20"/>
      </w:rPr>
      <w:t>Agencia</w:t>
    </w:r>
    <w:r w:rsidRPr="00D55319">
      <w:rPr>
        <w:i/>
        <w:iCs/>
        <w:szCs w:val="20"/>
      </w:rPr>
      <w:t>s</w:t>
    </w:r>
    <w:r>
      <w:rPr>
        <w:i/>
        <w:iCs/>
        <w:szCs w:val="20"/>
      </w:rPr>
      <w:t xml:space="preserve"> Reguladoras</w:t>
    </w:r>
    <w:r w:rsidRPr="00D55319">
      <w:rPr>
        <w:i/>
        <w:iCs/>
        <w:szCs w:val="20"/>
      </w:rPr>
      <w:t xml:space="preserve"> 2026; 29(</w:t>
    </w:r>
    <w:r>
      <w:rPr>
        <w:i/>
        <w:iCs/>
        <w:szCs w:val="20"/>
      </w:rPr>
      <w:t>3</w:t>
    </w:r>
    <w:r w:rsidRPr="00D55319">
      <w:rPr>
        <w:i/>
        <w:iCs/>
        <w:szCs w:val="20"/>
      </w:rPr>
      <w:t>)</w:t>
    </w:r>
  </w:p>
  <w:p w14:paraId="175BF456" w14:textId="77777777" w:rsidR="00F25512" w:rsidRPr="00B91C09" w:rsidRDefault="00F25512" w:rsidP="0042747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17212"/>
    <w:multiLevelType w:val="hybridMultilevel"/>
    <w:tmpl w:val="E9E6D9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FB07E3E"/>
    <w:multiLevelType w:val="multilevel"/>
    <w:tmpl w:val="A332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622645"/>
    <w:multiLevelType w:val="hybridMultilevel"/>
    <w:tmpl w:val="87346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624FBC"/>
    <w:multiLevelType w:val="multilevel"/>
    <w:tmpl w:val="3FD06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564D26"/>
    <w:multiLevelType w:val="multilevel"/>
    <w:tmpl w:val="FA345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EA1C09"/>
    <w:multiLevelType w:val="hybridMultilevel"/>
    <w:tmpl w:val="787802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2A84D4B"/>
    <w:multiLevelType w:val="hybridMultilevel"/>
    <w:tmpl w:val="F45897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7E24505"/>
    <w:multiLevelType w:val="multilevel"/>
    <w:tmpl w:val="2252E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0F57D3"/>
    <w:multiLevelType w:val="hybridMultilevel"/>
    <w:tmpl w:val="2688A06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D124380"/>
    <w:multiLevelType w:val="hybridMultilevel"/>
    <w:tmpl w:val="6C903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826E97"/>
    <w:multiLevelType w:val="multilevel"/>
    <w:tmpl w:val="D1EE0E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D64724"/>
    <w:multiLevelType w:val="hybridMultilevel"/>
    <w:tmpl w:val="EEF6D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4A0840"/>
    <w:multiLevelType w:val="hybridMultilevel"/>
    <w:tmpl w:val="6B5C32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5286F30"/>
    <w:multiLevelType w:val="hybridMultilevel"/>
    <w:tmpl w:val="917848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734739C"/>
    <w:multiLevelType w:val="multilevel"/>
    <w:tmpl w:val="DCC2B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C4273A"/>
    <w:multiLevelType w:val="hybridMultilevel"/>
    <w:tmpl w:val="228CD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CE081A"/>
    <w:multiLevelType w:val="multilevel"/>
    <w:tmpl w:val="186400E2"/>
    <w:lvl w:ilvl="0">
      <w:start w:val="1"/>
      <w:numFmt w:val="decimal"/>
      <w:lvlText w:val="%1."/>
      <w:lvlJc w:val="righ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A0770DB"/>
    <w:multiLevelType w:val="hybridMultilevel"/>
    <w:tmpl w:val="B79C70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E143DD1"/>
    <w:multiLevelType w:val="multilevel"/>
    <w:tmpl w:val="6BA86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217C0B"/>
    <w:multiLevelType w:val="hybridMultilevel"/>
    <w:tmpl w:val="AB985E0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4360886"/>
    <w:multiLevelType w:val="hybridMultilevel"/>
    <w:tmpl w:val="4F82B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3B093D"/>
    <w:multiLevelType w:val="multilevel"/>
    <w:tmpl w:val="7FCC42BE"/>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4BFA6E95"/>
    <w:multiLevelType w:val="hybridMultilevel"/>
    <w:tmpl w:val="35B0F9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07607F8"/>
    <w:multiLevelType w:val="hybridMultilevel"/>
    <w:tmpl w:val="DE2CEDD2"/>
    <w:lvl w:ilvl="0" w:tplc="080A000F">
      <w:start w:val="1"/>
      <w:numFmt w:val="decimal"/>
      <w:lvlText w:val="%1."/>
      <w:lvlJc w:val="left"/>
      <w:pPr>
        <w:ind w:left="502" w:hanging="360"/>
      </w:p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24" w15:restartNumberingAfterBreak="0">
    <w:nsid w:val="55F0232E"/>
    <w:multiLevelType w:val="hybridMultilevel"/>
    <w:tmpl w:val="A7EA5E2E"/>
    <w:lvl w:ilvl="0" w:tplc="080A000F">
      <w:start w:val="1"/>
      <w:numFmt w:val="decimal"/>
      <w:lvlText w:val="%1."/>
      <w:lvlJc w:val="left"/>
      <w:pPr>
        <w:ind w:left="450" w:hanging="360"/>
      </w:p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25" w15:restartNumberingAfterBreak="0">
    <w:nsid w:val="571F775D"/>
    <w:multiLevelType w:val="hybridMultilevel"/>
    <w:tmpl w:val="06CAD7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AB80C98"/>
    <w:multiLevelType w:val="multilevel"/>
    <w:tmpl w:val="B0A09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513C70"/>
    <w:multiLevelType w:val="hybridMultilevel"/>
    <w:tmpl w:val="B0820CC6"/>
    <w:lvl w:ilvl="0" w:tplc="9E00E8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F4C31DD"/>
    <w:multiLevelType w:val="multilevel"/>
    <w:tmpl w:val="4498DD3E"/>
    <w:styleLink w:val="WWNum1"/>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8863785"/>
    <w:multiLevelType w:val="multilevel"/>
    <w:tmpl w:val="557CF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873DBE"/>
    <w:multiLevelType w:val="multilevel"/>
    <w:tmpl w:val="BC66468C"/>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AC8429D"/>
    <w:multiLevelType w:val="hybridMultilevel"/>
    <w:tmpl w:val="8E584E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1DF508B"/>
    <w:multiLevelType w:val="hybridMultilevel"/>
    <w:tmpl w:val="32BCC6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6CB0A01"/>
    <w:multiLevelType w:val="hybridMultilevel"/>
    <w:tmpl w:val="EBB8B2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A933617"/>
    <w:multiLevelType w:val="multilevel"/>
    <w:tmpl w:val="B1547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BD334A"/>
    <w:multiLevelType w:val="multilevel"/>
    <w:tmpl w:val="B65E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39372B"/>
    <w:multiLevelType w:val="hybridMultilevel"/>
    <w:tmpl w:val="3D88F8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E606CC0"/>
    <w:multiLevelType w:val="hybridMultilevel"/>
    <w:tmpl w:val="907E9A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E9741B8"/>
    <w:multiLevelType w:val="hybridMultilevel"/>
    <w:tmpl w:val="FACC1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FF6219"/>
    <w:multiLevelType w:val="hybridMultilevel"/>
    <w:tmpl w:val="7EA867B6"/>
    <w:lvl w:ilvl="0" w:tplc="240A0001">
      <w:start w:val="1"/>
      <w:numFmt w:val="bullet"/>
      <w:lvlText w:val=""/>
      <w:lvlJc w:val="left"/>
      <w:pPr>
        <w:ind w:left="720" w:hanging="360"/>
      </w:pPr>
      <w:rPr>
        <w:rFonts w:ascii="Symbol" w:hAnsi="Symbol" w:hint="default"/>
      </w:rPr>
    </w:lvl>
    <w:lvl w:ilvl="1" w:tplc="267E300E">
      <w:numFmt w:val="bullet"/>
      <w:lvlText w:val="-"/>
      <w:lvlJc w:val="left"/>
      <w:pPr>
        <w:ind w:left="1440" w:hanging="360"/>
      </w:pPr>
      <w:rPr>
        <w:rFonts w:ascii="Times New Roman" w:eastAsiaTheme="minorHAnsi" w:hAnsi="Times New Roman" w:cs="Times New Roman"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8"/>
  </w:num>
  <w:num w:numId="2">
    <w:abstractNumId w:val="23"/>
  </w:num>
  <w:num w:numId="3">
    <w:abstractNumId w:val="19"/>
  </w:num>
  <w:num w:numId="4">
    <w:abstractNumId w:val="30"/>
  </w:num>
  <w:num w:numId="5">
    <w:abstractNumId w:val="26"/>
  </w:num>
  <w:num w:numId="6">
    <w:abstractNumId w:val="14"/>
  </w:num>
  <w:num w:numId="7">
    <w:abstractNumId w:val="10"/>
  </w:num>
  <w:num w:numId="8">
    <w:abstractNumId w:val="39"/>
  </w:num>
  <w:num w:numId="9">
    <w:abstractNumId w:val="8"/>
  </w:num>
  <w:num w:numId="10">
    <w:abstractNumId w:val="22"/>
  </w:num>
  <w:num w:numId="11">
    <w:abstractNumId w:val="32"/>
  </w:num>
  <w:num w:numId="12">
    <w:abstractNumId w:val="35"/>
  </w:num>
  <w:num w:numId="13">
    <w:abstractNumId w:val="7"/>
  </w:num>
  <w:num w:numId="14">
    <w:abstractNumId w:val="36"/>
  </w:num>
  <w:num w:numId="15">
    <w:abstractNumId w:val="31"/>
  </w:num>
  <w:num w:numId="16">
    <w:abstractNumId w:val="16"/>
  </w:num>
  <w:num w:numId="17">
    <w:abstractNumId w:val="1"/>
  </w:num>
  <w:num w:numId="18">
    <w:abstractNumId w:val="37"/>
  </w:num>
  <w:num w:numId="19">
    <w:abstractNumId w:val="17"/>
  </w:num>
  <w:num w:numId="20">
    <w:abstractNumId w:val="5"/>
  </w:num>
  <w:num w:numId="21">
    <w:abstractNumId w:val="0"/>
  </w:num>
  <w:num w:numId="22">
    <w:abstractNumId w:val="12"/>
  </w:num>
  <w:num w:numId="23">
    <w:abstractNumId w:val="24"/>
  </w:num>
  <w:num w:numId="24">
    <w:abstractNumId w:val="25"/>
  </w:num>
  <w:num w:numId="25">
    <w:abstractNumId w:val="33"/>
  </w:num>
  <w:num w:numId="26">
    <w:abstractNumId w:val="4"/>
  </w:num>
  <w:num w:numId="27">
    <w:abstractNumId w:val="29"/>
  </w:num>
  <w:num w:numId="28">
    <w:abstractNumId w:val="18"/>
  </w:num>
  <w:num w:numId="29">
    <w:abstractNumId w:val="21"/>
  </w:num>
  <w:num w:numId="30">
    <w:abstractNumId w:val="34"/>
  </w:num>
  <w:num w:numId="31">
    <w:abstractNumId w:val="3"/>
  </w:num>
  <w:num w:numId="32">
    <w:abstractNumId w:val="2"/>
  </w:num>
  <w:num w:numId="33">
    <w:abstractNumId w:val="38"/>
  </w:num>
  <w:num w:numId="34">
    <w:abstractNumId w:val="20"/>
  </w:num>
  <w:num w:numId="35">
    <w:abstractNumId w:val="11"/>
  </w:num>
  <w:num w:numId="36">
    <w:abstractNumId w:val="9"/>
  </w:num>
  <w:num w:numId="37">
    <w:abstractNumId w:val="15"/>
  </w:num>
  <w:num w:numId="38">
    <w:abstractNumId w:val="6"/>
  </w:num>
  <w:num w:numId="39">
    <w:abstractNumId w:val="27"/>
  </w:num>
  <w:num w:numId="40">
    <w:abstractNumId w:val="1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0D9"/>
    <w:rsid w:val="000006FB"/>
    <w:rsid w:val="00000963"/>
    <w:rsid w:val="00000EEE"/>
    <w:rsid w:val="00001EB2"/>
    <w:rsid w:val="000027F6"/>
    <w:rsid w:val="00002FB0"/>
    <w:rsid w:val="00003896"/>
    <w:rsid w:val="00003E6E"/>
    <w:rsid w:val="000045CC"/>
    <w:rsid w:val="0000462C"/>
    <w:rsid w:val="00005A1D"/>
    <w:rsid w:val="00005A54"/>
    <w:rsid w:val="0000722D"/>
    <w:rsid w:val="000079F0"/>
    <w:rsid w:val="00007A37"/>
    <w:rsid w:val="00010284"/>
    <w:rsid w:val="00010981"/>
    <w:rsid w:val="00010AE6"/>
    <w:rsid w:val="000112F2"/>
    <w:rsid w:val="00011357"/>
    <w:rsid w:val="000113BD"/>
    <w:rsid w:val="00011654"/>
    <w:rsid w:val="00011F5C"/>
    <w:rsid w:val="0001387A"/>
    <w:rsid w:val="0001451D"/>
    <w:rsid w:val="00014CCF"/>
    <w:rsid w:val="00014E10"/>
    <w:rsid w:val="00015F39"/>
    <w:rsid w:val="00016137"/>
    <w:rsid w:val="00017ABF"/>
    <w:rsid w:val="00017FD2"/>
    <w:rsid w:val="0002036E"/>
    <w:rsid w:val="000203E9"/>
    <w:rsid w:val="000205EB"/>
    <w:rsid w:val="0002204B"/>
    <w:rsid w:val="00022889"/>
    <w:rsid w:val="0002376A"/>
    <w:rsid w:val="00023A59"/>
    <w:rsid w:val="00023EF2"/>
    <w:rsid w:val="00024A65"/>
    <w:rsid w:val="00024EE4"/>
    <w:rsid w:val="000256F5"/>
    <w:rsid w:val="00025E8F"/>
    <w:rsid w:val="0002673A"/>
    <w:rsid w:val="00026F24"/>
    <w:rsid w:val="00027479"/>
    <w:rsid w:val="00027F04"/>
    <w:rsid w:val="00027FF9"/>
    <w:rsid w:val="0003062A"/>
    <w:rsid w:val="00030708"/>
    <w:rsid w:val="00030915"/>
    <w:rsid w:val="00030E3B"/>
    <w:rsid w:val="00031222"/>
    <w:rsid w:val="00031BCF"/>
    <w:rsid w:val="00033C02"/>
    <w:rsid w:val="00034D61"/>
    <w:rsid w:val="00035535"/>
    <w:rsid w:val="00035BAC"/>
    <w:rsid w:val="00036036"/>
    <w:rsid w:val="000360D1"/>
    <w:rsid w:val="00036262"/>
    <w:rsid w:val="0003665E"/>
    <w:rsid w:val="000367B9"/>
    <w:rsid w:val="0003716E"/>
    <w:rsid w:val="000379C1"/>
    <w:rsid w:val="00037F3D"/>
    <w:rsid w:val="00040BC2"/>
    <w:rsid w:val="000412FD"/>
    <w:rsid w:val="00041E11"/>
    <w:rsid w:val="00042445"/>
    <w:rsid w:val="0004251C"/>
    <w:rsid w:val="00043EC3"/>
    <w:rsid w:val="00044288"/>
    <w:rsid w:val="00044510"/>
    <w:rsid w:val="000454C1"/>
    <w:rsid w:val="000458A9"/>
    <w:rsid w:val="00045B8C"/>
    <w:rsid w:val="00046429"/>
    <w:rsid w:val="00046AF3"/>
    <w:rsid w:val="000471FD"/>
    <w:rsid w:val="00047BE4"/>
    <w:rsid w:val="00050942"/>
    <w:rsid w:val="00050CDB"/>
    <w:rsid w:val="00051237"/>
    <w:rsid w:val="00051F04"/>
    <w:rsid w:val="00051FBE"/>
    <w:rsid w:val="0005215D"/>
    <w:rsid w:val="000529F0"/>
    <w:rsid w:val="00052F54"/>
    <w:rsid w:val="00053002"/>
    <w:rsid w:val="000530D1"/>
    <w:rsid w:val="00053D3E"/>
    <w:rsid w:val="0005511C"/>
    <w:rsid w:val="00055969"/>
    <w:rsid w:val="00055A52"/>
    <w:rsid w:val="00055AD0"/>
    <w:rsid w:val="000566C7"/>
    <w:rsid w:val="0005680C"/>
    <w:rsid w:val="00056A57"/>
    <w:rsid w:val="00057BED"/>
    <w:rsid w:val="00057E97"/>
    <w:rsid w:val="00060590"/>
    <w:rsid w:val="00061374"/>
    <w:rsid w:val="000617CD"/>
    <w:rsid w:val="00061BAD"/>
    <w:rsid w:val="000626E3"/>
    <w:rsid w:val="00062BBB"/>
    <w:rsid w:val="000639EB"/>
    <w:rsid w:val="00063A0A"/>
    <w:rsid w:val="000646DF"/>
    <w:rsid w:val="0006495B"/>
    <w:rsid w:val="00064A21"/>
    <w:rsid w:val="00064E9E"/>
    <w:rsid w:val="00065416"/>
    <w:rsid w:val="000658A6"/>
    <w:rsid w:val="00066414"/>
    <w:rsid w:val="0006727C"/>
    <w:rsid w:val="000677C7"/>
    <w:rsid w:val="00070469"/>
    <w:rsid w:val="00070D57"/>
    <w:rsid w:val="00071272"/>
    <w:rsid w:val="000718AF"/>
    <w:rsid w:val="000719C7"/>
    <w:rsid w:val="00072011"/>
    <w:rsid w:val="000720B7"/>
    <w:rsid w:val="00072B6A"/>
    <w:rsid w:val="00073504"/>
    <w:rsid w:val="00073DA9"/>
    <w:rsid w:val="000742C1"/>
    <w:rsid w:val="00074363"/>
    <w:rsid w:val="00074477"/>
    <w:rsid w:val="00074BBB"/>
    <w:rsid w:val="00074BF1"/>
    <w:rsid w:val="00074FF8"/>
    <w:rsid w:val="00077CAD"/>
    <w:rsid w:val="00081203"/>
    <w:rsid w:val="00081ED1"/>
    <w:rsid w:val="000831FC"/>
    <w:rsid w:val="000835B7"/>
    <w:rsid w:val="00083879"/>
    <w:rsid w:val="00083E2F"/>
    <w:rsid w:val="00083EED"/>
    <w:rsid w:val="000842A7"/>
    <w:rsid w:val="00084363"/>
    <w:rsid w:val="0008524A"/>
    <w:rsid w:val="000852EC"/>
    <w:rsid w:val="00085F41"/>
    <w:rsid w:val="000865E4"/>
    <w:rsid w:val="00087530"/>
    <w:rsid w:val="00087B4E"/>
    <w:rsid w:val="00087F22"/>
    <w:rsid w:val="0009036D"/>
    <w:rsid w:val="0009062B"/>
    <w:rsid w:val="00090B65"/>
    <w:rsid w:val="0009143D"/>
    <w:rsid w:val="0009259B"/>
    <w:rsid w:val="000939A5"/>
    <w:rsid w:val="00093E8E"/>
    <w:rsid w:val="00093F99"/>
    <w:rsid w:val="000944F5"/>
    <w:rsid w:val="0009464B"/>
    <w:rsid w:val="00094CB0"/>
    <w:rsid w:val="00094ECF"/>
    <w:rsid w:val="0009577B"/>
    <w:rsid w:val="00095D03"/>
    <w:rsid w:val="00095E34"/>
    <w:rsid w:val="00096C18"/>
    <w:rsid w:val="000973AF"/>
    <w:rsid w:val="000974C0"/>
    <w:rsid w:val="000A09BD"/>
    <w:rsid w:val="000A0B77"/>
    <w:rsid w:val="000A106D"/>
    <w:rsid w:val="000A1707"/>
    <w:rsid w:val="000A1B4B"/>
    <w:rsid w:val="000A23F7"/>
    <w:rsid w:val="000A299B"/>
    <w:rsid w:val="000A44F5"/>
    <w:rsid w:val="000A5DC5"/>
    <w:rsid w:val="000A6B11"/>
    <w:rsid w:val="000A6C64"/>
    <w:rsid w:val="000A7C2F"/>
    <w:rsid w:val="000B001B"/>
    <w:rsid w:val="000B2851"/>
    <w:rsid w:val="000B2F51"/>
    <w:rsid w:val="000B38CC"/>
    <w:rsid w:val="000B3B60"/>
    <w:rsid w:val="000B3F7D"/>
    <w:rsid w:val="000B4756"/>
    <w:rsid w:val="000B51D7"/>
    <w:rsid w:val="000B53E7"/>
    <w:rsid w:val="000B57E9"/>
    <w:rsid w:val="000B592B"/>
    <w:rsid w:val="000B5DBE"/>
    <w:rsid w:val="000B5E59"/>
    <w:rsid w:val="000C0F28"/>
    <w:rsid w:val="000C2328"/>
    <w:rsid w:val="000C23BE"/>
    <w:rsid w:val="000C28D2"/>
    <w:rsid w:val="000C3546"/>
    <w:rsid w:val="000C35B2"/>
    <w:rsid w:val="000C3735"/>
    <w:rsid w:val="000C439F"/>
    <w:rsid w:val="000C44AD"/>
    <w:rsid w:val="000C4B37"/>
    <w:rsid w:val="000C6557"/>
    <w:rsid w:val="000C6970"/>
    <w:rsid w:val="000C73B8"/>
    <w:rsid w:val="000C7E9D"/>
    <w:rsid w:val="000D0A2E"/>
    <w:rsid w:val="000D0B17"/>
    <w:rsid w:val="000D0FD5"/>
    <w:rsid w:val="000D1226"/>
    <w:rsid w:val="000D3377"/>
    <w:rsid w:val="000D397C"/>
    <w:rsid w:val="000D467E"/>
    <w:rsid w:val="000D4F21"/>
    <w:rsid w:val="000D5288"/>
    <w:rsid w:val="000D5EE5"/>
    <w:rsid w:val="000D63EA"/>
    <w:rsid w:val="000D6DB4"/>
    <w:rsid w:val="000D750F"/>
    <w:rsid w:val="000D7575"/>
    <w:rsid w:val="000D75EA"/>
    <w:rsid w:val="000D7714"/>
    <w:rsid w:val="000D7A3D"/>
    <w:rsid w:val="000D7BAC"/>
    <w:rsid w:val="000D7DCE"/>
    <w:rsid w:val="000D7E37"/>
    <w:rsid w:val="000E1B74"/>
    <w:rsid w:val="000E22E7"/>
    <w:rsid w:val="000E235D"/>
    <w:rsid w:val="000E4018"/>
    <w:rsid w:val="000E4192"/>
    <w:rsid w:val="000E4196"/>
    <w:rsid w:val="000E4216"/>
    <w:rsid w:val="000E4B91"/>
    <w:rsid w:val="000E5090"/>
    <w:rsid w:val="000E55AC"/>
    <w:rsid w:val="000E5F4B"/>
    <w:rsid w:val="000E6A14"/>
    <w:rsid w:val="000E70B7"/>
    <w:rsid w:val="000E73BA"/>
    <w:rsid w:val="000E7461"/>
    <w:rsid w:val="000E7EC2"/>
    <w:rsid w:val="000F1639"/>
    <w:rsid w:val="000F182B"/>
    <w:rsid w:val="000F1CD4"/>
    <w:rsid w:val="000F1F4A"/>
    <w:rsid w:val="000F354C"/>
    <w:rsid w:val="000F3A18"/>
    <w:rsid w:val="000F3A4F"/>
    <w:rsid w:val="000F3A6D"/>
    <w:rsid w:val="000F3A86"/>
    <w:rsid w:val="000F44CC"/>
    <w:rsid w:val="000F56E4"/>
    <w:rsid w:val="000F5B9B"/>
    <w:rsid w:val="000F7074"/>
    <w:rsid w:val="000F76ED"/>
    <w:rsid w:val="000F7A71"/>
    <w:rsid w:val="001027F7"/>
    <w:rsid w:val="00102B40"/>
    <w:rsid w:val="00102B53"/>
    <w:rsid w:val="001041A9"/>
    <w:rsid w:val="00104EEE"/>
    <w:rsid w:val="001054EE"/>
    <w:rsid w:val="001059B5"/>
    <w:rsid w:val="00105B8E"/>
    <w:rsid w:val="00106274"/>
    <w:rsid w:val="00107265"/>
    <w:rsid w:val="00110CD1"/>
    <w:rsid w:val="00111065"/>
    <w:rsid w:val="001112A9"/>
    <w:rsid w:val="00111907"/>
    <w:rsid w:val="00111DFD"/>
    <w:rsid w:val="00111E8B"/>
    <w:rsid w:val="00112961"/>
    <w:rsid w:val="001135C8"/>
    <w:rsid w:val="00113990"/>
    <w:rsid w:val="00113D46"/>
    <w:rsid w:val="00114E05"/>
    <w:rsid w:val="00115BAB"/>
    <w:rsid w:val="00115C3A"/>
    <w:rsid w:val="00115EF0"/>
    <w:rsid w:val="001160EF"/>
    <w:rsid w:val="00117035"/>
    <w:rsid w:val="001178E9"/>
    <w:rsid w:val="00117D3F"/>
    <w:rsid w:val="00120112"/>
    <w:rsid w:val="0012032D"/>
    <w:rsid w:val="001206EF"/>
    <w:rsid w:val="00120F5D"/>
    <w:rsid w:val="00121653"/>
    <w:rsid w:val="0012173F"/>
    <w:rsid w:val="00121E43"/>
    <w:rsid w:val="001220BC"/>
    <w:rsid w:val="001223B1"/>
    <w:rsid w:val="00122840"/>
    <w:rsid w:val="0012289F"/>
    <w:rsid w:val="00123572"/>
    <w:rsid w:val="00123793"/>
    <w:rsid w:val="00123DDF"/>
    <w:rsid w:val="00123FFE"/>
    <w:rsid w:val="001242B7"/>
    <w:rsid w:val="00124371"/>
    <w:rsid w:val="00125BDC"/>
    <w:rsid w:val="0012705F"/>
    <w:rsid w:val="0012732C"/>
    <w:rsid w:val="00127D8F"/>
    <w:rsid w:val="00127EC8"/>
    <w:rsid w:val="001308A6"/>
    <w:rsid w:val="00130C23"/>
    <w:rsid w:val="0013131B"/>
    <w:rsid w:val="00131831"/>
    <w:rsid w:val="00131942"/>
    <w:rsid w:val="00132EFA"/>
    <w:rsid w:val="00133596"/>
    <w:rsid w:val="00134487"/>
    <w:rsid w:val="001351A2"/>
    <w:rsid w:val="00135D60"/>
    <w:rsid w:val="00136335"/>
    <w:rsid w:val="001367BA"/>
    <w:rsid w:val="00140137"/>
    <w:rsid w:val="001401A9"/>
    <w:rsid w:val="00140A19"/>
    <w:rsid w:val="00140BE1"/>
    <w:rsid w:val="0014118D"/>
    <w:rsid w:val="001411A9"/>
    <w:rsid w:val="00141303"/>
    <w:rsid w:val="001430F0"/>
    <w:rsid w:val="00143670"/>
    <w:rsid w:val="0014449E"/>
    <w:rsid w:val="001449A6"/>
    <w:rsid w:val="001451FA"/>
    <w:rsid w:val="00145555"/>
    <w:rsid w:val="00145C1A"/>
    <w:rsid w:val="00145C2D"/>
    <w:rsid w:val="00145ED9"/>
    <w:rsid w:val="001460AC"/>
    <w:rsid w:val="00146901"/>
    <w:rsid w:val="00147977"/>
    <w:rsid w:val="00147E5E"/>
    <w:rsid w:val="00147EF6"/>
    <w:rsid w:val="001500D8"/>
    <w:rsid w:val="001502A6"/>
    <w:rsid w:val="001505F7"/>
    <w:rsid w:val="00151013"/>
    <w:rsid w:val="0015101E"/>
    <w:rsid w:val="001512B8"/>
    <w:rsid w:val="0015169B"/>
    <w:rsid w:val="00151CA3"/>
    <w:rsid w:val="00152179"/>
    <w:rsid w:val="0015228A"/>
    <w:rsid w:val="00152B2D"/>
    <w:rsid w:val="001535C9"/>
    <w:rsid w:val="00153E75"/>
    <w:rsid w:val="001541A9"/>
    <w:rsid w:val="00154ED8"/>
    <w:rsid w:val="0015514F"/>
    <w:rsid w:val="0015540F"/>
    <w:rsid w:val="001558DB"/>
    <w:rsid w:val="0015635A"/>
    <w:rsid w:val="00156815"/>
    <w:rsid w:val="00156CB1"/>
    <w:rsid w:val="0016063B"/>
    <w:rsid w:val="00160BAB"/>
    <w:rsid w:val="00161DBC"/>
    <w:rsid w:val="00161EE2"/>
    <w:rsid w:val="00163745"/>
    <w:rsid w:val="00163BDF"/>
    <w:rsid w:val="00164000"/>
    <w:rsid w:val="00164820"/>
    <w:rsid w:val="00164909"/>
    <w:rsid w:val="001662A9"/>
    <w:rsid w:val="001669A3"/>
    <w:rsid w:val="001669E8"/>
    <w:rsid w:val="00166D0F"/>
    <w:rsid w:val="00166FD5"/>
    <w:rsid w:val="0016789E"/>
    <w:rsid w:val="00167D17"/>
    <w:rsid w:val="001705A2"/>
    <w:rsid w:val="0017130A"/>
    <w:rsid w:val="00171587"/>
    <w:rsid w:val="001716A5"/>
    <w:rsid w:val="0017182A"/>
    <w:rsid w:val="001719BE"/>
    <w:rsid w:val="00172749"/>
    <w:rsid w:val="001729D8"/>
    <w:rsid w:val="00172BB2"/>
    <w:rsid w:val="001731F9"/>
    <w:rsid w:val="00173ECE"/>
    <w:rsid w:val="001740D4"/>
    <w:rsid w:val="00174EF5"/>
    <w:rsid w:val="00175B88"/>
    <w:rsid w:val="00176090"/>
    <w:rsid w:val="00176585"/>
    <w:rsid w:val="00176D60"/>
    <w:rsid w:val="00176FF7"/>
    <w:rsid w:val="0017761A"/>
    <w:rsid w:val="001779F5"/>
    <w:rsid w:val="00180286"/>
    <w:rsid w:val="001806B3"/>
    <w:rsid w:val="00181046"/>
    <w:rsid w:val="00181F9C"/>
    <w:rsid w:val="00182AB5"/>
    <w:rsid w:val="0018442B"/>
    <w:rsid w:val="00185B87"/>
    <w:rsid w:val="00185E7F"/>
    <w:rsid w:val="0018633A"/>
    <w:rsid w:val="001863C0"/>
    <w:rsid w:val="001877A1"/>
    <w:rsid w:val="001900D6"/>
    <w:rsid w:val="00190102"/>
    <w:rsid w:val="0019064B"/>
    <w:rsid w:val="001910EC"/>
    <w:rsid w:val="001911AF"/>
    <w:rsid w:val="0019131C"/>
    <w:rsid w:val="00191389"/>
    <w:rsid w:val="00194C81"/>
    <w:rsid w:val="00195267"/>
    <w:rsid w:val="00195A5C"/>
    <w:rsid w:val="00196A4E"/>
    <w:rsid w:val="00196EB3"/>
    <w:rsid w:val="00197F80"/>
    <w:rsid w:val="001A0372"/>
    <w:rsid w:val="001A0931"/>
    <w:rsid w:val="001A0F9B"/>
    <w:rsid w:val="001A185D"/>
    <w:rsid w:val="001A1F1E"/>
    <w:rsid w:val="001A35E1"/>
    <w:rsid w:val="001A3A2E"/>
    <w:rsid w:val="001A3D8E"/>
    <w:rsid w:val="001A4369"/>
    <w:rsid w:val="001A4924"/>
    <w:rsid w:val="001A4D16"/>
    <w:rsid w:val="001A4DD8"/>
    <w:rsid w:val="001A56A2"/>
    <w:rsid w:val="001A56CA"/>
    <w:rsid w:val="001A5B17"/>
    <w:rsid w:val="001A5F0D"/>
    <w:rsid w:val="001A6200"/>
    <w:rsid w:val="001A621E"/>
    <w:rsid w:val="001A6503"/>
    <w:rsid w:val="001A7982"/>
    <w:rsid w:val="001B0069"/>
    <w:rsid w:val="001B02A5"/>
    <w:rsid w:val="001B070C"/>
    <w:rsid w:val="001B0A72"/>
    <w:rsid w:val="001B12CC"/>
    <w:rsid w:val="001B1620"/>
    <w:rsid w:val="001B1D9D"/>
    <w:rsid w:val="001B2545"/>
    <w:rsid w:val="001B30DC"/>
    <w:rsid w:val="001B48EB"/>
    <w:rsid w:val="001B508A"/>
    <w:rsid w:val="001B50E5"/>
    <w:rsid w:val="001B5617"/>
    <w:rsid w:val="001B6317"/>
    <w:rsid w:val="001B6DF5"/>
    <w:rsid w:val="001B7F1F"/>
    <w:rsid w:val="001C02A4"/>
    <w:rsid w:val="001C02BA"/>
    <w:rsid w:val="001C1B1B"/>
    <w:rsid w:val="001C2AF8"/>
    <w:rsid w:val="001C2FAD"/>
    <w:rsid w:val="001C33E4"/>
    <w:rsid w:val="001C3C37"/>
    <w:rsid w:val="001C420B"/>
    <w:rsid w:val="001C43F6"/>
    <w:rsid w:val="001C4821"/>
    <w:rsid w:val="001C4F29"/>
    <w:rsid w:val="001C5038"/>
    <w:rsid w:val="001C5070"/>
    <w:rsid w:val="001C556E"/>
    <w:rsid w:val="001C55E7"/>
    <w:rsid w:val="001C58D0"/>
    <w:rsid w:val="001C642C"/>
    <w:rsid w:val="001C6CA1"/>
    <w:rsid w:val="001C704C"/>
    <w:rsid w:val="001D0720"/>
    <w:rsid w:val="001D157A"/>
    <w:rsid w:val="001D1846"/>
    <w:rsid w:val="001D1925"/>
    <w:rsid w:val="001D1DCA"/>
    <w:rsid w:val="001D239F"/>
    <w:rsid w:val="001D277B"/>
    <w:rsid w:val="001D27B7"/>
    <w:rsid w:val="001D2DA2"/>
    <w:rsid w:val="001D35B6"/>
    <w:rsid w:val="001D3625"/>
    <w:rsid w:val="001D3B5E"/>
    <w:rsid w:val="001D3EFA"/>
    <w:rsid w:val="001D4A43"/>
    <w:rsid w:val="001D577C"/>
    <w:rsid w:val="001D5B70"/>
    <w:rsid w:val="001D687F"/>
    <w:rsid w:val="001D6D18"/>
    <w:rsid w:val="001E09E7"/>
    <w:rsid w:val="001E1573"/>
    <w:rsid w:val="001E2EB0"/>
    <w:rsid w:val="001E31BD"/>
    <w:rsid w:val="001E42C1"/>
    <w:rsid w:val="001E42D3"/>
    <w:rsid w:val="001E4540"/>
    <w:rsid w:val="001E45D6"/>
    <w:rsid w:val="001E5203"/>
    <w:rsid w:val="001E5483"/>
    <w:rsid w:val="001E57F5"/>
    <w:rsid w:val="001E6BEB"/>
    <w:rsid w:val="001E7B70"/>
    <w:rsid w:val="001E7BE6"/>
    <w:rsid w:val="001F10F0"/>
    <w:rsid w:val="001F154E"/>
    <w:rsid w:val="001F1F9C"/>
    <w:rsid w:val="001F203B"/>
    <w:rsid w:val="001F2423"/>
    <w:rsid w:val="001F2E54"/>
    <w:rsid w:val="001F31CB"/>
    <w:rsid w:val="001F491D"/>
    <w:rsid w:val="001F6467"/>
    <w:rsid w:val="001F653B"/>
    <w:rsid w:val="001F6731"/>
    <w:rsid w:val="001F7F28"/>
    <w:rsid w:val="00200573"/>
    <w:rsid w:val="00200811"/>
    <w:rsid w:val="00200FE1"/>
    <w:rsid w:val="0020174A"/>
    <w:rsid w:val="002026E2"/>
    <w:rsid w:val="00202EDF"/>
    <w:rsid w:val="00203138"/>
    <w:rsid w:val="0020343D"/>
    <w:rsid w:val="00203EC2"/>
    <w:rsid w:val="00204979"/>
    <w:rsid w:val="00204DB1"/>
    <w:rsid w:val="00205D87"/>
    <w:rsid w:val="0020756A"/>
    <w:rsid w:val="002075FA"/>
    <w:rsid w:val="00210053"/>
    <w:rsid w:val="0021037C"/>
    <w:rsid w:val="002108B9"/>
    <w:rsid w:val="00211767"/>
    <w:rsid w:val="002119E8"/>
    <w:rsid w:val="00211A08"/>
    <w:rsid w:val="00212976"/>
    <w:rsid w:val="00213E6E"/>
    <w:rsid w:val="002148D5"/>
    <w:rsid w:val="002149C6"/>
    <w:rsid w:val="00214DFB"/>
    <w:rsid w:val="0021500D"/>
    <w:rsid w:val="00215B1F"/>
    <w:rsid w:val="002161A5"/>
    <w:rsid w:val="002163EC"/>
    <w:rsid w:val="00216910"/>
    <w:rsid w:val="00216FF6"/>
    <w:rsid w:val="002172B7"/>
    <w:rsid w:val="00217631"/>
    <w:rsid w:val="00217682"/>
    <w:rsid w:val="002178E2"/>
    <w:rsid w:val="0022082A"/>
    <w:rsid w:val="0022122A"/>
    <w:rsid w:val="002214F6"/>
    <w:rsid w:val="00221F13"/>
    <w:rsid w:val="00222427"/>
    <w:rsid w:val="002227CC"/>
    <w:rsid w:val="002239C5"/>
    <w:rsid w:val="00223C66"/>
    <w:rsid w:val="00224366"/>
    <w:rsid w:val="00224C85"/>
    <w:rsid w:val="00224F12"/>
    <w:rsid w:val="00225074"/>
    <w:rsid w:val="00225219"/>
    <w:rsid w:val="0022599E"/>
    <w:rsid w:val="00225BC0"/>
    <w:rsid w:val="00226159"/>
    <w:rsid w:val="00227384"/>
    <w:rsid w:val="00227B6E"/>
    <w:rsid w:val="00227C53"/>
    <w:rsid w:val="00231582"/>
    <w:rsid w:val="00231B50"/>
    <w:rsid w:val="002322DB"/>
    <w:rsid w:val="00232533"/>
    <w:rsid w:val="00232C7C"/>
    <w:rsid w:val="00232F8A"/>
    <w:rsid w:val="002334B2"/>
    <w:rsid w:val="002335D2"/>
    <w:rsid w:val="00233A9C"/>
    <w:rsid w:val="00234983"/>
    <w:rsid w:val="00234B17"/>
    <w:rsid w:val="00234CD7"/>
    <w:rsid w:val="00234FE2"/>
    <w:rsid w:val="00236F1C"/>
    <w:rsid w:val="0023705F"/>
    <w:rsid w:val="00237962"/>
    <w:rsid w:val="002401C5"/>
    <w:rsid w:val="00241267"/>
    <w:rsid w:val="0024162A"/>
    <w:rsid w:val="00241914"/>
    <w:rsid w:val="002423C2"/>
    <w:rsid w:val="002427B8"/>
    <w:rsid w:val="00242974"/>
    <w:rsid w:val="00242AE7"/>
    <w:rsid w:val="00243479"/>
    <w:rsid w:val="00243669"/>
    <w:rsid w:val="002436C1"/>
    <w:rsid w:val="002436FF"/>
    <w:rsid w:val="002439E9"/>
    <w:rsid w:val="00243D43"/>
    <w:rsid w:val="002442BA"/>
    <w:rsid w:val="00244EC9"/>
    <w:rsid w:val="00245BB6"/>
    <w:rsid w:val="00245D86"/>
    <w:rsid w:val="00246122"/>
    <w:rsid w:val="002470CB"/>
    <w:rsid w:val="00247399"/>
    <w:rsid w:val="00247429"/>
    <w:rsid w:val="002478D5"/>
    <w:rsid w:val="002508B0"/>
    <w:rsid w:val="00250E67"/>
    <w:rsid w:val="00250F19"/>
    <w:rsid w:val="00251989"/>
    <w:rsid w:val="00251B58"/>
    <w:rsid w:val="00252472"/>
    <w:rsid w:val="002528A6"/>
    <w:rsid w:val="00252F62"/>
    <w:rsid w:val="002535D2"/>
    <w:rsid w:val="0025378B"/>
    <w:rsid w:val="00254EF9"/>
    <w:rsid w:val="0025504D"/>
    <w:rsid w:val="00255411"/>
    <w:rsid w:val="00257464"/>
    <w:rsid w:val="0025780A"/>
    <w:rsid w:val="002578FF"/>
    <w:rsid w:val="002601A1"/>
    <w:rsid w:val="00261692"/>
    <w:rsid w:val="00261713"/>
    <w:rsid w:val="0026331F"/>
    <w:rsid w:val="00263D86"/>
    <w:rsid w:val="0026450D"/>
    <w:rsid w:val="00266130"/>
    <w:rsid w:val="00267176"/>
    <w:rsid w:val="00267512"/>
    <w:rsid w:val="002712B2"/>
    <w:rsid w:val="0027152F"/>
    <w:rsid w:val="002729EA"/>
    <w:rsid w:val="002730DC"/>
    <w:rsid w:val="002733FA"/>
    <w:rsid w:val="00273453"/>
    <w:rsid w:val="002736E7"/>
    <w:rsid w:val="00273FDB"/>
    <w:rsid w:val="00274339"/>
    <w:rsid w:val="0027497C"/>
    <w:rsid w:val="00274B61"/>
    <w:rsid w:val="00275159"/>
    <w:rsid w:val="002759DD"/>
    <w:rsid w:val="00275A10"/>
    <w:rsid w:val="0027785E"/>
    <w:rsid w:val="00281A9D"/>
    <w:rsid w:val="00282669"/>
    <w:rsid w:val="00282BE8"/>
    <w:rsid w:val="00283540"/>
    <w:rsid w:val="002836A9"/>
    <w:rsid w:val="00283E31"/>
    <w:rsid w:val="00284081"/>
    <w:rsid w:val="00285A2F"/>
    <w:rsid w:val="00285D3A"/>
    <w:rsid w:val="00285D97"/>
    <w:rsid w:val="00286898"/>
    <w:rsid w:val="00286BD6"/>
    <w:rsid w:val="002873D5"/>
    <w:rsid w:val="00290347"/>
    <w:rsid w:val="002903F7"/>
    <w:rsid w:val="00290963"/>
    <w:rsid w:val="00290BBF"/>
    <w:rsid w:val="00291572"/>
    <w:rsid w:val="0029187E"/>
    <w:rsid w:val="00291BCA"/>
    <w:rsid w:val="002930B1"/>
    <w:rsid w:val="0029323D"/>
    <w:rsid w:val="00293868"/>
    <w:rsid w:val="00293DB6"/>
    <w:rsid w:val="00295E3D"/>
    <w:rsid w:val="0029649D"/>
    <w:rsid w:val="002967FE"/>
    <w:rsid w:val="00296B67"/>
    <w:rsid w:val="002971BB"/>
    <w:rsid w:val="00297583"/>
    <w:rsid w:val="0029799C"/>
    <w:rsid w:val="002A15B3"/>
    <w:rsid w:val="002A1656"/>
    <w:rsid w:val="002A1FAF"/>
    <w:rsid w:val="002A2994"/>
    <w:rsid w:val="002A2AA4"/>
    <w:rsid w:val="002A2E6A"/>
    <w:rsid w:val="002A326E"/>
    <w:rsid w:val="002A3C7E"/>
    <w:rsid w:val="002A3F7D"/>
    <w:rsid w:val="002A466F"/>
    <w:rsid w:val="002A4B92"/>
    <w:rsid w:val="002A598C"/>
    <w:rsid w:val="002A61FD"/>
    <w:rsid w:val="002A6212"/>
    <w:rsid w:val="002A6902"/>
    <w:rsid w:val="002A69E9"/>
    <w:rsid w:val="002A6C71"/>
    <w:rsid w:val="002A6D65"/>
    <w:rsid w:val="002A75DB"/>
    <w:rsid w:val="002A7E00"/>
    <w:rsid w:val="002B0000"/>
    <w:rsid w:val="002B0DD0"/>
    <w:rsid w:val="002B1A02"/>
    <w:rsid w:val="002B2CDA"/>
    <w:rsid w:val="002B39F5"/>
    <w:rsid w:val="002B5D43"/>
    <w:rsid w:val="002B6536"/>
    <w:rsid w:val="002B67DC"/>
    <w:rsid w:val="002B75A8"/>
    <w:rsid w:val="002B7C50"/>
    <w:rsid w:val="002B7F56"/>
    <w:rsid w:val="002C022E"/>
    <w:rsid w:val="002C1162"/>
    <w:rsid w:val="002C2006"/>
    <w:rsid w:val="002C335B"/>
    <w:rsid w:val="002C3BCE"/>
    <w:rsid w:val="002C418C"/>
    <w:rsid w:val="002C42CB"/>
    <w:rsid w:val="002C4635"/>
    <w:rsid w:val="002C5F53"/>
    <w:rsid w:val="002C6511"/>
    <w:rsid w:val="002C71CF"/>
    <w:rsid w:val="002C72F2"/>
    <w:rsid w:val="002C760B"/>
    <w:rsid w:val="002D221C"/>
    <w:rsid w:val="002D280E"/>
    <w:rsid w:val="002D29B9"/>
    <w:rsid w:val="002D2FE7"/>
    <w:rsid w:val="002D3AD0"/>
    <w:rsid w:val="002D42CA"/>
    <w:rsid w:val="002D4FDB"/>
    <w:rsid w:val="002D5BD7"/>
    <w:rsid w:val="002D5BFF"/>
    <w:rsid w:val="002D5C02"/>
    <w:rsid w:val="002D5D04"/>
    <w:rsid w:val="002D5ED8"/>
    <w:rsid w:val="002D6316"/>
    <w:rsid w:val="002D6882"/>
    <w:rsid w:val="002D6968"/>
    <w:rsid w:val="002D6D95"/>
    <w:rsid w:val="002D7985"/>
    <w:rsid w:val="002E1098"/>
    <w:rsid w:val="002E183E"/>
    <w:rsid w:val="002E1C54"/>
    <w:rsid w:val="002E3002"/>
    <w:rsid w:val="002E3BC7"/>
    <w:rsid w:val="002E3C97"/>
    <w:rsid w:val="002E4221"/>
    <w:rsid w:val="002E44C4"/>
    <w:rsid w:val="002E54BF"/>
    <w:rsid w:val="002E5C99"/>
    <w:rsid w:val="002E6994"/>
    <w:rsid w:val="002E7010"/>
    <w:rsid w:val="002E7ACF"/>
    <w:rsid w:val="002E7DD2"/>
    <w:rsid w:val="002E7E63"/>
    <w:rsid w:val="002E7EBC"/>
    <w:rsid w:val="002F06F7"/>
    <w:rsid w:val="002F16B7"/>
    <w:rsid w:val="002F175B"/>
    <w:rsid w:val="002F38AD"/>
    <w:rsid w:val="002F3CFE"/>
    <w:rsid w:val="002F448E"/>
    <w:rsid w:val="002F49DB"/>
    <w:rsid w:val="002F4C3A"/>
    <w:rsid w:val="002F5408"/>
    <w:rsid w:val="002F5652"/>
    <w:rsid w:val="002F5712"/>
    <w:rsid w:val="002F6678"/>
    <w:rsid w:val="002F6C36"/>
    <w:rsid w:val="002F7B18"/>
    <w:rsid w:val="003004A6"/>
    <w:rsid w:val="0030051B"/>
    <w:rsid w:val="00300698"/>
    <w:rsid w:val="003012CC"/>
    <w:rsid w:val="003016CE"/>
    <w:rsid w:val="0030184B"/>
    <w:rsid w:val="00302385"/>
    <w:rsid w:val="003027BB"/>
    <w:rsid w:val="003029E3"/>
    <w:rsid w:val="00303AD9"/>
    <w:rsid w:val="003040D9"/>
    <w:rsid w:val="00304A1C"/>
    <w:rsid w:val="00304A51"/>
    <w:rsid w:val="003050BF"/>
    <w:rsid w:val="0030516A"/>
    <w:rsid w:val="00305D11"/>
    <w:rsid w:val="0030622B"/>
    <w:rsid w:val="00306D28"/>
    <w:rsid w:val="00307237"/>
    <w:rsid w:val="00307427"/>
    <w:rsid w:val="0030793B"/>
    <w:rsid w:val="00307AF4"/>
    <w:rsid w:val="00307B4E"/>
    <w:rsid w:val="003104D2"/>
    <w:rsid w:val="003109D1"/>
    <w:rsid w:val="00311717"/>
    <w:rsid w:val="00311732"/>
    <w:rsid w:val="00311896"/>
    <w:rsid w:val="00311973"/>
    <w:rsid w:val="00311A3A"/>
    <w:rsid w:val="00312416"/>
    <w:rsid w:val="003125D3"/>
    <w:rsid w:val="00313145"/>
    <w:rsid w:val="00313DCC"/>
    <w:rsid w:val="00313FF1"/>
    <w:rsid w:val="00314842"/>
    <w:rsid w:val="00314ED5"/>
    <w:rsid w:val="0031507B"/>
    <w:rsid w:val="00315CFA"/>
    <w:rsid w:val="00315F08"/>
    <w:rsid w:val="003160CD"/>
    <w:rsid w:val="00316330"/>
    <w:rsid w:val="00316C29"/>
    <w:rsid w:val="00316D63"/>
    <w:rsid w:val="00317ED2"/>
    <w:rsid w:val="0032034F"/>
    <w:rsid w:val="00320DD4"/>
    <w:rsid w:val="00321393"/>
    <w:rsid w:val="00321CBB"/>
    <w:rsid w:val="0032262D"/>
    <w:rsid w:val="00322784"/>
    <w:rsid w:val="00324DA6"/>
    <w:rsid w:val="00325038"/>
    <w:rsid w:val="00325259"/>
    <w:rsid w:val="0032539C"/>
    <w:rsid w:val="00327147"/>
    <w:rsid w:val="003279EB"/>
    <w:rsid w:val="0033090B"/>
    <w:rsid w:val="00331E1F"/>
    <w:rsid w:val="0033273B"/>
    <w:rsid w:val="00332D91"/>
    <w:rsid w:val="00333ED4"/>
    <w:rsid w:val="003345B4"/>
    <w:rsid w:val="00334F0C"/>
    <w:rsid w:val="003350F4"/>
    <w:rsid w:val="0033510E"/>
    <w:rsid w:val="003351BF"/>
    <w:rsid w:val="00335288"/>
    <w:rsid w:val="00335446"/>
    <w:rsid w:val="0033551D"/>
    <w:rsid w:val="00335F78"/>
    <w:rsid w:val="00336E17"/>
    <w:rsid w:val="00336EA2"/>
    <w:rsid w:val="0033736C"/>
    <w:rsid w:val="00337B58"/>
    <w:rsid w:val="00337D94"/>
    <w:rsid w:val="00337E47"/>
    <w:rsid w:val="003406F5"/>
    <w:rsid w:val="003407D9"/>
    <w:rsid w:val="00340C4D"/>
    <w:rsid w:val="00341750"/>
    <w:rsid w:val="00341929"/>
    <w:rsid w:val="00341F3F"/>
    <w:rsid w:val="0034251D"/>
    <w:rsid w:val="0034284A"/>
    <w:rsid w:val="003428B1"/>
    <w:rsid w:val="00342E90"/>
    <w:rsid w:val="00343548"/>
    <w:rsid w:val="003438AB"/>
    <w:rsid w:val="00344640"/>
    <w:rsid w:val="00345334"/>
    <w:rsid w:val="00345992"/>
    <w:rsid w:val="00345D46"/>
    <w:rsid w:val="00345E50"/>
    <w:rsid w:val="00346E75"/>
    <w:rsid w:val="00347240"/>
    <w:rsid w:val="00347D7D"/>
    <w:rsid w:val="003501CB"/>
    <w:rsid w:val="00350F74"/>
    <w:rsid w:val="00351033"/>
    <w:rsid w:val="00351B19"/>
    <w:rsid w:val="00351B68"/>
    <w:rsid w:val="00351DB4"/>
    <w:rsid w:val="003525A5"/>
    <w:rsid w:val="0035269F"/>
    <w:rsid w:val="00352BBC"/>
    <w:rsid w:val="00352C83"/>
    <w:rsid w:val="00352EFD"/>
    <w:rsid w:val="00354A92"/>
    <w:rsid w:val="00354EDC"/>
    <w:rsid w:val="00355FEC"/>
    <w:rsid w:val="003561D9"/>
    <w:rsid w:val="0035633A"/>
    <w:rsid w:val="0035734F"/>
    <w:rsid w:val="00360854"/>
    <w:rsid w:val="00362074"/>
    <w:rsid w:val="0036244B"/>
    <w:rsid w:val="00362B64"/>
    <w:rsid w:val="00363878"/>
    <w:rsid w:val="00363D86"/>
    <w:rsid w:val="00364F04"/>
    <w:rsid w:val="00365793"/>
    <w:rsid w:val="00365A46"/>
    <w:rsid w:val="00365FD0"/>
    <w:rsid w:val="003671D6"/>
    <w:rsid w:val="00370BE3"/>
    <w:rsid w:val="003712A0"/>
    <w:rsid w:val="00371A48"/>
    <w:rsid w:val="00371AE7"/>
    <w:rsid w:val="003722E8"/>
    <w:rsid w:val="00372FC7"/>
    <w:rsid w:val="00372FCE"/>
    <w:rsid w:val="00373837"/>
    <w:rsid w:val="00373DF8"/>
    <w:rsid w:val="00374264"/>
    <w:rsid w:val="003742F1"/>
    <w:rsid w:val="0037439A"/>
    <w:rsid w:val="00374AA9"/>
    <w:rsid w:val="00374CF1"/>
    <w:rsid w:val="00375047"/>
    <w:rsid w:val="003757FA"/>
    <w:rsid w:val="00375FD3"/>
    <w:rsid w:val="003762FB"/>
    <w:rsid w:val="00376C94"/>
    <w:rsid w:val="00376EB7"/>
    <w:rsid w:val="00376FE6"/>
    <w:rsid w:val="003771B9"/>
    <w:rsid w:val="0037739E"/>
    <w:rsid w:val="00377724"/>
    <w:rsid w:val="00377FFD"/>
    <w:rsid w:val="0038039F"/>
    <w:rsid w:val="00381464"/>
    <w:rsid w:val="00381D3F"/>
    <w:rsid w:val="00382AF2"/>
    <w:rsid w:val="00382D84"/>
    <w:rsid w:val="003839F4"/>
    <w:rsid w:val="003841D6"/>
    <w:rsid w:val="003842EA"/>
    <w:rsid w:val="00385371"/>
    <w:rsid w:val="00385D73"/>
    <w:rsid w:val="003867FA"/>
    <w:rsid w:val="00387D95"/>
    <w:rsid w:val="00390521"/>
    <w:rsid w:val="00392901"/>
    <w:rsid w:val="00392ABA"/>
    <w:rsid w:val="00392B3F"/>
    <w:rsid w:val="00392C95"/>
    <w:rsid w:val="003937D7"/>
    <w:rsid w:val="0039467A"/>
    <w:rsid w:val="00394DB7"/>
    <w:rsid w:val="00395729"/>
    <w:rsid w:val="00395C53"/>
    <w:rsid w:val="0039645C"/>
    <w:rsid w:val="0039729E"/>
    <w:rsid w:val="00397404"/>
    <w:rsid w:val="00397892"/>
    <w:rsid w:val="003A05E4"/>
    <w:rsid w:val="003A0725"/>
    <w:rsid w:val="003A0C8A"/>
    <w:rsid w:val="003A0F5A"/>
    <w:rsid w:val="003A153E"/>
    <w:rsid w:val="003A25ED"/>
    <w:rsid w:val="003A3895"/>
    <w:rsid w:val="003A3A1F"/>
    <w:rsid w:val="003A43DB"/>
    <w:rsid w:val="003A4513"/>
    <w:rsid w:val="003A4697"/>
    <w:rsid w:val="003A4984"/>
    <w:rsid w:val="003A4FDB"/>
    <w:rsid w:val="003A54E7"/>
    <w:rsid w:val="003A775F"/>
    <w:rsid w:val="003A7C0A"/>
    <w:rsid w:val="003B03ED"/>
    <w:rsid w:val="003B0403"/>
    <w:rsid w:val="003B06D5"/>
    <w:rsid w:val="003B07D3"/>
    <w:rsid w:val="003B0F89"/>
    <w:rsid w:val="003B1AE0"/>
    <w:rsid w:val="003B22C0"/>
    <w:rsid w:val="003B2A18"/>
    <w:rsid w:val="003B3347"/>
    <w:rsid w:val="003B3780"/>
    <w:rsid w:val="003B37EC"/>
    <w:rsid w:val="003B39E2"/>
    <w:rsid w:val="003B3FA5"/>
    <w:rsid w:val="003B46EC"/>
    <w:rsid w:val="003B4DD9"/>
    <w:rsid w:val="003B5628"/>
    <w:rsid w:val="003B5DD3"/>
    <w:rsid w:val="003B6D15"/>
    <w:rsid w:val="003B6E03"/>
    <w:rsid w:val="003B7117"/>
    <w:rsid w:val="003C08B3"/>
    <w:rsid w:val="003C0A99"/>
    <w:rsid w:val="003C0C88"/>
    <w:rsid w:val="003C0D0B"/>
    <w:rsid w:val="003C0EE3"/>
    <w:rsid w:val="003C1C71"/>
    <w:rsid w:val="003C1CA0"/>
    <w:rsid w:val="003C1E5F"/>
    <w:rsid w:val="003C28A0"/>
    <w:rsid w:val="003C2933"/>
    <w:rsid w:val="003C2AF4"/>
    <w:rsid w:val="003C2D8E"/>
    <w:rsid w:val="003C2E09"/>
    <w:rsid w:val="003C3B05"/>
    <w:rsid w:val="003C49A5"/>
    <w:rsid w:val="003C601A"/>
    <w:rsid w:val="003C6676"/>
    <w:rsid w:val="003C6C60"/>
    <w:rsid w:val="003C6CE8"/>
    <w:rsid w:val="003C6F6B"/>
    <w:rsid w:val="003C7995"/>
    <w:rsid w:val="003D04BA"/>
    <w:rsid w:val="003D0702"/>
    <w:rsid w:val="003D0757"/>
    <w:rsid w:val="003D0778"/>
    <w:rsid w:val="003D17E0"/>
    <w:rsid w:val="003D26F5"/>
    <w:rsid w:val="003D27DD"/>
    <w:rsid w:val="003D30C1"/>
    <w:rsid w:val="003D3612"/>
    <w:rsid w:val="003D3D22"/>
    <w:rsid w:val="003D5038"/>
    <w:rsid w:val="003D58DE"/>
    <w:rsid w:val="003D5AC8"/>
    <w:rsid w:val="003D5E5D"/>
    <w:rsid w:val="003D5EEA"/>
    <w:rsid w:val="003D6392"/>
    <w:rsid w:val="003D6409"/>
    <w:rsid w:val="003D7676"/>
    <w:rsid w:val="003D76BE"/>
    <w:rsid w:val="003D7B0E"/>
    <w:rsid w:val="003D7DE7"/>
    <w:rsid w:val="003E026D"/>
    <w:rsid w:val="003E09A3"/>
    <w:rsid w:val="003E1F47"/>
    <w:rsid w:val="003E45F6"/>
    <w:rsid w:val="003E46BE"/>
    <w:rsid w:val="003E4883"/>
    <w:rsid w:val="003E5455"/>
    <w:rsid w:val="003E566E"/>
    <w:rsid w:val="003E5F09"/>
    <w:rsid w:val="003E613D"/>
    <w:rsid w:val="003E6559"/>
    <w:rsid w:val="003E781E"/>
    <w:rsid w:val="003E7B13"/>
    <w:rsid w:val="003F0C65"/>
    <w:rsid w:val="003F0F73"/>
    <w:rsid w:val="003F13AF"/>
    <w:rsid w:val="003F13B0"/>
    <w:rsid w:val="003F1E22"/>
    <w:rsid w:val="003F1F83"/>
    <w:rsid w:val="003F23AD"/>
    <w:rsid w:val="003F3A51"/>
    <w:rsid w:val="003F3BCE"/>
    <w:rsid w:val="003F3FF4"/>
    <w:rsid w:val="003F405F"/>
    <w:rsid w:val="003F4B1D"/>
    <w:rsid w:val="003F4D02"/>
    <w:rsid w:val="003F572D"/>
    <w:rsid w:val="003F5D5F"/>
    <w:rsid w:val="003F5E91"/>
    <w:rsid w:val="003F6F21"/>
    <w:rsid w:val="003F6F29"/>
    <w:rsid w:val="003F7D73"/>
    <w:rsid w:val="004001AF"/>
    <w:rsid w:val="00401CDA"/>
    <w:rsid w:val="0040227A"/>
    <w:rsid w:val="00402C05"/>
    <w:rsid w:val="00402DDE"/>
    <w:rsid w:val="00404F59"/>
    <w:rsid w:val="00405266"/>
    <w:rsid w:val="0040583F"/>
    <w:rsid w:val="00405B8E"/>
    <w:rsid w:val="004064DA"/>
    <w:rsid w:val="0040680B"/>
    <w:rsid w:val="00406969"/>
    <w:rsid w:val="00406C55"/>
    <w:rsid w:val="00407236"/>
    <w:rsid w:val="004072A6"/>
    <w:rsid w:val="004075AE"/>
    <w:rsid w:val="004075E0"/>
    <w:rsid w:val="00407DB5"/>
    <w:rsid w:val="00410964"/>
    <w:rsid w:val="00410A35"/>
    <w:rsid w:val="004111B1"/>
    <w:rsid w:val="004113F8"/>
    <w:rsid w:val="00411503"/>
    <w:rsid w:val="00411530"/>
    <w:rsid w:val="00412530"/>
    <w:rsid w:val="0041268B"/>
    <w:rsid w:val="00412D64"/>
    <w:rsid w:val="00413112"/>
    <w:rsid w:val="004134A5"/>
    <w:rsid w:val="004140A7"/>
    <w:rsid w:val="004142CA"/>
    <w:rsid w:val="0041432B"/>
    <w:rsid w:val="00415033"/>
    <w:rsid w:val="00415559"/>
    <w:rsid w:val="004156A8"/>
    <w:rsid w:val="0041589E"/>
    <w:rsid w:val="004160FA"/>
    <w:rsid w:val="004162D6"/>
    <w:rsid w:val="00416979"/>
    <w:rsid w:val="00416DD2"/>
    <w:rsid w:val="00417C01"/>
    <w:rsid w:val="00417DC1"/>
    <w:rsid w:val="004205F8"/>
    <w:rsid w:val="00420AAC"/>
    <w:rsid w:val="00421B71"/>
    <w:rsid w:val="0042228D"/>
    <w:rsid w:val="00422A9C"/>
    <w:rsid w:val="00422AEC"/>
    <w:rsid w:val="00422BAE"/>
    <w:rsid w:val="00422BFA"/>
    <w:rsid w:val="00423352"/>
    <w:rsid w:val="00423E98"/>
    <w:rsid w:val="00423EFC"/>
    <w:rsid w:val="004246D5"/>
    <w:rsid w:val="00424749"/>
    <w:rsid w:val="00424E39"/>
    <w:rsid w:val="00425A64"/>
    <w:rsid w:val="004265ED"/>
    <w:rsid w:val="0042686B"/>
    <w:rsid w:val="00426BBE"/>
    <w:rsid w:val="00426F7F"/>
    <w:rsid w:val="004273C1"/>
    <w:rsid w:val="00427475"/>
    <w:rsid w:val="004274DC"/>
    <w:rsid w:val="004276E3"/>
    <w:rsid w:val="00430678"/>
    <w:rsid w:val="00430C3D"/>
    <w:rsid w:val="0043118A"/>
    <w:rsid w:val="00431E97"/>
    <w:rsid w:val="00432655"/>
    <w:rsid w:val="00432738"/>
    <w:rsid w:val="0043300D"/>
    <w:rsid w:val="00433D91"/>
    <w:rsid w:val="00434000"/>
    <w:rsid w:val="004345BA"/>
    <w:rsid w:val="00434A49"/>
    <w:rsid w:val="00434B69"/>
    <w:rsid w:val="00434F8D"/>
    <w:rsid w:val="00435597"/>
    <w:rsid w:val="00435990"/>
    <w:rsid w:val="00436A5A"/>
    <w:rsid w:val="00436B6D"/>
    <w:rsid w:val="00437DB4"/>
    <w:rsid w:val="00440B94"/>
    <w:rsid w:val="00440CDE"/>
    <w:rsid w:val="0044199E"/>
    <w:rsid w:val="00441AE7"/>
    <w:rsid w:val="004420CB"/>
    <w:rsid w:val="00442688"/>
    <w:rsid w:val="00442B83"/>
    <w:rsid w:val="004433C5"/>
    <w:rsid w:val="00443FF0"/>
    <w:rsid w:val="004447D7"/>
    <w:rsid w:val="00445D6C"/>
    <w:rsid w:val="00445F26"/>
    <w:rsid w:val="00445FC6"/>
    <w:rsid w:val="00446768"/>
    <w:rsid w:val="0044780B"/>
    <w:rsid w:val="00447A32"/>
    <w:rsid w:val="00447B8B"/>
    <w:rsid w:val="00447C05"/>
    <w:rsid w:val="00447E5A"/>
    <w:rsid w:val="00450349"/>
    <w:rsid w:val="00450631"/>
    <w:rsid w:val="00450872"/>
    <w:rsid w:val="0045108E"/>
    <w:rsid w:val="004510B9"/>
    <w:rsid w:val="00451102"/>
    <w:rsid w:val="00451634"/>
    <w:rsid w:val="004529B9"/>
    <w:rsid w:val="0045452F"/>
    <w:rsid w:val="004548DB"/>
    <w:rsid w:val="00454A95"/>
    <w:rsid w:val="00454FFF"/>
    <w:rsid w:val="00455CF0"/>
    <w:rsid w:val="0045756E"/>
    <w:rsid w:val="00457D61"/>
    <w:rsid w:val="00460AC2"/>
    <w:rsid w:val="00460D3A"/>
    <w:rsid w:val="00460DDF"/>
    <w:rsid w:val="0046116A"/>
    <w:rsid w:val="00461771"/>
    <w:rsid w:val="00463FAC"/>
    <w:rsid w:val="0046405D"/>
    <w:rsid w:val="0046422E"/>
    <w:rsid w:val="0046437A"/>
    <w:rsid w:val="00464E66"/>
    <w:rsid w:val="0046522E"/>
    <w:rsid w:val="0046633C"/>
    <w:rsid w:val="00466940"/>
    <w:rsid w:val="00467E7D"/>
    <w:rsid w:val="0047050C"/>
    <w:rsid w:val="00471591"/>
    <w:rsid w:val="00471BCB"/>
    <w:rsid w:val="00471CAC"/>
    <w:rsid w:val="00471D3F"/>
    <w:rsid w:val="00472EFF"/>
    <w:rsid w:val="00472F94"/>
    <w:rsid w:val="0047328E"/>
    <w:rsid w:val="004735B8"/>
    <w:rsid w:val="00473B3F"/>
    <w:rsid w:val="00474F33"/>
    <w:rsid w:val="00475A64"/>
    <w:rsid w:val="00475CAF"/>
    <w:rsid w:val="004760DA"/>
    <w:rsid w:val="00477D19"/>
    <w:rsid w:val="004803C4"/>
    <w:rsid w:val="004807CD"/>
    <w:rsid w:val="0048103D"/>
    <w:rsid w:val="0048158B"/>
    <w:rsid w:val="004817D3"/>
    <w:rsid w:val="00482981"/>
    <w:rsid w:val="0048299B"/>
    <w:rsid w:val="00483A96"/>
    <w:rsid w:val="004842D5"/>
    <w:rsid w:val="00484836"/>
    <w:rsid w:val="00484978"/>
    <w:rsid w:val="0048517E"/>
    <w:rsid w:val="00485261"/>
    <w:rsid w:val="004856C3"/>
    <w:rsid w:val="00485991"/>
    <w:rsid w:val="00485B7F"/>
    <w:rsid w:val="00486299"/>
    <w:rsid w:val="0048723E"/>
    <w:rsid w:val="004909D6"/>
    <w:rsid w:val="004918D1"/>
    <w:rsid w:val="00491ADC"/>
    <w:rsid w:val="0049202E"/>
    <w:rsid w:val="004921A3"/>
    <w:rsid w:val="00492D99"/>
    <w:rsid w:val="00492F74"/>
    <w:rsid w:val="00493086"/>
    <w:rsid w:val="00493D6A"/>
    <w:rsid w:val="004945DE"/>
    <w:rsid w:val="0049557F"/>
    <w:rsid w:val="004959F0"/>
    <w:rsid w:val="00495B0A"/>
    <w:rsid w:val="00496B61"/>
    <w:rsid w:val="00497309"/>
    <w:rsid w:val="00497828"/>
    <w:rsid w:val="004A018C"/>
    <w:rsid w:val="004A02D7"/>
    <w:rsid w:val="004A0A10"/>
    <w:rsid w:val="004A0B7B"/>
    <w:rsid w:val="004A0CC8"/>
    <w:rsid w:val="004A1000"/>
    <w:rsid w:val="004A1568"/>
    <w:rsid w:val="004A209B"/>
    <w:rsid w:val="004A2642"/>
    <w:rsid w:val="004A2C7B"/>
    <w:rsid w:val="004A2EB2"/>
    <w:rsid w:val="004A330F"/>
    <w:rsid w:val="004A3DA7"/>
    <w:rsid w:val="004A47A4"/>
    <w:rsid w:val="004A491C"/>
    <w:rsid w:val="004A535F"/>
    <w:rsid w:val="004A551A"/>
    <w:rsid w:val="004A5872"/>
    <w:rsid w:val="004A7E03"/>
    <w:rsid w:val="004B0748"/>
    <w:rsid w:val="004B0E97"/>
    <w:rsid w:val="004B126A"/>
    <w:rsid w:val="004B19E1"/>
    <w:rsid w:val="004B2101"/>
    <w:rsid w:val="004B3A2F"/>
    <w:rsid w:val="004B4534"/>
    <w:rsid w:val="004B49E5"/>
    <w:rsid w:val="004B5599"/>
    <w:rsid w:val="004B5A98"/>
    <w:rsid w:val="004B6820"/>
    <w:rsid w:val="004B68F7"/>
    <w:rsid w:val="004B691A"/>
    <w:rsid w:val="004B7392"/>
    <w:rsid w:val="004B791E"/>
    <w:rsid w:val="004C0750"/>
    <w:rsid w:val="004C0ED4"/>
    <w:rsid w:val="004C1710"/>
    <w:rsid w:val="004C202E"/>
    <w:rsid w:val="004C208E"/>
    <w:rsid w:val="004C23FB"/>
    <w:rsid w:val="004C2CAD"/>
    <w:rsid w:val="004C307B"/>
    <w:rsid w:val="004C34D6"/>
    <w:rsid w:val="004C366A"/>
    <w:rsid w:val="004C41AE"/>
    <w:rsid w:val="004C4A5D"/>
    <w:rsid w:val="004C4ADE"/>
    <w:rsid w:val="004C5100"/>
    <w:rsid w:val="004C555E"/>
    <w:rsid w:val="004C6B5C"/>
    <w:rsid w:val="004D04CB"/>
    <w:rsid w:val="004D056C"/>
    <w:rsid w:val="004D1432"/>
    <w:rsid w:val="004D2D3C"/>
    <w:rsid w:val="004D2EF0"/>
    <w:rsid w:val="004D2F09"/>
    <w:rsid w:val="004D51C0"/>
    <w:rsid w:val="004D5623"/>
    <w:rsid w:val="004D63D3"/>
    <w:rsid w:val="004D6796"/>
    <w:rsid w:val="004D6CE8"/>
    <w:rsid w:val="004D6ED9"/>
    <w:rsid w:val="004E00CF"/>
    <w:rsid w:val="004E0BA8"/>
    <w:rsid w:val="004E17DB"/>
    <w:rsid w:val="004E1939"/>
    <w:rsid w:val="004E1C7B"/>
    <w:rsid w:val="004E2C2A"/>
    <w:rsid w:val="004E2C2E"/>
    <w:rsid w:val="004E3532"/>
    <w:rsid w:val="004E38D5"/>
    <w:rsid w:val="004E395A"/>
    <w:rsid w:val="004E4B8D"/>
    <w:rsid w:val="004E4D36"/>
    <w:rsid w:val="004E5CA3"/>
    <w:rsid w:val="004E6BA0"/>
    <w:rsid w:val="004E75AF"/>
    <w:rsid w:val="004F0B57"/>
    <w:rsid w:val="004F0F4B"/>
    <w:rsid w:val="004F16A3"/>
    <w:rsid w:val="004F1EA5"/>
    <w:rsid w:val="004F32D1"/>
    <w:rsid w:val="004F3A5D"/>
    <w:rsid w:val="004F3E76"/>
    <w:rsid w:val="004F4BE0"/>
    <w:rsid w:val="004F4EC1"/>
    <w:rsid w:val="004F52E2"/>
    <w:rsid w:val="004F60D0"/>
    <w:rsid w:val="004F653F"/>
    <w:rsid w:val="00500443"/>
    <w:rsid w:val="00500588"/>
    <w:rsid w:val="005005F0"/>
    <w:rsid w:val="00500FAE"/>
    <w:rsid w:val="005017FD"/>
    <w:rsid w:val="00501BB1"/>
    <w:rsid w:val="00502490"/>
    <w:rsid w:val="00502819"/>
    <w:rsid w:val="00502E96"/>
    <w:rsid w:val="00504D8F"/>
    <w:rsid w:val="00504DC1"/>
    <w:rsid w:val="005052C8"/>
    <w:rsid w:val="00505BD7"/>
    <w:rsid w:val="005074D1"/>
    <w:rsid w:val="00507880"/>
    <w:rsid w:val="00507D91"/>
    <w:rsid w:val="00510C11"/>
    <w:rsid w:val="00511087"/>
    <w:rsid w:val="00511235"/>
    <w:rsid w:val="0051210A"/>
    <w:rsid w:val="005126CC"/>
    <w:rsid w:val="00512B0B"/>
    <w:rsid w:val="0051351F"/>
    <w:rsid w:val="005137E7"/>
    <w:rsid w:val="00514671"/>
    <w:rsid w:val="00515A8A"/>
    <w:rsid w:val="00515B68"/>
    <w:rsid w:val="005163B0"/>
    <w:rsid w:val="00516852"/>
    <w:rsid w:val="005174F6"/>
    <w:rsid w:val="00520B02"/>
    <w:rsid w:val="00522B91"/>
    <w:rsid w:val="00522B96"/>
    <w:rsid w:val="00522DD3"/>
    <w:rsid w:val="005234A5"/>
    <w:rsid w:val="00523600"/>
    <w:rsid w:val="00524D78"/>
    <w:rsid w:val="00525137"/>
    <w:rsid w:val="00525ADD"/>
    <w:rsid w:val="00526172"/>
    <w:rsid w:val="00526C37"/>
    <w:rsid w:val="00527901"/>
    <w:rsid w:val="00527A69"/>
    <w:rsid w:val="00527EDF"/>
    <w:rsid w:val="00527F01"/>
    <w:rsid w:val="00530364"/>
    <w:rsid w:val="00530CBE"/>
    <w:rsid w:val="00530E13"/>
    <w:rsid w:val="00531207"/>
    <w:rsid w:val="00531D65"/>
    <w:rsid w:val="00533419"/>
    <w:rsid w:val="005334FB"/>
    <w:rsid w:val="005340E2"/>
    <w:rsid w:val="00534362"/>
    <w:rsid w:val="005346D0"/>
    <w:rsid w:val="0053517D"/>
    <w:rsid w:val="005358F1"/>
    <w:rsid w:val="00536167"/>
    <w:rsid w:val="00536472"/>
    <w:rsid w:val="0053675C"/>
    <w:rsid w:val="00536E33"/>
    <w:rsid w:val="005371FB"/>
    <w:rsid w:val="0054061D"/>
    <w:rsid w:val="00542726"/>
    <w:rsid w:val="00542A52"/>
    <w:rsid w:val="00543309"/>
    <w:rsid w:val="00543ADF"/>
    <w:rsid w:val="00543F5D"/>
    <w:rsid w:val="005441A8"/>
    <w:rsid w:val="005444FC"/>
    <w:rsid w:val="00544D9E"/>
    <w:rsid w:val="00545769"/>
    <w:rsid w:val="00545BB7"/>
    <w:rsid w:val="005460AE"/>
    <w:rsid w:val="0054648E"/>
    <w:rsid w:val="00546885"/>
    <w:rsid w:val="00546BC5"/>
    <w:rsid w:val="005474D8"/>
    <w:rsid w:val="005478DF"/>
    <w:rsid w:val="00547DEE"/>
    <w:rsid w:val="005500EF"/>
    <w:rsid w:val="005500FA"/>
    <w:rsid w:val="0055195B"/>
    <w:rsid w:val="00551BC8"/>
    <w:rsid w:val="00551C63"/>
    <w:rsid w:val="00551EB5"/>
    <w:rsid w:val="00552081"/>
    <w:rsid w:val="00552958"/>
    <w:rsid w:val="00552D30"/>
    <w:rsid w:val="00553050"/>
    <w:rsid w:val="0055352B"/>
    <w:rsid w:val="00553B2F"/>
    <w:rsid w:val="00555936"/>
    <w:rsid w:val="00557324"/>
    <w:rsid w:val="0055743C"/>
    <w:rsid w:val="005577DB"/>
    <w:rsid w:val="00560BAC"/>
    <w:rsid w:val="00560DC7"/>
    <w:rsid w:val="0056122E"/>
    <w:rsid w:val="0056125C"/>
    <w:rsid w:val="0056134D"/>
    <w:rsid w:val="005621F6"/>
    <w:rsid w:val="005623D3"/>
    <w:rsid w:val="005627D9"/>
    <w:rsid w:val="005630A5"/>
    <w:rsid w:val="00563D23"/>
    <w:rsid w:val="00564511"/>
    <w:rsid w:val="0056485C"/>
    <w:rsid w:val="00564B20"/>
    <w:rsid w:val="00564D6D"/>
    <w:rsid w:val="00565012"/>
    <w:rsid w:val="00565726"/>
    <w:rsid w:val="00565F4E"/>
    <w:rsid w:val="00566C1E"/>
    <w:rsid w:val="00567306"/>
    <w:rsid w:val="005711E3"/>
    <w:rsid w:val="00571C42"/>
    <w:rsid w:val="00571C73"/>
    <w:rsid w:val="00571E76"/>
    <w:rsid w:val="00572074"/>
    <w:rsid w:val="005726F2"/>
    <w:rsid w:val="00572F5B"/>
    <w:rsid w:val="005736AB"/>
    <w:rsid w:val="0057386E"/>
    <w:rsid w:val="00573911"/>
    <w:rsid w:val="00573BBD"/>
    <w:rsid w:val="005747F5"/>
    <w:rsid w:val="0057494E"/>
    <w:rsid w:val="00574B6F"/>
    <w:rsid w:val="00575398"/>
    <w:rsid w:val="0057582F"/>
    <w:rsid w:val="00575901"/>
    <w:rsid w:val="005759AE"/>
    <w:rsid w:val="00575A58"/>
    <w:rsid w:val="00576A48"/>
    <w:rsid w:val="00577220"/>
    <w:rsid w:val="00577919"/>
    <w:rsid w:val="0058012E"/>
    <w:rsid w:val="0058058A"/>
    <w:rsid w:val="00580656"/>
    <w:rsid w:val="00580E4C"/>
    <w:rsid w:val="00580FF5"/>
    <w:rsid w:val="005824C2"/>
    <w:rsid w:val="005825E5"/>
    <w:rsid w:val="005828C4"/>
    <w:rsid w:val="00582C91"/>
    <w:rsid w:val="00582E47"/>
    <w:rsid w:val="0058357B"/>
    <w:rsid w:val="0058372C"/>
    <w:rsid w:val="005839BD"/>
    <w:rsid w:val="00583C4C"/>
    <w:rsid w:val="00583D51"/>
    <w:rsid w:val="005853F2"/>
    <w:rsid w:val="005864AA"/>
    <w:rsid w:val="005903E8"/>
    <w:rsid w:val="00591965"/>
    <w:rsid w:val="00591AD1"/>
    <w:rsid w:val="00592423"/>
    <w:rsid w:val="00593863"/>
    <w:rsid w:val="00594C3C"/>
    <w:rsid w:val="00595152"/>
    <w:rsid w:val="00595C54"/>
    <w:rsid w:val="00596777"/>
    <w:rsid w:val="00596E42"/>
    <w:rsid w:val="00597385"/>
    <w:rsid w:val="00597E5B"/>
    <w:rsid w:val="005A0278"/>
    <w:rsid w:val="005A08D6"/>
    <w:rsid w:val="005A0906"/>
    <w:rsid w:val="005A1F04"/>
    <w:rsid w:val="005A2BA0"/>
    <w:rsid w:val="005A2C26"/>
    <w:rsid w:val="005A3281"/>
    <w:rsid w:val="005A3F3F"/>
    <w:rsid w:val="005A4998"/>
    <w:rsid w:val="005A4DC0"/>
    <w:rsid w:val="005A4EDD"/>
    <w:rsid w:val="005A5492"/>
    <w:rsid w:val="005A56A8"/>
    <w:rsid w:val="005A5DDB"/>
    <w:rsid w:val="005A6B07"/>
    <w:rsid w:val="005A6D62"/>
    <w:rsid w:val="005A77B9"/>
    <w:rsid w:val="005A786A"/>
    <w:rsid w:val="005B01A0"/>
    <w:rsid w:val="005B1210"/>
    <w:rsid w:val="005B1D9D"/>
    <w:rsid w:val="005B1E99"/>
    <w:rsid w:val="005B2DCE"/>
    <w:rsid w:val="005B321C"/>
    <w:rsid w:val="005B37AB"/>
    <w:rsid w:val="005B3F78"/>
    <w:rsid w:val="005B46CA"/>
    <w:rsid w:val="005B4709"/>
    <w:rsid w:val="005B4A8A"/>
    <w:rsid w:val="005B4DC7"/>
    <w:rsid w:val="005B5476"/>
    <w:rsid w:val="005B5ED0"/>
    <w:rsid w:val="005B64B4"/>
    <w:rsid w:val="005C0B37"/>
    <w:rsid w:val="005C11F9"/>
    <w:rsid w:val="005C1261"/>
    <w:rsid w:val="005C18E7"/>
    <w:rsid w:val="005C1B8E"/>
    <w:rsid w:val="005C1C73"/>
    <w:rsid w:val="005C2336"/>
    <w:rsid w:val="005C318A"/>
    <w:rsid w:val="005C3A8C"/>
    <w:rsid w:val="005C3E12"/>
    <w:rsid w:val="005C40B9"/>
    <w:rsid w:val="005C4330"/>
    <w:rsid w:val="005C457F"/>
    <w:rsid w:val="005C542E"/>
    <w:rsid w:val="005C57A5"/>
    <w:rsid w:val="005C5ABF"/>
    <w:rsid w:val="005C5BD8"/>
    <w:rsid w:val="005C60C0"/>
    <w:rsid w:val="005C63A0"/>
    <w:rsid w:val="005C693F"/>
    <w:rsid w:val="005C6D16"/>
    <w:rsid w:val="005C70CF"/>
    <w:rsid w:val="005C7C0F"/>
    <w:rsid w:val="005C7C78"/>
    <w:rsid w:val="005C7FDC"/>
    <w:rsid w:val="005D0F6B"/>
    <w:rsid w:val="005D119E"/>
    <w:rsid w:val="005D160B"/>
    <w:rsid w:val="005D1EC9"/>
    <w:rsid w:val="005D2072"/>
    <w:rsid w:val="005D2CDB"/>
    <w:rsid w:val="005D4160"/>
    <w:rsid w:val="005D44B1"/>
    <w:rsid w:val="005D4C0F"/>
    <w:rsid w:val="005D5047"/>
    <w:rsid w:val="005D5200"/>
    <w:rsid w:val="005D601B"/>
    <w:rsid w:val="005D66F0"/>
    <w:rsid w:val="005D68FB"/>
    <w:rsid w:val="005D78E3"/>
    <w:rsid w:val="005E0BC3"/>
    <w:rsid w:val="005E12A6"/>
    <w:rsid w:val="005E1673"/>
    <w:rsid w:val="005E2A1D"/>
    <w:rsid w:val="005E3F06"/>
    <w:rsid w:val="005E3F23"/>
    <w:rsid w:val="005E44C8"/>
    <w:rsid w:val="005E48A1"/>
    <w:rsid w:val="005E5112"/>
    <w:rsid w:val="005E5206"/>
    <w:rsid w:val="005E7D8D"/>
    <w:rsid w:val="005F0861"/>
    <w:rsid w:val="005F0BDA"/>
    <w:rsid w:val="005F16A5"/>
    <w:rsid w:val="005F1DD4"/>
    <w:rsid w:val="005F1E48"/>
    <w:rsid w:val="005F2B02"/>
    <w:rsid w:val="005F2F7B"/>
    <w:rsid w:val="005F2FD5"/>
    <w:rsid w:val="005F4606"/>
    <w:rsid w:val="005F46AF"/>
    <w:rsid w:val="005F4A56"/>
    <w:rsid w:val="005F51D1"/>
    <w:rsid w:val="005F527A"/>
    <w:rsid w:val="005F5424"/>
    <w:rsid w:val="005F55DB"/>
    <w:rsid w:val="005F64C8"/>
    <w:rsid w:val="005F6C39"/>
    <w:rsid w:val="0060088A"/>
    <w:rsid w:val="006019AF"/>
    <w:rsid w:val="00601B40"/>
    <w:rsid w:val="00601CE3"/>
    <w:rsid w:val="00601D18"/>
    <w:rsid w:val="006042A7"/>
    <w:rsid w:val="006049FD"/>
    <w:rsid w:val="006058B0"/>
    <w:rsid w:val="00605FD3"/>
    <w:rsid w:val="006061BC"/>
    <w:rsid w:val="00606961"/>
    <w:rsid w:val="00607012"/>
    <w:rsid w:val="006075FC"/>
    <w:rsid w:val="0060777A"/>
    <w:rsid w:val="00607A06"/>
    <w:rsid w:val="00610379"/>
    <w:rsid w:val="006110BD"/>
    <w:rsid w:val="00611227"/>
    <w:rsid w:val="006115B4"/>
    <w:rsid w:val="00611B83"/>
    <w:rsid w:val="00611E0B"/>
    <w:rsid w:val="00611E75"/>
    <w:rsid w:val="00612159"/>
    <w:rsid w:val="006121B8"/>
    <w:rsid w:val="00612216"/>
    <w:rsid w:val="006122A4"/>
    <w:rsid w:val="00612D2C"/>
    <w:rsid w:val="00612EF8"/>
    <w:rsid w:val="006131C1"/>
    <w:rsid w:val="006135A4"/>
    <w:rsid w:val="00614053"/>
    <w:rsid w:val="00615426"/>
    <w:rsid w:val="006158D8"/>
    <w:rsid w:val="00615957"/>
    <w:rsid w:val="00615C26"/>
    <w:rsid w:val="006164A2"/>
    <w:rsid w:val="00616883"/>
    <w:rsid w:val="00616F80"/>
    <w:rsid w:val="00617352"/>
    <w:rsid w:val="00617DF6"/>
    <w:rsid w:val="00617E28"/>
    <w:rsid w:val="0062030D"/>
    <w:rsid w:val="00620607"/>
    <w:rsid w:val="00621733"/>
    <w:rsid w:val="00623CB1"/>
    <w:rsid w:val="00624595"/>
    <w:rsid w:val="0062663F"/>
    <w:rsid w:val="00627716"/>
    <w:rsid w:val="00627BE2"/>
    <w:rsid w:val="00627FDF"/>
    <w:rsid w:val="00630115"/>
    <w:rsid w:val="00631111"/>
    <w:rsid w:val="006333AB"/>
    <w:rsid w:val="00634557"/>
    <w:rsid w:val="00634765"/>
    <w:rsid w:val="006347D5"/>
    <w:rsid w:val="00634888"/>
    <w:rsid w:val="006357A8"/>
    <w:rsid w:val="0063789E"/>
    <w:rsid w:val="00637A07"/>
    <w:rsid w:val="00637D83"/>
    <w:rsid w:val="00640CDA"/>
    <w:rsid w:val="0064106A"/>
    <w:rsid w:val="00641702"/>
    <w:rsid w:val="00641EB6"/>
    <w:rsid w:val="00643522"/>
    <w:rsid w:val="00644D55"/>
    <w:rsid w:val="00644D8D"/>
    <w:rsid w:val="00644DBA"/>
    <w:rsid w:val="0064540E"/>
    <w:rsid w:val="00646F5C"/>
    <w:rsid w:val="006511B5"/>
    <w:rsid w:val="006511C8"/>
    <w:rsid w:val="006514C0"/>
    <w:rsid w:val="00651CB4"/>
    <w:rsid w:val="006520A5"/>
    <w:rsid w:val="006521FB"/>
    <w:rsid w:val="00652255"/>
    <w:rsid w:val="00653128"/>
    <w:rsid w:val="00653144"/>
    <w:rsid w:val="0065543A"/>
    <w:rsid w:val="00655BEF"/>
    <w:rsid w:val="00655DAC"/>
    <w:rsid w:val="006563DD"/>
    <w:rsid w:val="0065689C"/>
    <w:rsid w:val="00657809"/>
    <w:rsid w:val="00657B66"/>
    <w:rsid w:val="00657D81"/>
    <w:rsid w:val="0066025D"/>
    <w:rsid w:val="00660603"/>
    <w:rsid w:val="00660E68"/>
    <w:rsid w:val="00660EFA"/>
    <w:rsid w:val="00661347"/>
    <w:rsid w:val="0066146C"/>
    <w:rsid w:val="0066192A"/>
    <w:rsid w:val="00662006"/>
    <w:rsid w:val="00662417"/>
    <w:rsid w:val="00663305"/>
    <w:rsid w:val="00663455"/>
    <w:rsid w:val="00663982"/>
    <w:rsid w:val="00663A78"/>
    <w:rsid w:val="00663CE7"/>
    <w:rsid w:val="00664192"/>
    <w:rsid w:val="006641A1"/>
    <w:rsid w:val="00664260"/>
    <w:rsid w:val="00665E98"/>
    <w:rsid w:val="00666065"/>
    <w:rsid w:val="00666916"/>
    <w:rsid w:val="00666919"/>
    <w:rsid w:val="00666DEA"/>
    <w:rsid w:val="00667BE9"/>
    <w:rsid w:val="00667C02"/>
    <w:rsid w:val="00667F7A"/>
    <w:rsid w:val="006703D6"/>
    <w:rsid w:val="00670675"/>
    <w:rsid w:val="006710AF"/>
    <w:rsid w:val="00671AEF"/>
    <w:rsid w:val="00671E7C"/>
    <w:rsid w:val="00673585"/>
    <w:rsid w:val="006741B9"/>
    <w:rsid w:val="006741C7"/>
    <w:rsid w:val="006753D7"/>
    <w:rsid w:val="00675D5F"/>
    <w:rsid w:val="00675EA0"/>
    <w:rsid w:val="00680108"/>
    <w:rsid w:val="00680394"/>
    <w:rsid w:val="006819DF"/>
    <w:rsid w:val="00681CC3"/>
    <w:rsid w:val="0068457D"/>
    <w:rsid w:val="006853A0"/>
    <w:rsid w:val="006860D5"/>
    <w:rsid w:val="0068625E"/>
    <w:rsid w:val="00686505"/>
    <w:rsid w:val="006866D5"/>
    <w:rsid w:val="00686B4C"/>
    <w:rsid w:val="00686CA2"/>
    <w:rsid w:val="00687DF1"/>
    <w:rsid w:val="0069001A"/>
    <w:rsid w:val="006920D8"/>
    <w:rsid w:val="00692310"/>
    <w:rsid w:val="00692DB1"/>
    <w:rsid w:val="00692F24"/>
    <w:rsid w:val="00694FE9"/>
    <w:rsid w:val="00695145"/>
    <w:rsid w:val="00695587"/>
    <w:rsid w:val="00696043"/>
    <w:rsid w:val="0069607C"/>
    <w:rsid w:val="006A07DA"/>
    <w:rsid w:val="006A2BA5"/>
    <w:rsid w:val="006A3E8C"/>
    <w:rsid w:val="006A4429"/>
    <w:rsid w:val="006A444C"/>
    <w:rsid w:val="006A46BD"/>
    <w:rsid w:val="006A5CE7"/>
    <w:rsid w:val="006A6FFE"/>
    <w:rsid w:val="006A70EF"/>
    <w:rsid w:val="006A731A"/>
    <w:rsid w:val="006A76CA"/>
    <w:rsid w:val="006A77ED"/>
    <w:rsid w:val="006A78C8"/>
    <w:rsid w:val="006B0D08"/>
    <w:rsid w:val="006B1203"/>
    <w:rsid w:val="006B143F"/>
    <w:rsid w:val="006B281D"/>
    <w:rsid w:val="006B2AEB"/>
    <w:rsid w:val="006B2E73"/>
    <w:rsid w:val="006B3294"/>
    <w:rsid w:val="006B3423"/>
    <w:rsid w:val="006B3500"/>
    <w:rsid w:val="006B3A68"/>
    <w:rsid w:val="006B3D48"/>
    <w:rsid w:val="006B41CE"/>
    <w:rsid w:val="006B43DD"/>
    <w:rsid w:val="006B59DA"/>
    <w:rsid w:val="006B5B9D"/>
    <w:rsid w:val="006B6804"/>
    <w:rsid w:val="006B6AF6"/>
    <w:rsid w:val="006B7902"/>
    <w:rsid w:val="006C0594"/>
    <w:rsid w:val="006C161C"/>
    <w:rsid w:val="006C2547"/>
    <w:rsid w:val="006C2A26"/>
    <w:rsid w:val="006C2C5F"/>
    <w:rsid w:val="006C2DDA"/>
    <w:rsid w:val="006C3297"/>
    <w:rsid w:val="006C37A5"/>
    <w:rsid w:val="006C389D"/>
    <w:rsid w:val="006C467D"/>
    <w:rsid w:val="006C5906"/>
    <w:rsid w:val="006C6517"/>
    <w:rsid w:val="006C6B94"/>
    <w:rsid w:val="006C6DD2"/>
    <w:rsid w:val="006C75A6"/>
    <w:rsid w:val="006C7824"/>
    <w:rsid w:val="006C79D8"/>
    <w:rsid w:val="006C7C00"/>
    <w:rsid w:val="006D07A6"/>
    <w:rsid w:val="006D0914"/>
    <w:rsid w:val="006D0996"/>
    <w:rsid w:val="006D0FF1"/>
    <w:rsid w:val="006D1105"/>
    <w:rsid w:val="006D150D"/>
    <w:rsid w:val="006D1C78"/>
    <w:rsid w:val="006D1F80"/>
    <w:rsid w:val="006D25B7"/>
    <w:rsid w:val="006D2A74"/>
    <w:rsid w:val="006D3817"/>
    <w:rsid w:val="006D3EFE"/>
    <w:rsid w:val="006D40BB"/>
    <w:rsid w:val="006D45D9"/>
    <w:rsid w:val="006D53B5"/>
    <w:rsid w:val="006D636B"/>
    <w:rsid w:val="006D641B"/>
    <w:rsid w:val="006D6560"/>
    <w:rsid w:val="006D6C28"/>
    <w:rsid w:val="006D7580"/>
    <w:rsid w:val="006D7645"/>
    <w:rsid w:val="006D7C06"/>
    <w:rsid w:val="006D7FBC"/>
    <w:rsid w:val="006E061F"/>
    <w:rsid w:val="006E0E6D"/>
    <w:rsid w:val="006E233A"/>
    <w:rsid w:val="006E2F7D"/>
    <w:rsid w:val="006E2FC2"/>
    <w:rsid w:val="006E300A"/>
    <w:rsid w:val="006E47A4"/>
    <w:rsid w:val="006E4F6E"/>
    <w:rsid w:val="006E5447"/>
    <w:rsid w:val="006E5C1A"/>
    <w:rsid w:val="006E5DD1"/>
    <w:rsid w:val="006E6C2B"/>
    <w:rsid w:val="006E6CA3"/>
    <w:rsid w:val="006E751A"/>
    <w:rsid w:val="006F074E"/>
    <w:rsid w:val="006F077A"/>
    <w:rsid w:val="006F08A0"/>
    <w:rsid w:val="006F09DE"/>
    <w:rsid w:val="006F0AC7"/>
    <w:rsid w:val="006F104C"/>
    <w:rsid w:val="006F18B8"/>
    <w:rsid w:val="006F221F"/>
    <w:rsid w:val="006F2909"/>
    <w:rsid w:val="006F2B36"/>
    <w:rsid w:val="006F37B2"/>
    <w:rsid w:val="006F56F8"/>
    <w:rsid w:val="006F5795"/>
    <w:rsid w:val="006F5830"/>
    <w:rsid w:val="006F5D83"/>
    <w:rsid w:val="006F5EAE"/>
    <w:rsid w:val="006F62DE"/>
    <w:rsid w:val="006F6718"/>
    <w:rsid w:val="006F693F"/>
    <w:rsid w:val="006F744D"/>
    <w:rsid w:val="006F7FCC"/>
    <w:rsid w:val="0070009F"/>
    <w:rsid w:val="00702460"/>
    <w:rsid w:val="00702B7B"/>
    <w:rsid w:val="00702C95"/>
    <w:rsid w:val="0070350C"/>
    <w:rsid w:val="0070367B"/>
    <w:rsid w:val="007045DA"/>
    <w:rsid w:val="00705BCC"/>
    <w:rsid w:val="00706842"/>
    <w:rsid w:val="007075A1"/>
    <w:rsid w:val="0071047E"/>
    <w:rsid w:val="007118F5"/>
    <w:rsid w:val="00711BAD"/>
    <w:rsid w:val="00711F9A"/>
    <w:rsid w:val="007126B5"/>
    <w:rsid w:val="0071364A"/>
    <w:rsid w:val="00714090"/>
    <w:rsid w:val="00714288"/>
    <w:rsid w:val="00714B7D"/>
    <w:rsid w:val="00714D09"/>
    <w:rsid w:val="0071590E"/>
    <w:rsid w:val="00715C83"/>
    <w:rsid w:val="00715E96"/>
    <w:rsid w:val="00716DDF"/>
    <w:rsid w:val="00720176"/>
    <w:rsid w:val="0072033A"/>
    <w:rsid w:val="00721B97"/>
    <w:rsid w:val="00721BB5"/>
    <w:rsid w:val="00722168"/>
    <w:rsid w:val="00722912"/>
    <w:rsid w:val="00722C56"/>
    <w:rsid w:val="00722D1C"/>
    <w:rsid w:val="00723C53"/>
    <w:rsid w:val="00724A23"/>
    <w:rsid w:val="007256C2"/>
    <w:rsid w:val="007268B4"/>
    <w:rsid w:val="00726EF3"/>
    <w:rsid w:val="00727440"/>
    <w:rsid w:val="007277FD"/>
    <w:rsid w:val="007300B3"/>
    <w:rsid w:val="007311B7"/>
    <w:rsid w:val="0073372B"/>
    <w:rsid w:val="00733C58"/>
    <w:rsid w:val="00733CA0"/>
    <w:rsid w:val="007342AC"/>
    <w:rsid w:val="00734AA9"/>
    <w:rsid w:val="00734FD6"/>
    <w:rsid w:val="00735CDE"/>
    <w:rsid w:val="0073679F"/>
    <w:rsid w:val="00737575"/>
    <w:rsid w:val="00737688"/>
    <w:rsid w:val="0074020A"/>
    <w:rsid w:val="007404AB"/>
    <w:rsid w:val="00740F0A"/>
    <w:rsid w:val="007410B5"/>
    <w:rsid w:val="00741109"/>
    <w:rsid w:val="00741266"/>
    <w:rsid w:val="007415AA"/>
    <w:rsid w:val="00741655"/>
    <w:rsid w:val="00742833"/>
    <w:rsid w:val="00743184"/>
    <w:rsid w:val="00744798"/>
    <w:rsid w:val="00744DDA"/>
    <w:rsid w:val="00744EAA"/>
    <w:rsid w:val="00744FFC"/>
    <w:rsid w:val="007450FA"/>
    <w:rsid w:val="007452F6"/>
    <w:rsid w:val="007459B3"/>
    <w:rsid w:val="00745B43"/>
    <w:rsid w:val="00746083"/>
    <w:rsid w:val="007503FD"/>
    <w:rsid w:val="007508EF"/>
    <w:rsid w:val="007518BB"/>
    <w:rsid w:val="0075284E"/>
    <w:rsid w:val="00752C18"/>
    <w:rsid w:val="007540B3"/>
    <w:rsid w:val="00754BF7"/>
    <w:rsid w:val="00754C32"/>
    <w:rsid w:val="00755933"/>
    <w:rsid w:val="007564A8"/>
    <w:rsid w:val="00757578"/>
    <w:rsid w:val="00757E33"/>
    <w:rsid w:val="00760339"/>
    <w:rsid w:val="00760904"/>
    <w:rsid w:val="00760BC3"/>
    <w:rsid w:val="00761F38"/>
    <w:rsid w:val="00762103"/>
    <w:rsid w:val="00762B58"/>
    <w:rsid w:val="00763314"/>
    <w:rsid w:val="00763C45"/>
    <w:rsid w:val="007640BF"/>
    <w:rsid w:val="00764DD6"/>
    <w:rsid w:val="00764E8F"/>
    <w:rsid w:val="00764EC0"/>
    <w:rsid w:val="007653CE"/>
    <w:rsid w:val="007655D5"/>
    <w:rsid w:val="00766016"/>
    <w:rsid w:val="007661C4"/>
    <w:rsid w:val="00766AF9"/>
    <w:rsid w:val="00766FD0"/>
    <w:rsid w:val="007679A3"/>
    <w:rsid w:val="00767D85"/>
    <w:rsid w:val="007700CC"/>
    <w:rsid w:val="007703F3"/>
    <w:rsid w:val="00770A08"/>
    <w:rsid w:val="00770A19"/>
    <w:rsid w:val="00770FAD"/>
    <w:rsid w:val="00771D43"/>
    <w:rsid w:val="00771D60"/>
    <w:rsid w:val="00772238"/>
    <w:rsid w:val="007725A6"/>
    <w:rsid w:val="00772E0B"/>
    <w:rsid w:val="00772E38"/>
    <w:rsid w:val="00773644"/>
    <w:rsid w:val="00773810"/>
    <w:rsid w:val="007740B3"/>
    <w:rsid w:val="0077437E"/>
    <w:rsid w:val="0077466A"/>
    <w:rsid w:val="00775CB4"/>
    <w:rsid w:val="007761EF"/>
    <w:rsid w:val="00776F65"/>
    <w:rsid w:val="0077710F"/>
    <w:rsid w:val="00777BBF"/>
    <w:rsid w:val="00777BC1"/>
    <w:rsid w:val="00780245"/>
    <w:rsid w:val="007807EE"/>
    <w:rsid w:val="00781296"/>
    <w:rsid w:val="0078143B"/>
    <w:rsid w:val="00781B04"/>
    <w:rsid w:val="00781BFA"/>
    <w:rsid w:val="00781FF0"/>
    <w:rsid w:val="00782294"/>
    <w:rsid w:val="007835EC"/>
    <w:rsid w:val="00783867"/>
    <w:rsid w:val="00783A36"/>
    <w:rsid w:val="00783D99"/>
    <w:rsid w:val="00785407"/>
    <w:rsid w:val="007857C3"/>
    <w:rsid w:val="00785DC6"/>
    <w:rsid w:val="007864AD"/>
    <w:rsid w:val="00786D86"/>
    <w:rsid w:val="00787737"/>
    <w:rsid w:val="007878AD"/>
    <w:rsid w:val="007902C4"/>
    <w:rsid w:val="00790729"/>
    <w:rsid w:val="00790C7C"/>
    <w:rsid w:val="00790EB7"/>
    <w:rsid w:val="007914F9"/>
    <w:rsid w:val="007922AE"/>
    <w:rsid w:val="00792F23"/>
    <w:rsid w:val="00794027"/>
    <w:rsid w:val="007945EE"/>
    <w:rsid w:val="0079468C"/>
    <w:rsid w:val="00797BFF"/>
    <w:rsid w:val="00797E05"/>
    <w:rsid w:val="00797EB5"/>
    <w:rsid w:val="007A16D4"/>
    <w:rsid w:val="007A197E"/>
    <w:rsid w:val="007A1AC2"/>
    <w:rsid w:val="007A1DD7"/>
    <w:rsid w:val="007A26E8"/>
    <w:rsid w:val="007A3CC3"/>
    <w:rsid w:val="007A4125"/>
    <w:rsid w:val="007A422C"/>
    <w:rsid w:val="007A42B1"/>
    <w:rsid w:val="007A4BDF"/>
    <w:rsid w:val="007A557B"/>
    <w:rsid w:val="007A626B"/>
    <w:rsid w:val="007A64A6"/>
    <w:rsid w:val="007A6B41"/>
    <w:rsid w:val="007A75E7"/>
    <w:rsid w:val="007B03F8"/>
    <w:rsid w:val="007B0408"/>
    <w:rsid w:val="007B0580"/>
    <w:rsid w:val="007B0697"/>
    <w:rsid w:val="007B0FA6"/>
    <w:rsid w:val="007B13D3"/>
    <w:rsid w:val="007B1A22"/>
    <w:rsid w:val="007B22E0"/>
    <w:rsid w:val="007B24AF"/>
    <w:rsid w:val="007B2977"/>
    <w:rsid w:val="007B2A58"/>
    <w:rsid w:val="007B2ABC"/>
    <w:rsid w:val="007B2F3A"/>
    <w:rsid w:val="007B4842"/>
    <w:rsid w:val="007B49B0"/>
    <w:rsid w:val="007B5658"/>
    <w:rsid w:val="007B5A3A"/>
    <w:rsid w:val="007B60F6"/>
    <w:rsid w:val="007B6205"/>
    <w:rsid w:val="007B6326"/>
    <w:rsid w:val="007B6AD2"/>
    <w:rsid w:val="007B6DAD"/>
    <w:rsid w:val="007B76E9"/>
    <w:rsid w:val="007B7BFB"/>
    <w:rsid w:val="007C02EC"/>
    <w:rsid w:val="007C070F"/>
    <w:rsid w:val="007C0BE7"/>
    <w:rsid w:val="007C19E4"/>
    <w:rsid w:val="007C1A00"/>
    <w:rsid w:val="007C20D3"/>
    <w:rsid w:val="007C20DF"/>
    <w:rsid w:val="007C2E8B"/>
    <w:rsid w:val="007C3001"/>
    <w:rsid w:val="007C39E8"/>
    <w:rsid w:val="007C4084"/>
    <w:rsid w:val="007C43B0"/>
    <w:rsid w:val="007C5A1B"/>
    <w:rsid w:val="007C698E"/>
    <w:rsid w:val="007C7586"/>
    <w:rsid w:val="007D0C90"/>
    <w:rsid w:val="007D1C5D"/>
    <w:rsid w:val="007D2781"/>
    <w:rsid w:val="007D2FD7"/>
    <w:rsid w:val="007D397F"/>
    <w:rsid w:val="007D39A9"/>
    <w:rsid w:val="007D4FAF"/>
    <w:rsid w:val="007D5113"/>
    <w:rsid w:val="007D5601"/>
    <w:rsid w:val="007D56DD"/>
    <w:rsid w:val="007D5E22"/>
    <w:rsid w:val="007D708E"/>
    <w:rsid w:val="007D7588"/>
    <w:rsid w:val="007D795A"/>
    <w:rsid w:val="007D7A84"/>
    <w:rsid w:val="007E04F5"/>
    <w:rsid w:val="007E0B12"/>
    <w:rsid w:val="007E1A7E"/>
    <w:rsid w:val="007E2099"/>
    <w:rsid w:val="007E2439"/>
    <w:rsid w:val="007E24C4"/>
    <w:rsid w:val="007E3740"/>
    <w:rsid w:val="007E3B0E"/>
    <w:rsid w:val="007E4BBF"/>
    <w:rsid w:val="007E5780"/>
    <w:rsid w:val="007E5A95"/>
    <w:rsid w:val="007E68FB"/>
    <w:rsid w:val="007F04B4"/>
    <w:rsid w:val="007F095D"/>
    <w:rsid w:val="007F0CB2"/>
    <w:rsid w:val="007F1C5C"/>
    <w:rsid w:val="007F27FE"/>
    <w:rsid w:val="007F3D1E"/>
    <w:rsid w:val="007F580C"/>
    <w:rsid w:val="007F5BC1"/>
    <w:rsid w:val="007F5F5E"/>
    <w:rsid w:val="007F69DD"/>
    <w:rsid w:val="007F7DCB"/>
    <w:rsid w:val="00800664"/>
    <w:rsid w:val="00800946"/>
    <w:rsid w:val="00800A12"/>
    <w:rsid w:val="00800DC5"/>
    <w:rsid w:val="00800E80"/>
    <w:rsid w:val="00800FFD"/>
    <w:rsid w:val="008017A5"/>
    <w:rsid w:val="00801971"/>
    <w:rsid w:val="00802B4E"/>
    <w:rsid w:val="00802D3A"/>
    <w:rsid w:val="008033FF"/>
    <w:rsid w:val="0080380E"/>
    <w:rsid w:val="00803A97"/>
    <w:rsid w:val="00803D6C"/>
    <w:rsid w:val="00803F90"/>
    <w:rsid w:val="00804D79"/>
    <w:rsid w:val="00805493"/>
    <w:rsid w:val="008057AF"/>
    <w:rsid w:val="00805C57"/>
    <w:rsid w:val="008064AA"/>
    <w:rsid w:val="0080664E"/>
    <w:rsid w:val="00807410"/>
    <w:rsid w:val="00811525"/>
    <w:rsid w:val="008117C7"/>
    <w:rsid w:val="00811992"/>
    <w:rsid w:val="008127B0"/>
    <w:rsid w:val="008130CC"/>
    <w:rsid w:val="0081311F"/>
    <w:rsid w:val="0081341D"/>
    <w:rsid w:val="00813C5F"/>
    <w:rsid w:val="00813EE1"/>
    <w:rsid w:val="0081409B"/>
    <w:rsid w:val="0081422A"/>
    <w:rsid w:val="008142FD"/>
    <w:rsid w:val="008153AB"/>
    <w:rsid w:val="008155B3"/>
    <w:rsid w:val="0081560D"/>
    <w:rsid w:val="00816445"/>
    <w:rsid w:val="008166EC"/>
    <w:rsid w:val="00816D02"/>
    <w:rsid w:val="00817F11"/>
    <w:rsid w:val="00820355"/>
    <w:rsid w:val="008206F2"/>
    <w:rsid w:val="00822653"/>
    <w:rsid w:val="0082398E"/>
    <w:rsid w:val="008239EF"/>
    <w:rsid w:val="00823D24"/>
    <w:rsid w:val="00824B92"/>
    <w:rsid w:val="0082569D"/>
    <w:rsid w:val="00825A25"/>
    <w:rsid w:val="008267AF"/>
    <w:rsid w:val="008269A5"/>
    <w:rsid w:val="00827A2D"/>
    <w:rsid w:val="00827CDD"/>
    <w:rsid w:val="00827CEC"/>
    <w:rsid w:val="008305C1"/>
    <w:rsid w:val="00830A3A"/>
    <w:rsid w:val="00830B49"/>
    <w:rsid w:val="008310E2"/>
    <w:rsid w:val="008334AD"/>
    <w:rsid w:val="0083382D"/>
    <w:rsid w:val="008338D4"/>
    <w:rsid w:val="00833E2F"/>
    <w:rsid w:val="00834245"/>
    <w:rsid w:val="00834BAE"/>
    <w:rsid w:val="008357C9"/>
    <w:rsid w:val="0083643F"/>
    <w:rsid w:val="00837E70"/>
    <w:rsid w:val="00840261"/>
    <w:rsid w:val="00840425"/>
    <w:rsid w:val="00840A3B"/>
    <w:rsid w:val="00840D3D"/>
    <w:rsid w:val="008432EA"/>
    <w:rsid w:val="00843597"/>
    <w:rsid w:val="008436AC"/>
    <w:rsid w:val="0084379D"/>
    <w:rsid w:val="00845027"/>
    <w:rsid w:val="008451A6"/>
    <w:rsid w:val="00845CDE"/>
    <w:rsid w:val="008464ED"/>
    <w:rsid w:val="00846C28"/>
    <w:rsid w:val="008475EF"/>
    <w:rsid w:val="00850677"/>
    <w:rsid w:val="00850BC5"/>
    <w:rsid w:val="0085120F"/>
    <w:rsid w:val="008515F7"/>
    <w:rsid w:val="00851BC0"/>
    <w:rsid w:val="00852209"/>
    <w:rsid w:val="008528FB"/>
    <w:rsid w:val="00852AD7"/>
    <w:rsid w:val="00852F77"/>
    <w:rsid w:val="008535EF"/>
    <w:rsid w:val="0085388B"/>
    <w:rsid w:val="00853E00"/>
    <w:rsid w:val="0085514A"/>
    <w:rsid w:val="00855197"/>
    <w:rsid w:val="008558D9"/>
    <w:rsid w:val="0085596B"/>
    <w:rsid w:val="0085688A"/>
    <w:rsid w:val="00856F9C"/>
    <w:rsid w:val="008571CC"/>
    <w:rsid w:val="00857D09"/>
    <w:rsid w:val="00857EA3"/>
    <w:rsid w:val="00860525"/>
    <w:rsid w:val="00860D28"/>
    <w:rsid w:val="008611AB"/>
    <w:rsid w:val="00861C82"/>
    <w:rsid w:val="00861F78"/>
    <w:rsid w:val="00862D9F"/>
    <w:rsid w:val="00863139"/>
    <w:rsid w:val="008636BA"/>
    <w:rsid w:val="00864DBB"/>
    <w:rsid w:val="00864FE5"/>
    <w:rsid w:val="0086528B"/>
    <w:rsid w:val="00865F18"/>
    <w:rsid w:val="00866098"/>
    <w:rsid w:val="00866170"/>
    <w:rsid w:val="00866739"/>
    <w:rsid w:val="00866B6C"/>
    <w:rsid w:val="00866CE7"/>
    <w:rsid w:val="008679A3"/>
    <w:rsid w:val="00867A3B"/>
    <w:rsid w:val="00867CC4"/>
    <w:rsid w:val="00867F4D"/>
    <w:rsid w:val="008703F3"/>
    <w:rsid w:val="008704CE"/>
    <w:rsid w:val="00871E58"/>
    <w:rsid w:val="0087263D"/>
    <w:rsid w:val="00872743"/>
    <w:rsid w:val="00874444"/>
    <w:rsid w:val="00874D6C"/>
    <w:rsid w:val="008755F7"/>
    <w:rsid w:val="00876456"/>
    <w:rsid w:val="0087687A"/>
    <w:rsid w:val="00876E45"/>
    <w:rsid w:val="0087720D"/>
    <w:rsid w:val="00877844"/>
    <w:rsid w:val="00877E8A"/>
    <w:rsid w:val="008806EA"/>
    <w:rsid w:val="00880A8F"/>
    <w:rsid w:val="008814BF"/>
    <w:rsid w:val="00881A9D"/>
    <w:rsid w:val="008828C5"/>
    <w:rsid w:val="008845D8"/>
    <w:rsid w:val="00884A2F"/>
    <w:rsid w:val="00884CF6"/>
    <w:rsid w:val="0088532E"/>
    <w:rsid w:val="00885D29"/>
    <w:rsid w:val="00885D99"/>
    <w:rsid w:val="00885F4D"/>
    <w:rsid w:val="008868A4"/>
    <w:rsid w:val="00886A0F"/>
    <w:rsid w:val="00887029"/>
    <w:rsid w:val="008871EF"/>
    <w:rsid w:val="008876C8"/>
    <w:rsid w:val="00890C4E"/>
    <w:rsid w:val="00890EEA"/>
    <w:rsid w:val="00891090"/>
    <w:rsid w:val="008922B4"/>
    <w:rsid w:val="00892371"/>
    <w:rsid w:val="00892746"/>
    <w:rsid w:val="008927C4"/>
    <w:rsid w:val="00892F15"/>
    <w:rsid w:val="0089420A"/>
    <w:rsid w:val="008943DD"/>
    <w:rsid w:val="00894D59"/>
    <w:rsid w:val="0089571A"/>
    <w:rsid w:val="0089584C"/>
    <w:rsid w:val="008965C0"/>
    <w:rsid w:val="00896A9F"/>
    <w:rsid w:val="00896F7F"/>
    <w:rsid w:val="008A01B6"/>
    <w:rsid w:val="008A0356"/>
    <w:rsid w:val="008A0441"/>
    <w:rsid w:val="008A079B"/>
    <w:rsid w:val="008A1521"/>
    <w:rsid w:val="008A1583"/>
    <w:rsid w:val="008A21B5"/>
    <w:rsid w:val="008A277F"/>
    <w:rsid w:val="008A335E"/>
    <w:rsid w:val="008A3AA6"/>
    <w:rsid w:val="008A3C10"/>
    <w:rsid w:val="008A44C2"/>
    <w:rsid w:val="008A5377"/>
    <w:rsid w:val="008A5ADD"/>
    <w:rsid w:val="008A5D0B"/>
    <w:rsid w:val="008A5DB5"/>
    <w:rsid w:val="008A5F3A"/>
    <w:rsid w:val="008A61C3"/>
    <w:rsid w:val="008A7B0D"/>
    <w:rsid w:val="008A7F0E"/>
    <w:rsid w:val="008B0268"/>
    <w:rsid w:val="008B02D5"/>
    <w:rsid w:val="008B076E"/>
    <w:rsid w:val="008B1141"/>
    <w:rsid w:val="008B151F"/>
    <w:rsid w:val="008B18C9"/>
    <w:rsid w:val="008B1C5F"/>
    <w:rsid w:val="008B1EE7"/>
    <w:rsid w:val="008B2145"/>
    <w:rsid w:val="008B2F2C"/>
    <w:rsid w:val="008B304C"/>
    <w:rsid w:val="008B3CFB"/>
    <w:rsid w:val="008B4686"/>
    <w:rsid w:val="008B58DB"/>
    <w:rsid w:val="008B6A12"/>
    <w:rsid w:val="008B726F"/>
    <w:rsid w:val="008B7292"/>
    <w:rsid w:val="008B72B5"/>
    <w:rsid w:val="008B7435"/>
    <w:rsid w:val="008B7BEC"/>
    <w:rsid w:val="008B7DF3"/>
    <w:rsid w:val="008C0E43"/>
    <w:rsid w:val="008C16C0"/>
    <w:rsid w:val="008C30C8"/>
    <w:rsid w:val="008C37D7"/>
    <w:rsid w:val="008C4664"/>
    <w:rsid w:val="008C478E"/>
    <w:rsid w:val="008C5B4B"/>
    <w:rsid w:val="008C6B81"/>
    <w:rsid w:val="008C74FC"/>
    <w:rsid w:val="008C756D"/>
    <w:rsid w:val="008C7761"/>
    <w:rsid w:val="008C77A8"/>
    <w:rsid w:val="008C7F7E"/>
    <w:rsid w:val="008D0225"/>
    <w:rsid w:val="008D10E6"/>
    <w:rsid w:val="008D21BE"/>
    <w:rsid w:val="008D3618"/>
    <w:rsid w:val="008D4052"/>
    <w:rsid w:val="008D4A28"/>
    <w:rsid w:val="008D5041"/>
    <w:rsid w:val="008D5530"/>
    <w:rsid w:val="008D5BCB"/>
    <w:rsid w:val="008D5D77"/>
    <w:rsid w:val="008D5D91"/>
    <w:rsid w:val="008D5EED"/>
    <w:rsid w:val="008D604E"/>
    <w:rsid w:val="008D6512"/>
    <w:rsid w:val="008D6A1C"/>
    <w:rsid w:val="008D6DAF"/>
    <w:rsid w:val="008D712A"/>
    <w:rsid w:val="008E11F4"/>
    <w:rsid w:val="008E12DD"/>
    <w:rsid w:val="008E1562"/>
    <w:rsid w:val="008E1B53"/>
    <w:rsid w:val="008E1D22"/>
    <w:rsid w:val="008E1EA4"/>
    <w:rsid w:val="008E21E1"/>
    <w:rsid w:val="008E2307"/>
    <w:rsid w:val="008E318D"/>
    <w:rsid w:val="008E33AE"/>
    <w:rsid w:val="008E3D83"/>
    <w:rsid w:val="008E4B9C"/>
    <w:rsid w:val="008E4E99"/>
    <w:rsid w:val="008E6052"/>
    <w:rsid w:val="008E6613"/>
    <w:rsid w:val="008E699C"/>
    <w:rsid w:val="008F067F"/>
    <w:rsid w:val="008F0BD8"/>
    <w:rsid w:val="008F106B"/>
    <w:rsid w:val="008F27B8"/>
    <w:rsid w:val="008F305F"/>
    <w:rsid w:val="008F3164"/>
    <w:rsid w:val="008F3A6D"/>
    <w:rsid w:val="008F3B0B"/>
    <w:rsid w:val="008F4110"/>
    <w:rsid w:val="008F4508"/>
    <w:rsid w:val="008F4EFB"/>
    <w:rsid w:val="008F53A5"/>
    <w:rsid w:val="008F62C8"/>
    <w:rsid w:val="008F6664"/>
    <w:rsid w:val="008F70DE"/>
    <w:rsid w:val="008F76F1"/>
    <w:rsid w:val="008F7821"/>
    <w:rsid w:val="00900081"/>
    <w:rsid w:val="0090041C"/>
    <w:rsid w:val="00900CF1"/>
    <w:rsid w:val="00900D5D"/>
    <w:rsid w:val="00900DB2"/>
    <w:rsid w:val="00901415"/>
    <w:rsid w:val="009015A6"/>
    <w:rsid w:val="0090190C"/>
    <w:rsid w:val="00901D22"/>
    <w:rsid w:val="009020D2"/>
    <w:rsid w:val="00902BBC"/>
    <w:rsid w:val="009032AB"/>
    <w:rsid w:val="009040E0"/>
    <w:rsid w:val="00904680"/>
    <w:rsid w:val="0090495A"/>
    <w:rsid w:val="00904CD7"/>
    <w:rsid w:val="00905060"/>
    <w:rsid w:val="0090538F"/>
    <w:rsid w:val="00905A7E"/>
    <w:rsid w:val="00905C0C"/>
    <w:rsid w:val="00905FB0"/>
    <w:rsid w:val="00906212"/>
    <w:rsid w:val="0090647A"/>
    <w:rsid w:val="00907020"/>
    <w:rsid w:val="00907154"/>
    <w:rsid w:val="009079E1"/>
    <w:rsid w:val="00910064"/>
    <w:rsid w:val="00910265"/>
    <w:rsid w:val="009107EC"/>
    <w:rsid w:val="00911516"/>
    <w:rsid w:val="00911667"/>
    <w:rsid w:val="009121BF"/>
    <w:rsid w:val="0091230C"/>
    <w:rsid w:val="00912389"/>
    <w:rsid w:val="0091334B"/>
    <w:rsid w:val="00914944"/>
    <w:rsid w:val="00914B05"/>
    <w:rsid w:val="00914E32"/>
    <w:rsid w:val="0091638A"/>
    <w:rsid w:val="00916586"/>
    <w:rsid w:val="009169AE"/>
    <w:rsid w:val="00916D77"/>
    <w:rsid w:val="00917EF0"/>
    <w:rsid w:val="00920F71"/>
    <w:rsid w:val="009217FC"/>
    <w:rsid w:val="00921F6F"/>
    <w:rsid w:val="0092222C"/>
    <w:rsid w:val="009230A0"/>
    <w:rsid w:val="00923C7F"/>
    <w:rsid w:val="00924A74"/>
    <w:rsid w:val="00924C36"/>
    <w:rsid w:val="00924D3A"/>
    <w:rsid w:val="0092510D"/>
    <w:rsid w:val="00925D3C"/>
    <w:rsid w:val="00927071"/>
    <w:rsid w:val="00927FEA"/>
    <w:rsid w:val="009308D9"/>
    <w:rsid w:val="00931C93"/>
    <w:rsid w:val="00931CBA"/>
    <w:rsid w:val="00932B26"/>
    <w:rsid w:val="00932C4B"/>
    <w:rsid w:val="00932CB5"/>
    <w:rsid w:val="00933A9F"/>
    <w:rsid w:val="00935172"/>
    <w:rsid w:val="00935236"/>
    <w:rsid w:val="00935BB4"/>
    <w:rsid w:val="00936E53"/>
    <w:rsid w:val="00937508"/>
    <w:rsid w:val="0093767B"/>
    <w:rsid w:val="0093784B"/>
    <w:rsid w:val="009378DD"/>
    <w:rsid w:val="00940063"/>
    <w:rsid w:val="009406C9"/>
    <w:rsid w:val="00940793"/>
    <w:rsid w:val="009437F3"/>
    <w:rsid w:val="00943EA3"/>
    <w:rsid w:val="00943F9A"/>
    <w:rsid w:val="00944E9A"/>
    <w:rsid w:val="00945C1A"/>
    <w:rsid w:val="0094638E"/>
    <w:rsid w:val="00946C42"/>
    <w:rsid w:val="009476E2"/>
    <w:rsid w:val="00950287"/>
    <w:rsid w:val="009502AB"/>
    <w:rsid w:val="00950648"/>
    <w:rsid w:val="0095198C"/>
    <w:rsid w:val="00951A87"/>
    <w:rsid w:val="009521F9"/>
    <w:rsid w:val="00952828"/>
    <w:rsid w:val="00952C69"/>
    <w:rsid w:val="00952C85"/>
    <w:rsid w:val="00953CF6"/>
    <w:rsid w:val="00953F57"/>
    <w:rsid w:val="00954192"/>
    <w:rsid w:val="00954546"/>
    <w:rsid w:val="0095483A"/>
    <w:rsid w:val="0095583A"/>
    <w:rsid w:val="0095584E"/>
    <w:rsid w:val="00955958"/>
    <w:rsid w:val="00956444"/>
    <w:rsid w:val="00956509"/>
    <w:rsid w:val="00956879"/>
    <w:rsid w:val="00956916"/>
    <w:rsid w:val="00956D76"/>
    <w:rsid w:val="00956FA7"/>
    <w:rsid w:val="00957BD5"/>
    <w:rsid w:val="009609BA"/>
    <w:rsid w:val="00960A80"/>
    <w:rsid w:val="0096175B"/>
    <w:rsid w:val="009619D7"/>
    <w:rsid w:val="0096234A"/>
    <w:rsid w:val="00963228"/>
    <w:rsid w:val="0096411E"/>
    <w:rsid w:val="0096427D"/>
    <w:rsid w:val="00964408"/>
    <w:rsid w:val="009649F3"/>
    <w:rsid w:val="00964C8C"/>
    <w:rsid w:val="00964CCB"/>
    <w:rsid w:val="0096576A"/>
    <w:rsid w:val="00965958"/>
    <w:rsid w:val="00965A03"/>
    <w:rsid w:val="00965D24"/>
    <w:rsid w:val="00967F56"/>
    <w:rsid w:val="0097006D"/>
    <w:rsid w:val="00970417"/>
    <w:rsid w:val="009704F1"/>
    <w:rsid w:val="009715C1"/>
    <w:rsid w:val="0097189C"/>
    <w:rsid w:val="00972298"/>
    <w:rsid w:val="00973BD5"/>
    <w:rsid w:val="00974786"/>
    <w:rsid w:val="009748B3"/>
    <w:rsid w:val="00974A75"/>
    <w:rsid w:val="00975352"/>
    <w:rsid w:val="00976DCC"/>
    <w:rsid w:val="0097733B"/>
    <w:rsid w:val="00977A6C"/>
    <w:rsid w:val="00980140"/>
    <w:rsid w:val="00980213"/>
    <w:rsid w:val="00980893"/>
    <w:rsid w:val="00980E5A"/>
    <w:rsid w:val="00980FE3"/>
    <w:rsid w:val="00981156"/>
    <w:rsid w:val="00981575"/>
    <w:rsid w:val="00982453"/>
    <w:rsid w:val="00982DE9"/>
    <w:rsid w:val="00983539"/>
    <w:rsid w:val="00983D55"/>
    <w:rsid w:val="00983E13"/>
    <w:rsid w:val="00984545"/>
    <w:rsid w:val="0098497B"/>
    <w:rsid w:val="00984D5A"/>
    <w:rsid w:val="00984D6B"/>
    <w:rsid w:val="009851F1"/>
    <w:rsid w:val="00985764"/>
    <w:rsid w:val="00986D0D"/>
    <w:rsid w:val="0098755F"/>
    <w:rsid w:val="00987FB6"/>
    <w:rsid w:val="00990039"/>
    <w:rsid w:val="0099112C"/>
    <w:rsid w:val="009912D4"/>
    <w:rsid w:val="00991D67"/>
    <w:rsid w:val="0099275C"/>
    <w:rsid w:val="00993E05"/>
    <w:rsid w:val="00993E84"/>
    <w:rsid w:val="00995928"/>
    <w:rsid w:val="00995ECA"/>
    <w:rsid w:val="00997C2F"/>
    <w:rsid w:val="00997C8F"/>
    <w:rsid w:val="009A07B5"/>
    <w:rsid w:val="009A112C"/>
    <w:rsid w:val="009A134E"/>
    <w:rsid w:val="009A1EAD"/>
    <w:rsid w:val="009A2288"/>
    <w:rsid w:val="009A2431"/>
    <w:rsid w:val="009A248B"/>
    <w:rsid w:val="009A2A27"/>
    <w:rsid w:val="009A2A65"/>
    <w:rsid w:val="009A2AFF"/>
    <w:rsid w:val="009A34E8"/>
    <w:rsid w:val="009A34F9"/>
    <w:rsid w:val="009A37C2"/>
    <w:rsid w:val="009A40E0"/>
    <w:rsid w:val="009A44A7"/>
    <w:rsid w:val="009A45FC"/>
    <w:rsid w:val="009A7172"/>
    <w:rsid w:val="009A7398"/>
    <w:rsid w:val="009A785B"/>
    <w:rsid w:val="009B12C3"/>
    <w:rsid w:val="009B1BA2"/>
    <w:rsid w:val="009B1FF9"/>
    <w:rsid w:val="009B2DBA"/>
    <w:rsid w:val="009B3A43"/>
    <w:rsid w:val="009B3FA6"/>
    <w:rsid w:val="009B4872"/>
    <w:rsid w:val="009B518B"/>
    <w:rsid w:val="009B560E"/>
    <w:rsid w:val="009B64F1"/>
    <w:rsid w:val="009B655E"/>
    <w:rsid w:val="009B661F"/>
    <w:rsid w:val="009B7741"/>
    <w:rsid w:val="009B77A7"/>
    <w:rsid w:val="009C01A5"/>
    <w:rsid w:val="009C0A70"/>
    <w:rsid w:val="009C0DC0"/>
    <w:rsid w:val="009C13EA"/>
    <w:rsid w:val="009C4439"/>
    <w:rsid w:val="009C4BEA"/>
    <w:rsid w:val="009C4FD0"/>
    <w:rsid w:val="009C5731"/>
    <w:rsid w:val="009C5C49"/>
    <w:rsid w:val="009C5F7F"/>
    <w:rsid w:val="009C6245"/>
    <w:rsid w:val="009C64B2"/>
    <w:rsid w:val="009C6EC4"/>
    <w:rsid w:val="009D084B"/>
    <w:rsid w:val="009D0856"/>
    <w:rsid w:val="009D0B4B"/>
    <w:rsid w:val="009D165A"/>
    <w:rsid w:val="009D1C00"/>
    <w:rsid w:val="009D1FE8"/>
    <w:rsid w:val="009D2350"/>
    <w:rsid w:val="009D27B9"/>
    <w:rsid w:val="009D2D0A"/>
    <w:rsid w:val="009D2F6C"/>
    <w:rsid w:val="009D32EB"/>
    <w:rsid w:val="009D3ACD"/>
    <w:rsid w:val="009D47B3"/>
    <w:rsid w:val="009D60BD"/>
    <w:rsid w:val="009D6E3D"/>
    <w:rsid w:val="009D75B9"/>
    <w:rsid w:val="009D77EF"/>
    <w:rsid w:val="009D79FE"/>
    <w:rsid w:val="009D7F04"/>
    <w:rsid w:val="009E0C9D"/>
    <w:rsid w:val="009E0E0C"/>
    <w:rsid w:val="009E0FC8"/>
    <w:rsid w:val="009E1917"/>
    <w:rsid w:val="009E1BE8"/>
    <w:rsid w:val="009E1C0D"/>
    <w:rsid w:val="009E1EB4"/>
    <w:rsid w:val="009E20D9"/>
    <w:rsid w:val="009E2226"/>
    <w:rsid w:val="009E24D3"/>
    <w:rsid w:val="009E26D4"/>
    <w:rsid w:val="009E375F"/>
    <w:rsid w:val="009E3932"/>
    <w:rsid w:val="009E43D5"/>
    <w:rsid w:val="009E47A3"/>
    <w:rsid w:val="009E5666"/>
    <w:rsid w:val="009E59D2"/>
    <w:rsid w:val="009E5ABD"/>
    <w:rsid w:val="009E61A4"/>
    <w:rsid w:val="009E6B21"/>
    <w:rsid w:val="009E6B45"/>
    <w:rsid w:val="009E6B4D"/>
    <w:rsid w:val="009E717E"/>
    <w:rsid w:val="009F0519"/>
    <w:rsid w:val="009F0EE7"/>
    <w:rsid w:val="009F2447"/>
    <w:rsid w:val="009F2BD3"/>
    <w:rsid w:val="009F3A8C"/>
    <w:rsid w:val="009F43A1"/>
    <w:rsid w:val="009F46BE"/>
    <w:rsid w:val="009F4738"/>
    <w:rsid w:val="009F4CDD"/>
    <w:rsid w:val="009F5354"/>
    <w:rsid w:val="009F547A"/>
    <w:rsid w:val="009F586E"/>
    <w:rsid w:val="009F63E1"/>
    <w:rsid w:val="009F6737"/>
    <w:rsid w:val="009F69CB"/>
    <w:rsid w:val="009F6FBB"/>
    <w:rsid w:val="009F77FA"/>
    <w:rsid w:val="009F7AA2"/>
    <w:rsid w:val="009F7F09"/>
    <w:rsid w:val="009F7F6A"/>
    <w:rsid w:val="00A001EC"/>
    <w:rsid w:val="00A003B5"/>
    <w:rsid w:val="00A007BC"/>
    <w:rsid w:val="00A01BCE"/>
    <w:rsid w:val="00A01ED2"/>
    <w:rsid w:val="00A02328"/>
    <w:rsid w:val="00A028DF"/>
    <w:rsid w:val="00A03152"/>
    <w:rsid w:val="00A03539"/>
    <w:rsid w:val="00A0371B"/>
    <w:rsid w:val="00A0573E"/>
    <w:rsid w:val="00A05B1A"/>
    <w:rsid w:val="00A112EC"/>
    <w:rsid w:val="00A12629"/>
    <w:rsid w:val="00A12954"/>
    <w:rsid w:val="00A12A1B"/>
    <w:rsid w:val="00A12B93"/>
    <w:rsid w:val="00A12F27"/>
    <w:rsid w:val="00A1315C"/>
    <w:rsid w:val="00A13538"/>
    <w:rsid w:val="00A13B5F"/>
    <w:rsid w:val="00A14078"/>
    <w:rsid w:val="00A146F3"/>
    <w:rsid w:val="00A14D08"/>
    <w:rsid w:val="00A15275"/>
    <w:rsid w:val="00A1541B"/>
    <w:rsid w:val="00A1591D"/>
    <w:rsid w:val="00A16A5E"/>
    <w:rsid w:val="00A17787"/>
    <w:rsid w:val="00A17DAF"/>
    <w:rsid w:val="00A2009D"/>
    <w:rsid w:val="00A2029B"/>
    <w:rsid w:val="00A202AE"/>
    <w:rsid w:val="00A22320"/>
    <w:rsid w:val="00A22760"/>
    <w:rsid w:val="00A22964"/>
    <w:rsid w:val="00A22A81"/>
    <w:rsid w:val="00A239E9"/>
    <w:rsid w:val="00A2480C"/>
    <w:rsid w:val="00A25B00"/>
    <w:rsid w:val="00A25BEF"/>
    <w:rsid w:val="00A30031"/>
    <w:rsid w:val="00A30484"/>
    <w:rsid w:val="00A30DDC"/>
    <w:rsid w:val="00A312B5"/>
    <w:rsid w:val="00A31C07"/>
    <w:rsid w:val="00A31CA2"/>
    <w:rsid w:val="00A32924"/>
    <w:rsid w:val="00A33277"/>
    <w:rsid w:val="00A34051"/>
    <w:rsid w:val="00A340F4"/>
    <w:rsid w:val="00A34D06"/>
    <w:rsid w:val="00A3511B"/>
    <w:rsid w:val="00A358C9"/>
    <w:rsid w:val="00A35B6B"/>
    <w:rsid w:val="00A35CA5"/>
    <w:rsid w:val="00A36BAE"/>
    <w:rsid w:val="00A37EF9"/>
    <w:rsid w:val="00A41EF8"/>
    <w:rsid w:val="00A4281D"/>
    <w:rsid w:val="00A4302E"/>
    <w:rsid w:val="00A4392A"/>
    <w:rsid w:val="00A439D3"/>
    <w:rsid w:val="00A4499C"/>
    <w:rsid w:val="00A45762"/>
    <w:rsid w:val="00A4583B"/>
    <w:rsid w:val="00A45A1C"/>
    <w:rsid w:val="00A46004"/>
    <w:rsid w:val="00A46710"/>
    <w:rsid w:val="00A47251"/>
    <w:rsid w:val="00A472D5"/>
    <w:rsid w:val="00A477B1"/>
    <w:rsid w:val="00A5081B"/>
    <w:rsid w:val="00A50E88"/>
    <w:rsid w:val="00A510A6"/>
    <w:rsid w:val="00A51C51"/>
    <w:rsid w:val="00A51E26"/>
    <w:rsid w:val="00A527E2"/>
    <w:rsid w:val="00A52852"/>
    <w:rsid w:val="00A528AC"/>
    <w:rsid w:val="00A53885"/>
    <w:rsid w:val="00A54B5D"/>
    <w:rsid w:val="00A54CE0"/>
    <w:rsid w:val="00A55A0F"/>
    <w:rsid w:val="00A55D86"/>
    <w:rsid w:val="00A56136"/>
    <w:rsid w:val="00A56873"/>
    <w:rsid w:val="00A5697E"/>
    <w:rsid w:val="00A56CB2"/>
    <w:rsid w:val="00A56DD4"/>
    <w:rsid w:val="00A57C59"/>
    <w:rsid w:val="00A60168"/>
    <w:rsid w:val="00A603FB"/>
    <w:rsid w:val="00A60E54"/>
    <w:rsid w:val="00A62DA1"/>
    <w:rsid w:val="00A6304C"/>
    <w:rsid w:val="00A63675"/>
    <w:rsid w:val="00A63A3F"/>
    <w:rsid w:val="00A63A4E"/>
    <w:rsid w:val="00A63E9D"/>
    <w:rsid w:val="00A6433A"/>
    <w:rsid w:val="00A6440B"/>
    <w:rsid w:val="00A64649"/>
    <w:rsid w:val="00A64BA4"/>
    <w:rsid w:val="00A64C60"/>
    <w:rsid w:val="00A6517F"/>
    <w:rsid w:val="00A6528F"/>
    <w:rsid w:val="00A65DE8"/>
    <w:rsid w:val="00A66911"/>
    <w:rsid w:val="00A66912"/>
    <w:rsid w:val="00A677CD"/>
    <w:rsid w:val="00A70297"/>
    <w:rsid w:val="00A713FD"/>
    <w:rsid w:val="00A71E6F"/>
    <w:rsid w:val="00A726F0"/>
    <w:rsid w:val="00A7467C"/>
    <w:rsid w:val="00A747D9"/>
    <w:rsid w:val="00A7491E"/>
    <w:rsid w:val="00A749A4"/>
    <w:rsid w:val="00A75746"/>
    <w:rsid w:val="00A76387"/>
    <w:rsid w:val="00A76538"/>
    <w:rsid w:val="00A7656F"/>
    <w:rsid w:val="00A76955"/>
    <w:rsid w:val="00A76988"/>
    <w:rsid w:val="00A77166"/>
    <w:rsid w:val="00A77230"/>
    <w:rsid w:val="00A801A3"/>
    <w:rsid w:val="00A80331"/>
    <w:rsid w:val="00A806C1"/>
    <w:rsid w:val="00A8134B"/>
    <w:rsid w:val="00A8181C"/>
    <w:rsid w:val="00A821C3"/>
    <w:rsid w:val="00A8238E"/>
    <w:rsid w:val="00A8258B"/>
    <w:rsid w:val="00A8292A"/>
    <w:rsid w:val="00A82F05"/>
    <w:rsid w:val="00A839F3"/>
    <w:rsid w:val="00A84652"/>
    <w:rsid w:val="00A85095"/>
    <w:rsid w:val="00A85CC5"/>
    <w:rsid w:val="00A86466"/>
    <w:rsid w:val="00A87276"/>
    <w:rsid w:val="00A874E8"/>
    <w:rsid w:val="00A90124"/>
    <w:rsid w:val="00A90CB7"/>
    <w:rsid w:val="00A918FB"/>
    <w:rsid w:val="00A91D6D"/>
    <w:rsid w:val="00A91D9E"/>
    <w:rsid w:val="00A92AC0"/>
    <w:rsid w:val="00A9337B"/>
    <w:rsid w:val="00A938BD"/>
    <w:rsid w:val="00A941FA"/>
    <w:rsid w:val="00A94C1F"/>
    <w:rsid w:val="00A9572F"/>
    <w:rsid w:val="00A96655"/>
    <w:rsid w:val="00A97519"/>
    <w:rsid w:val="00A97A21"/>
    <w:rsid w:val="00A97AEF"/>
    <w:rsid w:val="00AA048D"/>
    <w:rsid w:val="00AA0661"/>
    <w:rsid w:val="00AA0DF5"/>
    <w:rsid w:val="00AA1399"/>
    <w:rsid w:val="00AA140E"/>
    <w:rsid w:val="00AA2BD8"/>
    <w:rsid w:val="00AA2D0E"/>
    <w:rsid w:val="00AA3801"/>
    <w:rsid w:val="00AA3A7A"/>
    <w:rsid w:val="00AA3F9F"/>
    <w:rsid w:val="00AA40D2"/>
    <w:rsid w:val="00AA40EA"/>
    <w:rsid w:val="00AA55E7"/>
    <w:rsid w:val="00AA5B1D"/>
    <w:rsid w:val="00AA5C81"/>
    <w:rsid w:val="00AA6516"/>
    <w:rsid w:val="00AA6560"/>
    <w:rsid w:val="00AA718C"/>
    <w:rsid w:val="00AA78DD"/>
    <w:rsid w:val="00AA7CB5"/>
    <w:rsid w:val="00AA7F12"/>
    <w:rsid w:val="00AB03DB"/>
    <w:rsid w:val="00AB1848"/>
    <w:rsid w:val="00AB1A23"/>
    <w:rsid w:val="00AB1BEF"/>
    <w:rsid w:val="00AB2051"/>
    <w:rsid w:val="00AB2C32"/>
    <w:rsid w:val="00AB33FF"/>
    <w:rsid w:val="00AB35C6"/>
    <w:rsid w:val="00AB4CFE"/>
    <w:rsid w:val="00AB5C50"/>
    <w:rsid w:val="00AB6061"/>
    <w:rsid w:val="00AB7147"/>
    <w:rsid w:val="00AB77D4"/>
    <w:rsid w:val="00AB7EC7"/>
    <w:rsid w:val="00AC0877"/>
    <w:rsid w:val="00AC0A60"/>
    <w:rsid w:val="00AC0F31"/>
    <w:rsid w:val="00AC15FB"/>
    <w:rsid w:val="00AC1638"/>
    <w:rsid w:val="00AC1D97"/>
    <w:rsid w:val="00AC1FC8"/>
    <w:rsid w:val="00AC2AC0"/>
    <w:rsid w:val="00AC2C65"/>
    <w:rsid w:val="00AC2DE4"/>
    <w:rsid w:val="00AC3031"/>
    <w:rsid w:val="00AC357F"/>
    <w:rsid w:val="00AC3BCA"/>
    <w:rsid w:val="00AC3DF0"/>
    <w:rsid w:val="00AC4233"/>
    <w:rsid w:val="00AC4659"/>
    <w:rsid w:val="00AC47CE"/>
    <w:rsid w:val="00AC4BE0"/>
    <w:rsid w:val="00AC5322"/>
    <w:rsid w:val="00AC5746"/>
    <w:rsid w:val="00AC6B85"/>
    <w:rsid w:val="00AC7316"/>
    <w:rsid w:val="00AC7713"/>
    <w:rsid w:val="00AC7BD2"/>
    <w:rsid w:val="00AD0410"/>
    <w:rsid w:val="00AD0B16"/>
    <w:rsid w:val="00AD1AA9"/>
    <w:rsid w:val="00AD1DB9"/>
    <w:rsid w:val="00AD2355"/>
    <w:rsid w:val="00AD27BE"/>
    <w:rsid w:val="00AD2C60"/>
    <w:rsid w:val="00AD328D"/>
    <w:rsid w:val="00AD4CC5"/>
    <w:rsid w:val="00AD50A8"/>
    <w:rsid w:val="00AD561A"/>
    <w:rsid w:val="00AD5E2E"/>
    <w:rsid w:val="00AD7E6A"/>
    <w:rsid w:val="00AE0A08"/>
    <w:rsid w:val="00AE1FC2"/>
    <w:rsid w:val="00AE282D"/>
    <w:rsid w:val="00AE2854"/>
    <w:rsid w:val="00AE2B62"/>
    <w:rsid w:val="00AE3FEE"/>
    <w:rsid w:val="00AE4316"/>
    <w:rsid w:val="00AE44CE"/>
    <w:rsid w:val="00AE4E42"/>
    <w:rsid w:val="00AE5E90"/>
    <w:rsid w:val="00AE718F"/>
    <w:rsid w:val="00AE75D1"/>
    <w:rsid w:val="00AE75F6"/>
    <w:rsid w:val="00AE7CE8"/>
    <w:rsid w:val="00AF00F0"/>
    <w:rsid w:val="00AF07B2"/>
    <w:rsid w:val="00AF0B92"/>
    <w:rsid w:val="00AF0C02"/>
    <w:rsid w:val="00AF1487"/>
    <w:rsid w:val="00AF2A12"/>
    <w:rsid w:val="00AF3C89"/>
    <w:rsid w:val="00AF42C2"/>
    <w:rsid w:val="00AF4B02"/>
    <w:rsid w:val="00AF570B"/>
    <w:rsid w:val="00AF59BB"/>
    <w:rsid w:val="00AF5C85"/>
    <w:rsid w:val="00AF5EA9"/>
    <w:rsid w:val="00AF64BA"/>
    <w:rsid w:val="00AF657B"/>
    <w:rsid w:val="00AF66B7"/>
    <w:rsid w:val="00AF67EE"/>
    <w:rsid w:val="00AF6E65"/>
    <w:rsid w:val="00AF7BA0"/>
    <w:rsid w:val="00B00DA4"/>
    <w:rsid w:val="00B0105A"/>
    <w:rsid w:val="00B01237"/>
    <w:rsid w:val="00B01370"/>
    <w:rsid w:val="00B0210B"/>
    <w:rsid w:val="00B02208"/>
    <w:rsid w:val="00B02305"/>
    <w:rsid w:val="00B034DF"/>
    <w:rsid w:val="00B03613"/>
    <w:rsid w:val="00B03CA6"/>
    <w:rsid w:val="00B04288"/>
    <w:rsid w:val="00B045FC"/>
    <w:rsid w:val="00B049F4"/>
    <w:rsid w:val="00B04FCB"/>
    <w:rsid w:val="00B05016"/>
    <w:rsid w:val="00B0517C"/>
    <w:rsid w:val="00B058B8"/>
    <w:rsid w:val="00B05950"/>
    <w:rsid w:val="00B05C02"/>
    <w:rsid w:val="00B073C1"/>
    <w:rsid w:val="00B07FB2"/>
    <w:rsid w:val="00B108EB"/>
    <w:rsid w:val="00B10D42"/>
    <w:rsid w:val="00B11247"/>
    <w:rsid w:val="00B11644"/>
    <w:rsid w:val="00B12A90"/>
    <w:rsid w:val="00B12B5C"/>
    <w:rsid w:val="00B137E4"/>
    <w:rsid w:val="00B140EF"/>
    <w:rsid w:val="00B141A2"/>
    <w:rsid w:val="00B142C5"/>
    <w:rsid w:val="00B15C94"/>
    <w:rsid w:val="00B15F4F"/>
    <w:rsid w:val="00B16C06"/>
    <w:rsid w:val="00B17531"/>
    <w:rsid w:val="00B178C9"/>
    <w:rsid w:val="00B17FBD"/>
    <w:rsid w:val="00B200C4"/>
    <w:rsid w:val="00B20315"/>
    <w:rsid w:val="00B2071A"/>
    <w:rsid w:val="00B2073B"/>
    <w:rsid w:val="00B20957"/>
    <w:rsid w:val="00B20FCA"/>
    <w:rsid w:val="00B21C34"/>
    <w:rsid w:val="00B21E92"/>
    <w:rsid w:val="00B22570"/>
    <w:rsid w:val="00B22A04"/>
    <w:rsid w:val="00B23A81"/>
    <w:rsid w:val="00B23FEB"/>
    <w:rsid w:val="00B241EA"/>
    <w:rsid w:val="00B24429"/>
    <w:rsid w:val="00B24E0B"/>
    <w:rsid w:val="00B25C83"/>
    <w:rsid w:val="00B26ABF"/>
    <w:rsid w:val="00B2731A"/>
    <w:rsid w:val="00B2748D"/>
    <w:rsid w:val="00B276C7"/>
    <w:rsid w:val="00B27BE0"/>
    <w:rsid w:val="00B27C19"/>
    <w:rsid w:val="00B30651"/>
    <w:rsid w:val="00B3089F"/>
    <w:rsid w:val="00B3173D"/>
    <w:rsid w:val="00B31D7B"/>
    <w:rsid w:val="00B31FD4"/>
    <w:rsid w:val="00B32526"/>
    <w:rsid w:val="00B333A0"/>
    <w:rsid w:val="00B3364C"/>
    <w:rsid w:val="00B336C4"/>
    <w:rsid w:val="00B34B6C"/>
    <w:rsid w:val="00B34EED"/>
    <w:rsid w:val="00B3538E"/>
    <w:rsid w:val="00B36729"/>
    <w:rsid w:val="00B36883"/>
    <w:rsid w:val="00B368B5"/>
    <w:rsid w:val="00B36D23"/>
    <w:rsid w:val="00B37781"/>
    <w:rsid w:val="00B37CA5"/>
    <w:rsid w:val="00B40673"/>
    <w:rsid w:val="00B408EB"/>
    <w:rsid w:val="00B40BC0"/>
    <w:rsid w:val="00B418F0"/>
    <w:rsid w:val="00B41A8F"/>
    <w:rsid w:val="00B42970"/>
    <w:rsid w:val="00B42B07"/>
    <w:rsid w:val="00B42D8E"/>
    <w:rsid w:val="00B42ED5"/>
    <w:rsid w:val="00B4303D"/>
    <w:rsid w:val="00B43E3C"/>
    <w:rsid w:val="00B440D7"/>
    <w:rsid w:val="00B4508A"/>
    <w:rsid w:val="00B46E3D"/>
    <w:rsid w:val="00B5098B"/>
    <w:rsid w:val="00B50E33"/>
    <w:rsid w:val="00B51967"/>
    <w:rsid w:val="00B5216C"/>
    <w:rsid w:val="00B5220C"/>
    <w:rsid w:val="00B52B31"/>
    <w:rsid w:val="00B53E35"/>
    <w:rsid w:val="00B53EE1"/>
    <w:rsid w:val="00B542C7"/>
    <w:rsid w:val="00B54B6F"/>
    <w:rsid w:val="00B552B6"/>
    <w:rsid w:val="00B557C1"/>
    <w:rsid w:val="00B561B2"/>
    <w:rsid w:val="00B5631A"/>
    <w:rsid w:val="00B56B31"/>
    <w:rsid w:val="00B57C90"/>
    <w:rsid w:val="00B60247"/>
    <w:rsid w:val="00B607E9"/>
    <w:rsid w:val="00B609A6"/>
    <w:rsid w:val="00B611BE"/>
    <w:rsid w:val="00B627A6"/>
    <w:rsid w:val="00B63099"/>
    <w:rsid w:val="00B64F07"/>
    <w:rsid w:val="00B65F04"/>
    <w:rsid w:val="00B666E4"/>
    <w:rsid w:val="00B667D7"/>
    <w:rsid w:val="00B66F8D"/>
    <w:rsid w:val="00B67A4D"/>
    <w:rsid w:val="00B70852"/>
    <w:rsid w:val="00B70E14"/>
    <w:rsid w:val="00B72B2D"/>
    <w:rsid w:val="00B7339F"/>
    <w:rsid w:val="00B7383A"/>
    <w:rsid w:val="00B74323"/>
    <w:rsid w:val="00B744C6"/>
    <w:rsid w:val="00B749A9"/>
    <w:rsid w:val="00B74F02"/>
    <w:rsid w:val="00B754FE"/>
    <w:rsid w:val="00B75742"/>
    <w:rsid w:val="00B75F40"/>
    <w:rsid w:val="00B76BF6"/>
    <w:rsid w:val="00B7719A"/>
    <w:rsid w:val="00B81A76"/>
    <w:rsid w:val="00B82359"/>
    <w:rsid w:val="00B82F06"/>
    <w:rsid w:val="00B83B92"/>
    <w:rsid w:val="00B8453F"/>
    <w:rsid w:val="00B85235"/>
    <w:rsid w:val="00B85BE2"/>
    <w:rsid w:val="00B861DF"/>
    <w:rsid w:val="00B865B6"/>
    <w:rsid w:val="00B906D3"/>
    <w:rsid w:val="00B90E97"/>
    <w:rsid w:val="00B916D2"/>
    <w:rsid w:val="00B91B84"/>
    <w:rsid w:val="00B91DB7"/>
    <w:rsid w:val="00B91FFB"/>
    <w:rsid w:val="00B9203F"/>
    <w:rsid w:val="00B92721"/>
    <w:rsid w:val="00B9299B"/>
    <w:rsid w:val="00B92D98"/>
    <w:rsid w:val="00B93453"/>
    <w:rsid w:val="00B938DE"/>
    <w:rsid w:val="00B938F2"/>
    <w:rsid w:val="00B93EC4"/>
    <w:rsid w:val="00B940B1"/>
    <w:rsid w:val="00B942A4"/>
    <w:rsid w:val="00B947DD"/>
    <w:rsid w:val="00B94A39"/>
    <w:rsid w:val="00B94CC0"/>
    <w:rsid w:val="00B96190"/>
    <w:rsid w:val="00B96637"/>
    <w:rsid w:val="00B96B66"/>
    <w:rsid w:val="00B973DE"/>
    <w:rsid w:val="00B9790E"/>
    <w:rsid w:val="00B97927"/>
    <w:rsid w:val="00B97A36"/>
    <w:rsid w:val="00B97DE0"/>
    <w:rsid w:val="00BA0D38"/>
    <w:rsid w:val="00BA0E02"/>
    <w:rsid w:val="00BA14F8"/>
    <w:rsid w:val="00BA1D2D"/>
    <w:rsid w:val="00BA1E3D"/>
    <w:rsid w:val="00BA359F"/>
    <w:rsid w:val="00BA385F"/>
    <w:rsid w:val="00BA3DD5"/>
    <w:rsid w:val="00BA3EF7"/>
    <w:rsid w:val="00BA4D66"/>
    <w:rsid w:val="00BA525D"/>
    <w:rsid w:val="00BA6142"/>
    <w:rsid w:val="00BA64E2"/>
    <w:rsid w:val="00BA6946"/>
    <w:rsid w:val="00BB0579"/>
    <w:rsid w:val="00BB077A"/>
    <w:rsid w:val="00BB14CB"/>
    <w:rsid w:val="00BB17D3"/>
    <w:rsid w:val="00BB1B40"/>
    <w:rsid w:val="00BB1CB6"/>
    <w:rsid w:val="00BB1DC0"/>
    <w:rsid w:val="00BB2D35"/>
    <w:rsid w:val="00BB2D82"/>
    <w:rsid w:val="00BB428F"/>
    <w:rsid w:val="00BB42F5"/>
    <w:rsid w:val="00BB53B2"/>
    <w:rsid w:val="00BB6079"/>
    <w:rsid w:val="00BB65F8"/>
    <w:rsid w:val="00BB67EA"/>
    <w:rsid w:val="00BB71FD"/>
    <w:rsid w:val="00BC08A1"/>
    <w:rsid w:val="00BC11C2"/>
    <w:rsid w:val="00BC1554"/>
    <w:rsid w:val="00BC18ED"/>
    <w:rsid w:val="00BC1D62"/>
    <w:rsid w:val="00BC1F11"/>
    <w:rsid w:val="00BC36E0"/>
    <w:rsid w:val="00BC3811"/>
    <w:rsid w:val="00BC3812"/>
    <w:rsid w:val="00BC46D7"/>
    <w:rsid w:val="00BC4826"/>
    <w:rsid w:val="00BC5284"/>
    <w:rsid w:val="00BC5504"/>
    <w:rsid w:val="00BC6546"/>
    <w:rsid w:val="00BC6900"/>
    <w:rsid w:val="00BC7426"/>
    <w:rsid w:val="00BC7730"/>
    <w:rsid w:val="00BC7C10"/>
    <w:rsid w:val="00BC7FEE"/>
    <w:rsid w:val="00BD02E3"/>
    <w:rsid w:val="00BD0421"/>
    <w:rsid w:val="00BD0503"/>
    <w:rsid w:val="00BD136E"/>
    <w:rsid w:val="00BD14B3"/>
    <w:rsid w:val="00BD15F1"/>
    <w:rsid w:val="00BD1A33"/>
    <w:rsid w:val="00BD1D75"/>
    <w:rsid w:val="00BD1EA3"/>
    <w:rsid w:val="00BD223D"/>
    <w:rsid w:val="00BD3295"/>
    <w:rsid w:val="00BD3A6E"/>
    <w:rsid w:val="00BD417A"/>
    <w:rsid w:val="00BD44A3"/>
    <w:rsid w:val="00BD47B4"/>
    <w:rsid w:val="00BD6676"/>
    <w:rsid w:val="00BD6D3C"/>
    <w:rsid w:val="00BD6EDB"/>
    <w:rsid w:val="00BD7BCF"/>
    <w:rsid w:val="00BD7E22"/>
    <w:rsid w:val="00BE0291"/>
    <w:rsid w:val="00BE045C"/>
    <w:rsid w:val="00BE049F"/>
    <w:rsid w:val="00BE1F4A"/>
    <w:rsid w:val="00BE211A"/>
    <w:rsid w:val="00BE218B"/>
    <w:rsid w:val="00BE260F"/>
    <w:rsid w:val="00BE2C2E"/>
    <w:rsid w:val="00BE317A"/>
    <w:rsid w:val="00BE3ACB"/>
    <w:rsid w:val="00BE3E3C"/>
    <w:rsid w:val="00BE4163"/>
    <w:rsid w:val="00BE43ED"/>
    <w:rsid w:val="00BE45D5"/>
    <w:rsid w:val="00BE5025"/>
    <w:rsid w:val="00BE51DB"/>
    <w:rsid w:val="00BE59B8"/>
    <w:rsid w:val="00BE6EFE"/>
    <w:rsid w:val="00BE7645"/>
    <w:rsid w:val="00BE78BE"/>
    <w:rsid w:val="00BE7AA4"/>
    <w:rsid w:val="00BE7F3A"/>
    <w:rsid w:val="00BF150F"/>
    <w:rsid w:val="00BF264C"/>
    <w:rsid w:val="00BF299B"/>
    <w:rsid w:val="00BF38C1"/>
    <w:rsid w:val="00BF3B01"/>
    <w:rsid w:val="00BF3BF6"/>
    <w:rsid w:val="00BF3C80"/>
    <w:rsid w:val="00BF4442"/>
    <w:rsid w:val="00BF4724"/>
    <w:rsid w:val="00BF5B46"/>
    <w:rsid w:val="00BF66EF"/>
    <w:rsid w:val="00BF7034"/>
    <w:rsid w:val="00BF76FA"/>
    <w:rsid w:val="00BF7789"/>
    <w:rsid w:val="00BF7D60"/>
    <w:rsid w:val="00C0103F"/>
    <w:rsid w:val="00C0165A"/>
    <w:rsid w:val="00C01EF2"/>
    <w:rsid w:val="00C024F9"/>
    <w:rsid w:val="00C0276F"/>
    <w:rsid w:val="00C0306D"/>
    <w:rsid w:val="00C034C2"/>
    <w:rsid w:val="00C03833"/>
    <w:rsid w:val="00C0409C"/>
    <w:rsid w:val="00C04B53"/>
    <w:rsid w:val="00C05081"/>
    <w:rsid w:val="00C05F99"/>
    <w:rsid w:val="00C0630A"/>
    <w:rsid w:val="00C0654C"/>
    <w:rsid w:val="00C0660E"/>
    <w:rsid w:val="00C0695E"/>
    <w:rsid w:val="00C06F8E"/>
    <w:rsid w:val="00C06FF0"/>
    <w:rsid w:val="00C0772F"/>
    <w:rsid w:val="00C0782C"/>
    <w:rsid w:val="00C07879"/>
    <w:rsid w:val="00C07B93"/>
    <w:rsid w:val="00C10082"/>
    <w:rsid w:val="00C10403"/>
    <w:rsid w:val="00C10485"/>
    <w:rsid w:val="00C10A8E"/>
    <w:rsid w:val="00C10FFE"/>
    <w:rsid w:val="00C11D21"/>
    <w:rsid w:val="00C12E44"/>
    <w:rsid w:val="00C134A9"/>
    <w:rsid w:val="00C14052"/>
    <w:rsid w:val="00C1411E"/>
    <w:rsid w:val="00C1435F"/>
    <w:rsid w:val="00C147FA"/>
    <w:rsid w:val="00C149A5"/>
    <w:rsid w:val="00C14A93"/>
    <w:rsid w:val="00C14F54"/>
    <w:rsid w:val="00C14F5C"/>
    <w:rsid w:val="00C14FAE"/>
    <w:rsid w:val="00C15153"/>
    <w:rsid w:val="00C15E80"/>
    <w:rsid w:val="00C1607A"/>
    <w:rsid w:val="00C1667F"/>
    <w:rsid w:val="00C16B34"/>
    <w:rsid w:val="00C16C98"/>
    <w:rsid w:val="00C17177"/>
    <w:rsid w:val="00C17643"/>
    <w:rsid w:val="00C176FD"/>
    <w:rsid w:val="00C20AB9"/>
    <w:rsid w:val="00C213A1"/>
    <w:rsid w:val="00C213D9"/>
    <w:rsid w:val="00C22869"/>
    <w:rsid w:val="00C24284"/>
    <w:rsid w:val="00C255BF"/>
    <w:rsid w:val="00C2579D"/>
    <w:rsid w:val="00C2719D"/>
    <w:rsid w:val="00C271D0"/>
    <w:rsid w:val="00C2774A"/>
    <w:rsid w:val="00C27B6A"/>
    <w:rsid w:val="00C27DB7"/>
    <w:rsid w:val="00C27F54"/>
    <w:rsid w:val="00C301D1"/>
    <w:rsid w:val="00C306A3"/>
    <w:rsid w:val="00C31307"/>
    <w:rsid w:val="00C3240A"/>
    <w:rsid w:val="00C33521"/>
    <w:rsid w:val="00C3373D"/>
    <w:rsid w:val="00C33D1F"/>
    <w:rsid w:val="00C354D9"/>
    <w:rsid w:val="00C35E0C"/>
    <w:rsid w:val="00C364B5"/>
    <w:rsid w:val="00C37267"/>
    <w:rsid w:val="00C37A8A"/>
    <w:rsid w:val="00C37BB9"/>
    <w:rsid w:val="00C37C95"/>
    <w:rsid w:val="00C40235"/>
    <w:rsid w:val="00C407E2"/>
    <w:rsid w:val="00C42308"/>
    <w:rsid w:val="00C42F0F"/>
    <w:rsid w:val="00C44340"/>
    <w:rsid w:val="00C44451"/>
    <w:rsid w:val="00C445B1"/>
    <w:rsid w:val="00C448A6"/>
    <w:rsid w:val="00C448BC"/>
    <w:rsid w:val="00C450CD"/>
    <w:rsid w:val="00C45B27"/>
    <w:rsid w:val="00C45E5B"/>
    <w:rsid w:val="00C46A5C"/>
    <w:rsid w:val="00C46B93"/>
    <w:rsid w:val="00C46D2A"/>
    <w:rsid w:val="00C46F89"/>
    <w:rsid w:val="00C47CCB"/>
    <w:rsid w:val="00C50028"/>
    <w:rsid w:val="00C50B64"/>
    <w:rsid w:val="00C51D08"/>
    <w:rsid w:val="00C51EF2"/>
    <w:rsid w:val="00C5216C"/>
    <w:rsid w:val="00C52197"/>
    <w:rsid w:val="00C523EA"/>
    <w:rsid w:val="00C52E88"/>
    <w:rsid w:val="00C533C4"/>
    <w:rsid w:val="00C54A4C"/>
    <w:rsid w:val="00C5628F"/>
    <w:rsid w:val="00C563E7"/>
    <w:rsid w:val="00C575F1"/>
    <w:rsid w:val="00C57BAA"/>
    <w:rsid w:val="00C57EF1"/>
    <w:rsid w:val="00C60180"/>
    <w:rsid w:val="00C60397"/>
    <w:rsid w:val="00C609AE"/>
    <w:rsid w:val="00C60A71"/>
    <w:rsid w:val="00C6136A"/>
    <w:rsid w:val="00C6181C"/>
    <w:rsid w:val="00C621AF"/>
    <w:rsid w:val="00C6254D"/>
    <w:rsid w:val="00C6260D"/>
    <w:rsid w:val="00C64275"/>
    <w:rsid w:val="00C6473A"/>
    <w:rsid w:val="00C64CCF"/>
    <w:rsid w:val="00C6521A"/>
    <w:rsid w:val="00C65627"/>
    <w:rsid w:val="00C65E97"/>
    <w:rsid w:val="00C66309"/>
    <w:rsid w:val="00C67135"/>
    <w:rsid w:val="00C6725F"/>
    <w:rsid w:val="00C6748E"/>
    <w:rsid w:val="00C679A2"/>
    <w:rsid w:val="00C67E34"/>
    <w:rsid w:val="00C71862"/>
    <w:rsid w:val="00C71A61"/>
    <w:rsid w:val="00C73228"/>
    <w:rsid w:val="00C733F3"/>
    <w:rsid w:val="00C73F33"/>
    <w:rsid w:val="00C74322"/>
    <w:rsid w:val="00C75249"/>
    <w:rsid w:val="00C753CA"/>
    <w:rsid w:val="00C7573B"/>
    <w:rsid w:val="00C75AFF"/>
    <w:rsid w:val="00C75BF9"/>
    <w:rsid w:val="00C75FC2"/>
    <w:rsid w:val="00C763C3"/>
    <w:rsid w:val="00C763D1"/>
    <w:rsid w:val="00C76618"/>
    <w:rsid w:val="00C768D0"/>
    <w:rsid w:val="00C76D69"/>
    <w:rsid w:val="00C802E2"/>
    <w:rsid w:val="00C80D00"/>
    <w:rsid w:val="00C81CCA"/>
    <w:rsid w:val="00C82099"/>
    <w:rsid w:val="00C82915"/>
    <w:rsid w:val="00C83187"/>
    <w:rsid w:val="00C832D9"/>
    <w:rsid w:val="00C83D80"/>
    <w:rsid w:val="00C84905"/>
    <w:rsid w:val="00C85046"/>
    <w:rsid w:val="00C85055"/>
    <w:rsid w:val="00C85B86"/>
    <w:rsid w:val="00C863A9"/>
    <w:rsid w:val="00C87184"/>
    <w:rsid w:val="00C873E5"/>
    <w:rsid w:val="00C87707"/>
    <w:rsid w:val="00C87785"/>
    <w:rsid w:val="00C909B6"/>
    <w:rsid w:val="00C933E7"/>
    <w:rsid w:val="00C94ACE"/>
    <w:rsid w:val="00C95AAF"/>
    <w:rsid w:val="00C9630E"/>
    <w:rsid w:val="00C964E1"/>
    <w:rsid w:val="00C96BA8"/>
    <w:rsid w:val="00C96CC8"/>
    <w:rsid w:val="00C96FF4"/>
    <w:rsid w:val="00CA031D"/>
    <w:rsid w:val="00CA11F1"/>
    <w:rsid w:val="00CA12D2"/>
    <w:rsid w:val="00CA1CD7"/>
    <w:rsid w:val="00CA302C"/>
    <w:rsid w:val="00CA3654"/>
    <w:rsid w:val="00CA4BBA"/>
    <w:rsid w:val="00CA5355"/>
    <w:rsid w:val="00CA5496"/>
    <w:rsid w:val="00CA6566"/>
    <w:rsid w:val="00CA70DE"/>
    <w:rsid w:val="00CA72A1"/>
    <w:rsid w:val="00CA75E3"/>
    <w:rsid w:val="00CA7F11"/>
    <w:rsid w:val="00CB00AC"/>
    <w:rsid w:val="00CB0AA8"/>
    <w:rsid w:val="00CB108C"/>
    <w:rsid w:val="00CB230E"/>
    <w:rsid w:val="00CB29D5"/>
    <w:rsid w:val="00CB3ACB"/>
    <w:rsid w:val="00CB3E79"/>
    <w:rsid w:val="00CB4885"/>
    <w:rsid w:val="00CB4AAC"/>
    <w:rsid w:val="00CB4ADE"/>
    <w:rsid w:val="00CB5018"/>
    <w:rsid w:val="00CB598C"/>
    <w:rsid w:val="00CB6166"/>
    <w:rsid w:val="00CB66A2"/>
    <w:rsid w:val="00CB6947"/>
    <w:rsid w:val="00CB6FAC"/>
    <w:rsid w:val="00CB70D8"/>
    <w:rsid w:val="00CB71DD"/>
    <w:rsid w:val="00CB7888"/>
    <w:rsid w:val="00CC2D84"/>
    <w:rsid w:val="00CC3427"/>
    <w:rsid w:val="00CC374F"/>
    <w:rsid w:val="00CC3C54"/>
    <w:rsid w:val="00CC4916"/>
    <w:rsid w:val="00CC49B9"/>
    <w:rsid w:val="00CC62AE"/>
    <w:rsid w:val="00CC66B2"/>
    <w:rsid w:val="00CC7391"/>
    <w:rsid w:val="00CC747F"/>
    <w:rsid w:val="00CC7DA0"/>
    <w:rsid w:val="00CD17F8"/>
    <w:rsid w:val="00CD18C5"/>
    <w:rsid w:val="00CD1AC8"/>
    <w:rsid w:val="00CD2C57"/>
    <w:rsid w:val="00CD36CC"/>
    <w:rsid w:val="00CD386C"/>
    <w:rsid w:val="00CD48BB"/>
    <w:rsid w:val="00CD4F09"/>
    <w:rsid w:val="00CD4F71"/>
    <w:rsid w:val="00CD59C8"/>
    <w:rsid w:val="00CD6583"/>
    <w:rsid w:val="00CD6FF7"/>
    <w:rsid w:val="00CD74E6"/>
    <w:rsid w:val="00CE02E1"/>
    <w:rsid w:val="00CE066E"/>
    <w:rsid w:val="00CE0756"/>
    <w:rsid w:val="00CE10BD"/>
    <w:rsid w:val="00CE1D47"/>
    <w:rsid w:val="00CE1F98"/>
    <w:rsid w:val="00CE218D"/>
    <w:rsid w:val="00CE29A3"/>
    <w:rsid w:val="00CE39F3"/>
    <w:rsid w:val="00CE3ADC"/>
    <w:rsid w:val="00CE5318"/>
    <w:rsid w:val="00CE5490"/>
    <w:rsid w:val="00CE669F"/>
    <w:rsid w:val="00CE75A8"/>
    <w:rsid w:val="00CE76C7"/>
    <w:rsid w:val="00CF0AEB"/>
    <w:rsid w:val="00CF0BF6"/>
    <w:rsid w:val="00CF0C7A"/>
    <w:rsid w:val="00CF12FC"/>
    <w:rsid w:val="00CF2185"/>
    <w:rsid w:val="00CF25FA"/>
    <w:rsid w:val="00CF2BC6"/>
    <w:rsid w:val="00CF306E"/>
    <w:rsid w:val="00CF3607"/>
    <w:rsid w:val="00CF37FF"/>
    <w:rsid w:val="00CF4FC9"/>
    <w:rsid w:val="00CF5782"/>
    <w:rsid w:val="00CF57D0"/>
    <w:rsid w:val="00CF5A84"/>
    <w:rsid w:val="00CF64E6"/>
    <w:rsid w:val="00CF781E"/>
    <w:rsid w:val="00CF7ECA"/>
    <w:rsid w:val="00D007DB"/>
    <w:rsid w:val="00D00BCA"/>
    <w:rsid w:val="00D01163"/>
    <w:rsid w:val="00D01352"/>
    <w:rsid w:val="00D017C3"/>
    <w:rsid w:val="00D0195F"/>
    <w:rsid w:val="00D01BAC"/>
    <w:rsid w:val="00D03819"/>
    <w:rsid w:val="00D03ABB"/>
    <w:rsid w:val="00D03AC7"/>
    <w:rsid w:val="00D041E6"/>
    <w:rsid w:val="00D04FFA"/>
    <w:rsid w:val="00D05002"/>
    <w:rsid w:val="00D0563A"/>
    <w:rsid w:val="00D05817"/>
    <w:rsid w:val="00D05D06"/>
    <w:rsid w:val="00D05D78"/>
    <w:rsid w:val="00D062A8"/>
    <w:rsid w:val="00D06A4A"/>
    <w:rsid w:val="00D0790C"/>
    <w:rsid w:val="00D07A26"/>
    <w:rsid w:val="00D101B9"/>
    <w:rsid w:val="00D1050E"/>
    <w:rsid w:val="00D11B5C"/>
    <w:rsid w:val="00D142D9"/>
    <w:rsid w:val="00D14E03"/>
    <w:rsid w:val="00D14E78"/>
    <w:rsid w:val="00D15BC1"/>
    <w:rsid w:val="00D15C82"/>
    <w:rsid w:val="00D16834"/>
    <w:rsid w:val="00D168DB"/>
    <w:rsid w:val="00D16C19"/>
    <w:rsid w:val="00D16E0D"/>
    <w:rsid w:val="00D17099"/>
    <w:rsid w:val="00D175E7"/>
    <w:rsid w:val="00D17869"/>
    <w:rsid w:val="00D20124"/>
    <w:rsid w:val="00D20158"/>
    <w:rsid w:val="00D20A18"/>
    <w:rsid w:val="00D20A5D"/>
    <w:rsid w:val="00D225C3"/>
    <w:rsid w:val="00D225CD"/>
    <w:rsid w:val="00D233E9"/>
    <w:rsid w:val="00D23460"/>
    <w:rsid w:val="00D2422C"/>
    <w:rsid w:val="00D24489"/>
    <w:rsid w:val="00D250CA"/>
    <w:rsid w:val="00D25208"/>
    <w:rsid w:val="00D252B7"/>
    <w:rsid w:val="00D25520"/>
    <w:rsid w:val="00D2577A"/>
    <w:rsid w:val="00D261D0"/>
    <w:rsid w:val="00D2693B"/>
    <w:rsid w:val="00D26BEB"/>
    <w:rsid w:val="00D26D6B"/>
    <w:rsid w:val="00D271A0"/>
    <w:rsid w:val="00D276FA"/>
    <w:rsid w:val="00D305DF"/>
    <w:rsid w:val="00D3070E"/>
    <w:rsid w:val="00D30C9A"/>
    <w:rsid w:val="00D30CCD"/>
    <w:rsid w:val="00D31CE4"/>
    <w:rsid w:val="00D326C5"/>
    <w:rsid w:val="00D33773"/>
    <w:rsid w:val="00D337AC"/>
    <w:rsid w:val="00D33C51"/>
    <w:rsid w:val="00D33F8F"/>
    <w:rsid w:val="00D351C4"/>
    <w:rsid w:val="00D359BB"/>
    <w:rsid w:val="00D35A5A"/>
    <w:rsid w:val="00D35E34"/>
    <w:rsid w:val="00D36C60"/>
    <w:rsid w:val="00D3795B"/>
    <w:rsid w:val="00D37A37"/>
    <w:rsid w:val="00D37F03"/>
    <w:rsid w:val="00D400E8"/>
    <w:rsid w:val="00D40586"/>
    <w:rsid w:val="00D40902"/>
    <w:rsid w:val="00D41E28"/>
    <w:rsid w:val="00D42CCD"/>
    <w:rsid w:val="00D44AFA"/>
    <w:rsid w:val="00D44F72"/>
    <w:rsid w:val="00D450E9"/>
    <w:rsid w:val="00D4544C"/>
    <w:rsid w:val="00D45753"/>
    <w:rsid w:val="00D45788"/>
    <w:rsid w:val="00D45BC4"/>
    <w:rsid w:val="00D45BDA"/>
    <w:rsid w:val="00D45C16"/>
    <w:rsid w:val="00D45DE6"/>
    <w:rsid w:val="00D45ECF"/>
    <w:rsid w:val="00D46659"/>
    <w:rsid w:val="00D476DA"/>
    <w:rsid w:val="00D50C37"/>
    <w:rsid w:val="00D5111F"/>
    <w:rsid w:val="00D52AC6"/>
    <w:rsid w:val="00D52E43"/>
    <w:rsid w:val="00D53068"/>
    <w:rsid w:val="00D532E0"/>
    <w:rsid w:val="00D53E63"/>
    <w:rsid w:val="00D54262"/>
    <w:rsid w:val="00D5428D"/>
    <w:rsid w:val="00D54F01"/>
    <w:rsid w:val="00D5528A"/>
    <w:rsid w:val="00D55319"/>
    <w:rsid w:val="00D55B96"/>
    <w:rsid w:val="00D55C52"/>
    <w:rsid w:val="00D56509"/>
    <w:rsid w:val="00D56940"/>
    <w:rsid w:val="00D56954"/>
    <w:rsid w:val="00D56E02"/>
    <w:rsid w:val="00D57A8C"/>
    <w:rsid w:val="00D57AA8"/>
    <w:rsid w:val="00D61A53"/>
    <w:rsid w:val="00D62658"/>
    <w:rsid w:val="00D62713"/>
    <w:rsid w:val="00D628ED"/>
    <w:rsid w:val="00D62A10"/>
    <w:rsid w:val="00D6341D"/>
    <w:rsid w:val="00D638A7"/>
    <w:rsid w:val="00D64111"/>
    <w:rsid w:val="00D64C67"/>
    <w:rsid w:val="00D65481"/>
    <w:rsid w:val="00D654CE"/>
    <w:rsid w:val="00D6581A"/>
    <w:rsid w:val="00D663CE"/>
    <w:rsid w:val="00D66444"/>
    <w:rsid w:val="00D66A7F"/>
    <w:rsid w:val="00D66DF6"/>
    <w:rsid w:val="00D66F07"/>
    <w:rsid w:val="00D6760C"/>
    <w:rsid w:val="00D70242"/>
    <w:rsid w:val="00D70736"/>
    <w:rsid w:val="00D70AA9"/>
    <w:rsid w:val="00D70EAF"/>
    <w:rsid w:val="00D711FC"/>
    <w:rsid w:val="00D724D2"/>
    <w:rsid w:val="00D7267C"/>
    <w:rsid w:val="00D72EA2"/>
    <w:rsid w:val="00D73233"/>
    <w:rsid w:val="00D735BF"/>
    <w:rsid w:val="00D73C1E"/>
    <w:rsid w:val="00D742FE"/>
    <w:rsid w:val="00D74950"/>
    <w:rsid w:val="00D74C84"/>
    <w:rsid w:val="00D74D9A"/>
    <w:rsid w:val="00D76181"/>
    <w:rsid w:val="00D762E5"/>
    <w:rsid w:val="00D767C9"/>
    <w:rsid w:val="00D76F34"/>
    <w:rsid w:val="00D76FB1"/>
    <w:rsid w:val="00D77535"/>
    <w:rsid w:val="00D77839"/>
    <w:rsid w:val="00D8006A"/>
    <w:rsid w:val="00D80831"/>
    <w:rsid w:val="00D813CF"/>
    <w:rsid w:val="00D81859"/>
    <w:rsid w:val="00D818C3"/>
    <w:rsid w:val="00D8256C"/>
    <w:rsid w:val="00D82C39"/>
    <w:rsid w:val="00D85247"/>
    <w:rsid w:val="00D852F5"/>
    <w:rsid w:val="00D853C2"/>
    <w:rsid w:val="00D85424"/>
    <w:rsid w:val="00D85975"/>
    <w:rsid w:val="00D863BA"/>
    <w:rsid w:val="00D865C0"/>
    <w:rsid w:val="00D877E4"/>
    <w:rsid w:val="00D87DB6"/>
    <w:rsid w:val="00D902D1"/>
    <w:rsid w:val="00D909EF"/>
    <w:rsid w:val="00D90D4F"/>
    <w:rsid w:val="00D91491"/>
    <w:rsid w:val="00D91A95"/>
    <w:rsid w:val="00D91E4A"/>
    <w:rsid w:val="00D9247C"/>
    <w:rsid w:val="00D934FE"/>
    <w:rsid w:val="00D94502"/>
    <w:rsid w:val="00D9454A"/>
    <w:rsid w:val="00D94F22"/>
    <w:rsid w:val="00D94F59"/>
    <w:rsid w:val="00D95B91"/>
    <w:rsid w:val="00D96751"/>
    <w:rsid w:val="00D96CA9"/>
    <w:rsid w:val="00DA01F4"/>
    <w:rsid w:val="00DA0E57"/>
    <w:rsid w:val="00DA1D00"/>
    <w:rsid w:val="00DA2497"/>
    <w:rsid w:val="00DA2D71"/>
    <w:rsid w:val="00DA34DE"/>
    <w:rsid w:val="00DA3DB1"/>
    <w:rsid w:val="00DA5560"/>
    <w:rsid w:val="00DA5774"/>
    <w:rsid w:val="00DA69C1"/>
    <w:rsid w:val="00DA6DAE"/>
    <w:rsid w:val="00DA6E15"/>
    <w:rsid w:val="00DA7EFA"/>
    <w:rsid w:val="00DB030A"/>
    <w:rsid w:val="00DB10AB"/>
    <w:rsid w:val="00DB26D7"/>
    <w:rsid w:val="00DB2992"/>
    <w:rsid w:val="00DB3E0A"/>
    <w:rsid w:val="00DB512B"/>
    <w:rsid w:val="00DB57FC"/>
    <w:rsid w:val="00DB5D5D"/>
    <w:rsid w:val="00DB5DD2"/>
    <w:rsid w:val="00DB7D7D"/>
    <w:rsid w:val="00DB7EBD"/>
    <w:rsid w:val="00DC0076"/>
    <w:rsid w:val="00DC0838"/>
    <w:rsid w:val="00DC0888"/>
    <w:rsid w:val="00DC0B1D"/>
    <w:rsid w:val="00DC0F80"/>
    <w:rsid w:val="00DC137E"/>
    <w:rsid w:val="00DC1650"/>
    <w:rsid w:val="00DC1A69"/>
    <w:rsid w:val="00DC1D74"/>
    <w:rsid w:val="00DC26C0"/>
    <w:rsid w:val="00DC2986"/>
    <w:rsid w:val="00DC2C05"/>
    <w:rsid w:val="00DC2D0A"/>
    <w:rsid w:val="00DC2EF9"/>
    <w:rsid w:val="00DC325B"/>
    <w:rsid w:val="00DC3D49"/>
    <w:rsid w:val="00DC4193"/>
    <w:rsid w:val="00DC50B6"/>
    <w:rsid w:val="00DC6897"/>
    <w:rsid w:val="00DC6CBE"/>
    <w:rsid w:val="00DC7172"/>
    <w:rsid w:val="00DC738D"/>
    <w:rsid w:val="00DC782B"/>
    <w:rsid w:val="00DC78DD"/>
    <w:rsid w:val="00DC78F2"/>
    <w:rsid w:val="00DC7FC6"/>
    <w:rsid w:val="00DD0D1F"/>
    <w:rsid w:val="00DD0D7F"/>
    <w:rsid w:val="00DD1168"/>
    <w:rsid w:val="00DD191D"/>
    <w:rsid w:val="00DD1C35"/>
    <w:rsid w:val="00DD2507"/>
    <w:rsid w:val="00DD26ED"/>
    <w:rsid w:val="00DD28BF"/>
    <w:rsid w:val="00DD328D"/>
    <w:rsid w:val="00DD3555"/>
    <w:rsid w:val="00DD38EA"/>
    <w:rsid w:val="00DD3E9F"/>
    <w:rsid w:val="00DD4205"/>
    <w:rsid w:val="00DD447B"/>
    <w:rsid w:val="00DD49B5"/>
    <w:rsid w:val="00DD4ADE"/>
    <w:rsid w:val="00DD4CFC"/>
    <w:rsid w:val="00DD4FD0"/>
    <w:rsid w:val="00DD5762"/>
    <w:rsid w:val="00DD5CAB"/>
    <w:rsid w:val="00DD5D15"/>
    <w:rsid w:val="00DD7258"/>
    <w:rsid w:val="00DD7387"/>
    <w:rsid w:val="00DD7830"/>
    <w:rsid w:val="00DE3974"/>
    <w:rsid w:val="00DE3C22"/>
    <w:rsid w:val="00DE4591"/>
    <w:rsid w:val="00DE4CBF"/>
    <w:rsid w:val="00DE705A"/>
    <w:rsid w:val="00DF00D0"/>
    <w:rsid w:val="00DF0212"/>
    <w:rsid w:val="00DF08E9"/>
    <w:rsid w:val="00DF11E2"/>
    <w:rsid w:val="00DF1792"/>
    <w:rsid w:val="00DF1C30"/>
    <w:rsid w:val="00DF28C1"/>
    <w:rsid w:val="00DF296A"/>
    <w:rsid w:val="00DF29F2"/>
    <w:rsid w:val="00DF2C47"/>
    <w:rsid w:val="00DF300F"/>
    <w:rsid w:val="00DF3452"/>
    <w:rsid w:val="00DF39F4"/>
    <w:rsid w:val="00DF49A0"/>
    <w:rsid w:val="00DF5759"/>
    <w:rsid w:val="00DF579B"/>
    <w:rsid w:val="00DF59FE"/>
    <w:rsid w:val="00E0023B"/>
    <w:rsid w:val="00E00C37"/>
    <w:rsid w:val="00E01387"/>
    <w:rsid w:val="00E01D37"/>
    <w:rsid w:val="00E02790"/>
    <w:rsid w:val="00E02D56"/>
    <w:rsid w:val="00E031F3"/>
    <w:rsid w:val="00E035C6"/>
    <w:rsid w:val="00E03F53"/>
    <w:rsid w:val="00E03F5B"/>
    <w:rsid w:val="00E0427C"/>
    <w:rsid w:val="00E04E2D"/>
    <w:rsid w:val="00E0510F"/>
    <w:rsid w:val="00E053B1"/>
    <w:rsid w:val="00E0607B"/>
    <w:rsid w:val="00E06304"/>
    <w:rsid w:val="00E067F0"/>
    <w:rsid w:val="00E06809"/>
    <w:rsid w:val="00E06AB6"/>
    <w:rsid w:val="00E0723F"/>
    <w:rsid w:val="00E078E3"/>
    <w:rsid w:val="00E11D1B"/>
    <w:rsid w:val="00E11DFC"/>
    <w:rsid w:val="00E12835"/>
    <w:rsid w:val="00E12A39"/>
    <w:rsid w:val="00E12CE7"/>
    <w:rsid w:val="00E12E89"/>
    <w:rsid w:val="00E1348A"/>
    <w:rsid w:val="00E142DA"/>
    <w:rsid w:val="00E146D2"/>
    <w:rsid w:val="00E15A9A"/>
    <w:rsid w:val="00E16D33"/>
    <w:rsid w:val="00E16E06"/>
    <w:rsid w:val="00E201ED"/>
    <w:rsid w:val="00E20776"/>
    <w:rsid w:val="00E20B8F"/>
    <w:rsid w:val="00E2138A"/>
    <w:rsid w:val="00E21762"/>
    <w:rsid w:val="00E21BB7"/>
    <w:rsid w:val="00E21D1D"/>
    <w:rsid w:val="00E21F9E"/>
    <w:rsid w:val="00E22BE3"/>
    <w:rsid w:val="00E22D57"/>
    <w:rsid w:val="00E23109"/>
    <w:rsid w:val="00E23939"/>
    <w:rsid w:val="00E24F4F"/>
    <w:rsid w:val="00E25126"/>
    <w:rsid w:val="00E25874"/>
    <w:rsid w:val="00E2600D"/>
    <w:rsid w:val="00E271C6"/>
    <w:rsid w:val="00E27719"/>
    <w:rsid w:val="00E278BC"/>
    <w:rsid w:val="00E3048E"/>
    <w:rsid w:val="00E3057B"/>
    <w:rsid w:val="00E30769"/>
    <w:rsid w:val="00E3110E"/>
    <w:rsid w:val="00E315D1"/>
    <w:rsid w:val="00E31A01"/>
    <w:rsid w:val="00E32B69"/>
    <w:rsid w:val="00E3369A"/>
    <w:rsid w:val="00E342FD"/>
    <w:rsid w:val="00E3436E"/>
    <w:rsid w:val="00E34CBC"/>
    <w:rsid w:val="00E34E15"/>
    <w:rsid w:val="00E34F56"/>
    <w:rsid w:val="00E35B7B"/>
    <w:rsid w:val="00E3617D"/>
    <w:rsid w:val="00E369F5"/>
    <w:rsid w:val="00E36FAD"/>
    <w:rsid w:val="00E37FEE"/>
    <w:rsid w:val="00E40C6C"/>
    <w:rsid w:val="00E4124A"/>
    <w:rsid w:val="00E418A6"/>
    <w:rsid w:val="00E4198F"/>
    <w:rsid w:val="00E45F12"/>
    <w:rsid w:val="00E47D27"/>
    <w:rsid w:val="00E501BB"/>
    <w:rsid w:val="00E50C6E"/>
    <w:rsid w:val="00E5155C"/>
    <w:rsid w:val="00E52427"/>
    <w:rsid w:val="00E527EB"/>
    <w:rsid w:val="00E5297E"/>
    <w:rsid w:val="00E56EAE"/>
    <w:rsid w:val="00E57D0E"/>
    <w:rsid w:val="00E60923"/>
    <w:rsid w:val="00E61614"/>
    <w:rsid w:val="00E6228C"/>
    <w:rsid w:val="00E623B9"/>
    <w:rsid w:val="00E62A83"/>
    <w:rsid w:val="00E62E86"/>
    <w:rsid w:val="00E63015"/>
    <w:rsid w:val="00E638AA"/>
    <w:rsid w:val="00E63F97"/>
    <w:rsid w:val="00E6450B"/>
    <w:rsid w:val="00E6486B"/>
    <w:rsid w:val="00E65183"/>
    <w:rsid w:val="00E65715"/>
    <w:rsid w:val="00E657AE"/>
    <w:rsid w:val="00E65B55"/>
    <w:rsid w:val="00E65CBF"/>
    <w:rsid w:val="00E65D6D"/>
    <w:rsid w:val="00E66E18"/>
    <w:rsid w:val="00E6724A"/>
    <w:rsid w:val="00E675E2"/>
    <w:rsid w:val="00E677CB"/>
    <w:rsid w:val="00E679FB"/>
    <w:rsid w:val="00E7028A"/>
    <w:rsid w:val="00E704CE"/>
    <w:rsid w:val="00E710BE"/>
    <w:rsid w:val="00E718E7"/>
    <w:rsid w:val="00E720B7"/>
    <w:rsid w:val="00E73369"/>
    <w:rsid w:val="00E73706"/>
    <w:rsid w:val="00E73AAD"/>
    <w:rsid w:val="00E73B35"/>
    <w:rsid w:val="00E73D99"/>
    <w:rsid w:val="00E73EA6"/>
    <w:rsid w:val="00E740DC"/>
    <w:rsid w:val="00E75702"/>
    <w:rsid w:val="00E758A8"/>
    <w:rsid w:val="00E75B46"/>
    <w:rsid w:val="00E76722"/>
    <w:rsid w:val="00E77634"/>
    <w:rsid w:val="00E7789E"/>
    <w:rsid w:val="00E81FDB"/>
    <w:rsid w:val="00E82087"/>
    <w:rsid w:val="00E8311F"/>
    <w:rsid w:val="00E83694"/>
    <w:rsid w:val="00E83A0B"/>
    <w:rsid w:val="00E83B0B"/>
    <w:rsid w:val="00E83F5E"/>
    <w:rsid w:val="00E84C72"/>
    <w:rsid w:val="00E84D89"/>
    <w:rsid w:val="00E85152"/>
    <w:rsid w:val="00E85FB4"/>
    <w:rsid w:val="00E861BD"/>
    <w:rsid w:val="00E865A6"/>
    <w:rsid w:val="00E86DB5"/>
    <w:rsid w:val="00E8739A"/>
    <w:rsid w:val="00E877C2"/>
    <w:rsid w:val="00E87AE4"/>
    <w:rsid w:val="00E87E24"/>
    <w:rsid w:val="00E87E35"/>
    <w:rsid w:val="00E90BD7"/>
    <w:rsid w:val="00E9237B"/>
    <w:rsid w:val="00E93507"/>
    <w:rsid w:val="00E93AEF"/>
    <w:rsid w:val="00E93DA9"/>
    <w:rsid w:val="00E95002"/>
    <w:rsid w:val="00E950E3"/>
    <w:rsid w:val="00E956DD"/>
    <w:rsid w:val="00E95704"/>
    <w:rsid w:val="00E95D17"/>
    <w:rsid w:val="00E9629A"/>
    <w:rsid w:val="00E9676E"/>
    <w:rsid w:val="00E968CA"/>
    <w:rsid w:val="00E96E84"/>
    <w:rsid w:val="00E96FD1"/>
    <w:rsid w:val="00E97033"/>
    <w:rsid w:val="00E9788B"/>
    <w:rsid w:val="00EA00A2"/>
    <w:rsid w:val="00EA0A27"/>
    <w:rsid w:val="00EA1118"/>
    <w:rsid w:val="00EA14C7"/>
    <w:rsid w:val="00EA1960"/>
    <w:rsid w:val="00EA1EC3"/>
    <w:rsid w:val="00EA3291"/>
    <w:rsid w:val="00EA3402"/>
    <w:rsid w:val="00EA437D"/>
    <w:rsid w:val="00EA460F"/>
    <w:rsid w:val="00EA49C3"/>
    <w:rsid w:val="00EA4E8C"/>
    <w:rsid w:val="00EA5076"/>
    <w:rsid w:val="00EA5468"/>
    <w:rsid w:val="00EA58BD"/>
    <w:rsid w:val="00EA6387"/>
    <w:rsid w:val="00EA63B8"/>
    <w:rsid w:val="00EA69A1"/>
    <w:rsid w:val="00EA6A09"/>
    <w:rsid w:val="00EA71DA"/>
    <w:rsid w:val="00EA73B7"/>
    <w:rsid w:val="00EA7786"/>
    <w:rsid w:val="00EA786F"/>
    <w:rsid w:val="00EA7A05"/>
    <w:rsid w:val="00EA7B61"/>
    <w:rsid w:val="00EB0C42"/>
    <w:rsid w:val="00EB12B6"/>
    <w:rsid w:val="00EB1B2C"/>
    <w:rsid w:val="00EB30CD"/>
    <w:rsid w:val="00EB3229"/>
    <w:rsid w:val="00EB3842"/>
    <w:rsid w:val="00EB494B"/>
    <w:rsid w:val="00EB5CAC"/>
    <w:rsid w:val="00EB62BC"/>
    <w:rsid w:val="00EB6568"/>
    <w:rsid w:val="00EB6777"/>
    <w:rsid w:val="00EB677F"/>
    <w:rsid w:val="00EB74BE"/>
    <w:rsid w:val="00EB7CAF"/>
    <w:rsid w:val="00EC12E5"/>
    <w:rsid w:val="00EC15DD"/>
    <w:rsid w:val="00EC1627"/>
    <w:rsid w:val="00EC1EFC"/>
    <w:rsid w:val="00EC2204"/>
    <w:rsid w:val="00EC2428"/>
    <w:rsid w:val="00EC2F66"/>
    <w:rsid w:val="00EC33C3"/>
    <w:rsid w:val="00EC347E"/>
    <w:rsid w:val="00EC39A2"/>
    <w:rsid w:val="00EC39A6"/>
    <w:rsid w:val="00EC405A"/>
    <w:rsid w:val="00EC4516"/>
    <w:rsid w:val="00EC6047"/>
    <w:rsid w:val="00EC6573"/>
    <w:rsid w:val="00EC662D"/>
    <w:rsid w:val="00EC6C6D"/>
    <w:rsid w:val="00EC6CA5"/>
    <w:rsid w:val="00EC6D45"/>
    <w:rsid w:val="00EC7942"/>
    <w:rsid w:val="00EC79AC"/>
    <w:rsid w:val="00EC7A8F"/>
    <w:rsid w:val="00EC7FFE"/>
    <w:rsid w:val="00ED007A"/>
    <w:rsid w:val="00ED0266"/>
    <w:rsid w:val="00ED08E1"/>
    <w:rsid w:val="00ED0937"/>
    <w:rsid w:val="00ED0DA4"/>
    <w:rsid w:val="00ED272A"/>
    <w:rsid w:val="00ED2E2D"/>
    <w:rsid w:val="00ED2FD9"/>
    <w:rsid w:val="00ED33B4"/>
    <w:rsid w:val="00ED3426"/>
    <w:rsid w:val="00ED3869"/>
    <w:rsid w:val="00ED397D"/>
    <w:rsid w:val="00ED4597"/>
    <w:rsid w:val="00ED45D2"/>
    <w:rsid w:val="00ED464D"/>
    <w:rsid w:val="00ED5720"/>
    <w:rsid w:val="00ED6511"/>
    <w:rsid w:val="00ED6682"/>
    <w:rsid w:val="00ED7AD1"/>
    <w:rsid w:val="00EE0036"/>
    <w:rsid w:val="00EE042C"/>
    <w:rsid w:val="00EE0BFE"/>
    <w:rsid w:val="00EE1090"/>
    <w:rsid w:val="00EE19BE"/>
    <w:rsid w:val="00EE20A8"/>
    <w:rsid w:val="00EE2FCE"/>
    <w:rsid w:val="00EE49D9"/>
    <w:rsid w:val="00EE4D7E"/>
    <w:rsid w:val="00EE5265"/>
    <w:rsid w:val="00EE59DC"/>
    <w:rsid w:val="00EE7C43"/>
    <w:rsid w:val="00EF09A1"/>
    <w:rsid w:val="00EF107F"/>
    <w:rsid w:val="00EF1AAB"/>
    <w:rsid w:val="00EF1EE9"/>
    <w:rsid w:val="00EF2C8E"/>
    <w:rsid w:val="00EF3564"/>
    <w:rsid w:val="00EF45AC"/>
    <w:rsid w:val="00EF47E7"/>
    <w:rsid w:val="00EF4E0E"/>
    <w:rsid w:val="00EF5BD1"/>
    <w:rsid w:val="00EF5C8A"/>
    <w:rsid w:val="00EF6441"/>
    <w:rsid w:val="00EF64B2"/>
    <w:rsid w:val="00EF64F0"/>
    <w:rsid w:val="00EF7413"/>
    <w:rsid w:val="00F001AE"/>
    <w:rsid w:val="00F00401"/>
    <w:rsid w:val="00F00AEF"/>
    <w:rsid w:val="00F00BF6"/>
    <w:rsid w:val="00F01225"/>
    <w:rsid w:val="00F0193F"/>
    <w:rsid w:val="00F03F98"/>
    <w:rsid w:val="00F04134"/>
    <w:rsid w:val="00F0537E"/>
    <w:rsid w:val="00F06125"/>
    <w:rsid w:val="00F065BF"/>
    <w:rsid w:val="00F06A04"/>
    <w:rsid w:val="00F07229"/>
    <w:rsid w:val="00F079C8"/>
    <w:rsid w:val="00F108AF"/>
    <w:rsid w:val="00F108EA"/>
    <w:rsid w:val="00F111A2"/>
    <w:rsid w:val="00F12CA4"/>
    <w:rsid w:val="00F13F82"/>
    <w:rsid w:val="00F140F9"/>
    <w:rsid w:val="00F1440D"/>
    <w:rsid w:val="00F14B82"/>
    <w:rsid w:val="00F14ECC"/>
    <w:rsid w:val="00F14F88"/>
    <w:rsid w:val="00F15491"/>
    <w:rsid w:val="00F155E1"/>
    <w:rsid w:val="00F15B65"/>
    <w:rsid w:val="00F15C8F"/>
    <w:rsid w:val="00F16A36"/>
    <w:rsid w:val="00F1779A"/>
    <w:rsid w:val="00F2018B"/>
    <w:rsid w:val="00F20B53"/>
    <w:rsid w:val="00F20E46"/>
    <w:rsid w:val="00F227B9"/>
    <w:rsid w:val="00F246A0"/>
    <w:rsid w:val="00F24F45"/>
    <w:rsid w:val="00F24FC3"/>
    <w:rsid w:val="00F24FE5"/>
    <w:rsid w:val="00F25512"/>
    <w:rsid w:val="00F26509"/>
    <w:rsid w:val="00F26CD4"/>
    <w:rsid w:val="00F26E92"/>
    <w:rsid w:val="00F27BE3"/>
    <w:rsid w:val="00F309AB"/>
    <w:rsid w:val="00F30ED4"/>
    <w:rsid w:val="00F3102E"/>
    <w:rsid w:val="00F312B7"/>
    <w:rsid w:val="00F31719"/>
    <w:rsid w:val="00F31A05"/>
    <w:rsid w:val="00F31C85"/>
    <w:rsid w:val="00F3212F"/>
    <w:rsid w:val="00F3234D"/>
    <w:rsid w:val="00F323AA"/>
    <w:rsid w:val="00F3338D"/>
    <w:rsid w:val="00F33C26"/>
    <w:rsid w:val="00F34854"/>
    <w:rsid w:val="00F349AB"/>
    <w:rsid w:val="00F35117"/>
    <w:rsid w:val="00F35439"/>
    <w:rsid w:val="00F35954"/>
    <w:rsid w:val="00F36048"/>
    <w:rsid w:val="00F36068"/>
    <w:rsid w:val="00F36868"/>
    <w:rsid w:val="00F36D5C"/>
    <w:rsid w:val="00F373FB"/>
    <w:rsid w:val="00F377B8"/>
    <w:rsid w:val="00F40123"/>
    <w:rsid w:val="00F40941"/>
    <w:rsid w:val="00F41ABD"/>
    <w:rsid w:val="00F42322"/>
    <w:rsid w:val="00F42694"/>
    <w:rsid w:val="00F4273B"/>
    <w:rsid w:val="00F42EDA"/>
    <w:rsid w:val="00F441DE"/>
    <w:rsid w:val="00F446D5"/>
    <w:rsid w:val="00F4547E"/>
    <w:rsid w:val="00F45F68"/>
    <w:rsid w:val="00F460C6"/>
    <w:rsid w:val="00F4637F"/>
    <w:rsid w:val="00F466E5"/>
    <w:rsid w:val="00F467B4"/>
    <w:rsid w:val="00F46C81"/>
    <w:rsid w:val="00F46D60"/>
    <w:rsid w:val="00F472B8"/>
    <w:rsid w:val="00F47B09"/>
    <w:rsid w:val="00F47F23"/>
    <w:rsid w:val="00F50555"/>
    <w:rsid w:val="00F50C53"/>
    <w:rsid w:val="00F50E87"/>
    <w:rsid w:val="00F512B0"/>
    <w:rsid w:val="00F51E0D"/>
    <w:rsid w:val="00F51EA0"/>
    <w:rsid w:val="00F51F1C"/>
    <w:rsid w:val="00F52346"/>
    <w:rsid w:val="00F52541"/>
    <w:rsid w:val="00F52623"/>
    <w:rsid w:val="00F52DA9"/>
    <w:rsid w:val="00F55C43"/>
    <w:rsid w:val="00F55FB0"/>
    <w:rsid w:val="00F5669C"/>
    <w:rsid w:val="00F56A52"/>
    <w:rsid w:val="00F57FE6"/>
    <w:rsid w:val="00F6012B"/>
    <w:rsid w:val="00F60A77"/>
    <w:rsid w:val="00F60D11"/>
    <w:rsid w:val="00F61253"/>
    <w:rsid w:val="00F612B5"/>
    <w:rsid w:val="00F619B4"/>
    <w:rsid w:val="00F62832"/>
    <w:rsid w:val="00F63254"/>
    <w:rsid w:val="00F63320"/>
    <w:rsid w:val="00F6377A"/>
    <w:rsid w:val="00F6381B"/>
    <w:rsid w:val="00F63AD8"/>
    <w:rsid w:val="00F63BFF"/>
    <w:rsid w:val="00F646E1"/>
    <w:rsid w:val="00F65EFC"/>
    <w:rsid w:val="00F66D78"/>
    <w:rsid w:val="00F70022"/>
    <w:rsid w:val="00F70A29"/>
    <w:rsid w:val="00F7137A"/>
    <w:rsid w:val="00F7155B"/>
    <w:rsid w:val="00F715C7"/>
    <w:rsid w:val="00F71CD4"/>
    <w:rsid w:val="00F724F6"/>
    <w:rsid w:val="00F725E3"/>
    <w:rsid w:val="00F72A60"/>
    <w:rsid w:val="00F73342"/>
    <w:rsid w:val="00F73C11"/>
    <w:rsid w:val="00F73CD3"/>
    <w:rsid w:val="00F73DAF"/>
    <w:rsid w:val="00F74436"/>
    <w:rsid w:val="00F751A3"/>
    <w:rsid w:val="00F7532E"/>
    <w:rsid w:val="00F7713C"/>
    <w:rsid w:val="00F77475"/>
    <w:rsid w:val="00F77548"/>
    <w:rsid w:val="00F80ADE"/>
    <w:rsid w:val="00F81EDF"/>
    <w:rsid w:val="00F83519"/>
    <w:rsid w:val="00F83582"/>
    <w:rsid w:val="00F84786"/>
    <w:rsid w:val="00F8648F"/>
    <w:rsid w:val="00F8689D"/>
    <w:rsid w:val="00F868D5"/>
    <w:rsid w:val="00F87182"/>
    <w:rsid w:val="00F9063A"/>
    <w:rsid w:val="00F9075D"/>
    <w:rsid w:val="00F907E4"/>
    <w:rsid w:val="00F91169"/>
    <w:rsid w:val="00F916DA"/>
    <w:rsid w:val="00F927FC"/>
    <w:rsid w:val="00F92856"/>
    <w:rsid w:val="00F9335B"/>
    <w:rsid w:val="00F9353C"/>
    <w:rsid w:val="00F936CF"/>
    <w:rsid w:val="00F94067"/>
    <w:rsid w:val="00F941A8"/>
    <w:rsid w:val="00F962CF"/>
    <w:rsid w:val="00F96477"/>
    <w:rsid w:val="00F96662"/>
    <w:rsid w:val="00F9681F"/>
    <w:rsid w:val="00F970CC"/>
    <w:rsid w:val="00F97A52"/>
    <w:rsid w:val="00F97DF6"/>
    <w:rsid w:val="00FA0173"/>
    <w:rsid w:val="00FA09FD"/>
    <w:rsid w:val="00FA0D6A"/>
    <w:rsid w:val="00FA1713"/>
    <w:rsid w:val="00FA2198"/>
    <w:rsid w:val="00FA3686"/>
    <w:rsid w:val="00FA3D9E"/>
    <w:rsid w:val="00FA47C9"/>
    <w:rsid w:val="00FA48DB"/>
    <w:rsid w:val="00FA539A"/>
    <w:rsid w:val="00FA5B24"/>
    <w:rsid w:val="00FA5B3F"/>
    <w:rsid w:val="00FA6BAF"/>
    <w:rsid w:val="00FA6C44"/>
    <w:rsid w:val="00FA6D42"/>
    <w:rsid w:val="00FA7A48"/>
    <w:rsid w:val="00FA7EBB"/>
    <w:rsid w:val="00FB11F6"/>
    <w:rsid w:val="00FB19E0"/>
    <w:rsid w:val="00FB211C"/>
    <w:rsid w:val="00FB4CB3"/>
    <w:rsid w:val="00FB5D4E"/>
    <w:rsid w:val="00FB62E7"/>
    <w:rsid w:val="00FB6D04"/>
    <w:rsid w:val="00FB719E"/>
    <w:rsid w:val="00FB7D1E"/>
    <w:rsid w:val="00FC145B"/>
    <w:rsid w:val="00FC2E89"/>
    <w:rsid w:val="00FC3070"/>
    <w:rsid w:val="00FC3679"/>
    <w:rsid w:val="00FC6936"/>
    <w:rsid w:val="00FC6D82"/>
    <w:rsid w:val="00FC746E"/>
    <w:rsid w:val="00FD01AF"/>
    <w:rsid w:val="00FD01F1"/>
    <w:rsid w:val="00FD06FD"/>
    <w:rsid w:val="00FD0715"/>
    <w:rsid w:val="00FD0CAA"/>
    <w:rsid w:val="00FD2E3C"/>
    <w:rsid w:val="00FD2EF9"/>
    <w:rsid w:val="00FD38B8"/>
    <w:rsid w:val="00FD42A6"/>
    <w:rsid w:val="00FD457F"/>
    <w:rsid w:val="00FD5230"/>
    <w:rsid w:val="00FD5235"/>
    <w:rsid w:val="00FD6113"/>
    <w:rsid w:val="00FD69A6"/>
    <w:rsid w:val="00FD6DAF"/>
    <w:rsid w:val="00FD76B4"/>
    <w:rsid w:val="00FE00E6"/>
    <w:rsid w:val="00FE0915"/>
    <w:rsid w:val="00FE09BC"/>
    <w:rsid w:val="00FE0F41"/>
    <w:rsid w:val="00FE22D8"/>
    <w:rsid w:val="00FE2785"/>
    <w:rsid w:val="00FE27DB"/>
    <w:rsid w:val="00FE28C9"/>
    <w:rsid w:val="00FE2CC6"/>
    <w:rsid w:val="00FE37E8"/>
    <w:rsid w:val="00FE3E51"/>
    <w:rsid w:val="00FE7010"/>
    <w:rsid w:val="00FE720A"/>
    <w:rsid w:val="00FE7D9B"/>
    <w:rsid w:val="00FF1245"/>
    <w:rsid w:val="00FF15FA"/>
    <w:rsid w:val="00FF1B88"/>
    <w:rsid w:val="00FF1C10"/>
    <w:rsid w:val="00FF1EE4"/>
    <w:rsid w:val="00FF219E"/>
    <w:rsid w:val="00FF23C6"/>
    <w:rsid w:val="00FF2CA3"/>
    <w:rsid w:val="00FF3723"/>
    <w:rsid w:val="00FF3B6B"/>
    <w:rsid w:val="00FF3F7B"/>
    <w:rsid w:val="00FF449F"/>
    <w:rsid w:val="00FF466C"/>
    <w:rsid w:val="00FF5183"/>
    <w:rsid w:val="00FF60E3"/>
    <w:rsid w:val="00FF62FC"/>
    <w:rsid w:val="00FF68D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E9C707"/>
  <w15:chartTrackingRefBased/>
  <w15:docId w15:val="{9574C9B5-99E4-4435-AA65-693E20B60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874"/>
    <w:pPr>
      <w:spacing w:after="0" w:line="240" w:lineRule="auto"/>
    </w:pPr>
    <w:rPr>
      <w:rFonts w:ascii="Times New Roman" w:hAnsi="Times New Roman"/>
      <w:sz w:val="20"/>
    </w:rPr>
  </w:style>
  <w:style w:type="paragraph" w:styleId="Ttulo1">
    <w:name w:val="heading 1"/>
    <w:basedOn w:val="Normal"/>
    <w:next w:val="Normal"/>
    <w:link w:val="Ttulo1Car"/>
    <w:uiPriority w:val="9"/>
    <w:qFormat/>
    <w:rsid w:val="00DC1D74"/>
    <w:pPr>
      <w:keepNext/>
      <w:keepLines/>
      <w:spacing w:before="360" w:after="80"/>
      <w:jc w:val="center"/>
      <w:outlineLvl w:val="0"/>
    </w:pPr>
    <w:rPr>
      <w:rFonts w:eastAsiaTheme="majorEastAsia" w:cstheme="majorBidi"/>
      <w:b/>
      <w:color w:val="000000" w:themeColor="text1"/>
      <w:sz w:val="24"/>
      <w:szCs w:val="40"/>
    </w:rPr>
  </w:style>
  <w:style w:type="paragraph" w:styleId="Ttulo2">
    <w:name w:val="heading 2"/>
    <w:basedOn w:val="Normal"/>
    <w:next w:val="Normal"/>
    <w:link w:val="Ttulo2Car"/>
    <w:uiPriority w:val="9"/>
    <w:unhideWhenUsed/>
    <w:qFormat/>
    <w:rsid w:val="00DC1D74"/>
    <w:pPr>
      <w:keepNext/>
      <w:keepLines/>
      <w:spacing w:before="160" w:after="80"/>
      <w:jc w:val="center"/>
      <w:outlineLvl w:val="1"/>
    </w:pPr>
    <w:rPr>
      <w:rFonts w:eastAsiaTheme="majorEastAsia" w:cstheme="majorBidi"/>
      <w:b/>
      <w:color w:val="000000" w:themeColor="text1"/>
      <w:szCs w:val="32"/>
    </w:rPr>
  </w:style>
  <w:style w:type="paragraph" w:styleId="Ttulo3">
    <w:name w:val="heading 3"/>
    <w:basedOn w:val="Normal"/>
    <w:next w:val="Normal"/>
    <w:link w:val="Ttulo3Car"/>
    <w:uiPriority w:val="9"/>
    <w:unhideWhenUsed/>
    <w:qFormat/>
    <w:rsid w:val="009E20D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E20D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E20D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E20D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E20D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E20D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E20D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C1D74"/>
    <w:rPr>
      <w:rFonts w:ascii="Times New Roman" w:eastAsiaTheme="majorEastAsia" w:hAnsi="Times New Roman" w:cstheme="majorBidi"/>
      <w:b/>
      <w:color w:val="000000" w:themeColor="text1"/>
      <w:szCs w:val="40"/>
    </w:rPr>
  </w:style>
  <w:style w:type="character" w:customStyle="1" w:styleId="Ttulo2Car">
    <w:name w:val="Título 2 Car"/>
    <w:basedOn w:val="Fuentedeprrafopredeter"/>
    <w:link w:val="Ttulo2"/>
    <w:uiPriority w:val="9"/>
    <w:rsid w:val="00DC1D74"/>
    <w:rPr>
      <w:rFonts w:ascii="Times New Roman" w:eastAsiaTheme="majorEastAsia" w:hAnsi="Times New Roman" w:cstheme="majorBidi"/>
      <w:b/>
      <w:color w:val="000000" w:themeColor="text1"/>
      <w:sz w:val="20"/>
      <w:szCs w:val="32"/>
    </w:rPr>
  </w:style>
  <w:style w:type="character" w:customStyle="1" w:styleId="Ttulo3Car">
    <w:name w:val="Título 3 Car"/>
    <w:basedOn w:val="Fuentedeprrafopredeter"/>
    <w:link w:val="Ttulo3"/>
    <w:uiPriority w:val="9"/>
    <w:rsid w:val="009E20D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E20D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E20D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E20D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E20D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E20D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E20D9"/>
    <w:rPr>
      <w:rFonts w:eastAsiaTheme="majorEastAsia" w:cstheme="majorBidi"/>
      <w:color w:val="272727" w:themeColor="text1" w:themeTint="D8"/>
    </w:rPr>
  </w:style>
  <w:style w:type="paragraph" w:styleId="Ttulo">
    <w:name w:val="Title"/>
    <w:basedOn w:val="Normal"/>
    <w:next w:val="Normal"/>
    <w:link w:val="TtuloCar"/>
    <w:uiPriority w:val="10"/>
    <w:qFormat/>
    <w:rsid w:val="009E20D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E20D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E20D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E20D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E20D9"/>
    <w:pPr>
      <w:spacing w:before="160"/>
      <w:jc w:val="center"/>
    </w:pPr>
    <w:rPr>
      <w:i/>
      <w:iCs/>
      <w:color w:val="404040" w:themeColor="text1" w:themeTint="BF"/>
    </w:rPr>
  </w:style>
  <w:style w:type="character" w:customStyle="1" w:styleId="CitaCar">
    <w:name w:val="Cita Car"/>
    <w:basedOn w:val="Fuentedeprrafopredeter"/>
    <w:link w:val="Cita"/>
    <w:uiPriority w:val="29"/>
    <w:rsid w:val="009E20D9"/>
    <w:rPr>
      <w:i/>
      <w:iCs/>
      <w:color w:val="404040" w:themeColor="text1" w:themeTint="BF"/>
    </w:rPr>
  </w:style>
  <w:style w:type="paragraph" w:styleId="Prrafodelista">
    <w:name w:val="List Paragraph"/>
    <w:basedOn w:val="Normal"/>
    <w:uiPriority w:val="34"/>
    <w:qFormat/>
    <w:rsid w:val="009E20D9"/>
    <w:pPr>
      <w:ind w:left="720"/>
      <w:contextualSpacing/>
    </w:pPr>
  </w:style>
  <w:style w:type="character" w:styleId="nfasisintenso">
    <w:name w:val="Intense Emphasis"/>
    <w:basedOn w:val="Fuentedeprrafopredeter"/>
    <w:uiPriority w:val="21"/>
    <w:qFormat/>
    <w:rsid w:val="009E20D9"/>
    <w:rPr>
      <w:i/>
      <w:iCs/>
      <w:color w:val="0F4761" w:themeColor="accent1" w:themeShade="BF"/>
    </w:rPr>
  </w:style>
  <w:style w:type="paragraph" w:styleId="Citadestacada">
    <w:name w:val="Intense Quote"/>
    <w:basedOn w:val="Normal"/>
    <w:next w:val="Normal"/>
    <w:link w:val="CitadestacadaCar"/>
    <w:uiPriority w:val="30"/>
    <w:qFormat/>
    <w:rsid w:val="009E20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E20D9"/>
    <w:rPr>
      <w:i/>
      <w:iCs/>
      <w:color w:val="0F4761" w:themeColor="accent1" w:themeShade="BF"/>
    </w:rPr>
  </w:style>
  <w:style w:type="character" w:styleId="Referenciaintensa">
    <w:name w:val="Intense Reference"/>
    <w:basedOn w:val="Fuentedeprrafopredeter"/>
    <w:uiPriority w:val="32"/>
    <w:qFormat/>
    <w:rsid w:val="009E20D9"/>
    <w:rPr>
      <w:b/>
      <w:bCs/>
      <w:smallCaps/>
      <w:color w:val="0F4761" w:themeColor="accent1" w:themeShade="BF"/>
      <w:spacing w:val="5"/>
    </w:rPr>
  </w:style>
  <w:style w:type="character" w:styleId="Hipervnculo">
    <w:name w:val="Hyperlink"/>
    <w:basedOn w:val="Fuentedeprrafopredeter"/>
    <w:uiPriority w:val="99"/>
    <w:unhideWhenUsed/>
    <w:rsid w:val="00307237"/>
    <w:rPr>
      <w:color w:val="467886" w:themeColor="hyperlink"/>
      <w:u w:val="single"/>
    </w:rPr>
  </w:style>
  <w:style w:type="character" w:styleId="Mencinsinresolver">
    <w:name w:val="Unresolved Mention"/>
    <w:basedOn w:val="Fuentedeprrafopredeter"/>
    <w:uiPriority w:val="99"/>
    <w:semiHidden/>
    <w:unhideWhenUsed/>
    <w:rsid w:val="00307237"/>
    <w:rPr>
      <w:color w:val="605E5C"/>
      <w:shd w:val="clear" w:color="auto" w:fill="E1DFDD"/>
    </w:rPr>
  </w:style>
  <w:style w:type="paragraph" w:styleId="NormalWeb">
    <w:name w:val="Normal (Web)"/>
    <w:basedOn w:val="Normal"/>
    <w:uiPriority w:val="99"/>
    <w:unhideWhenUsed/>
    <w:rsid w:val="00583D51"/>
    <w:rPr>
      <w:rFonts w:cs="Times New Roman"/>
    </w:rPr>
  </w:style>
  <w:style w:type="character" w:styleId="nfasis">
    <w:name w:val="Emphasis"/>
    <w:basedOn w:val="Fuentedeprrafopredeter"/>
    <w:uiPriority w:val="20"/>
    <w:qFormat/>
    <w:rsid w:val="00E342FD"/>
    <w:rPr>
      <w:i/>
      <w:iCs/>
    </w:rPr>
  </w:style>
  <w:style w:type="character" w:styleId="Refdecomentario">
    <w:name w:val="annotation reference"/>
    <w:basedOn w:val="Fuentedeprrafopredeter"/>
    <w:uiPriority w:val="99"/>
    <w:semiHidden/>
    <w:unhideWhenUsed/>
    <w:rsid w:val="009A34F9"/>
    <w:rPr>
      <w:sz w:val="16"/>
      <w:szCs w:val="16"/>
    </w:rPr>
  </w:style>
  <w:style w:type="paragraph" w:styleId="Textocomentario">
    <w:name w:val="annotation text"/>
    <w:basedOn w:val="Normal"/>
    <w:link w:val="TextocomentarioCar"/>
    <w:uiPriority w:val="99"/>
    <w:unhideWhenUsed/>
    <w:rsid w:val="009A34F9"/>
    <w:rPr>
      <w:szCs w:val="20"/>
    </w:rPr>
  </w:style>
  <w:style w:type="character" w:customStyle="1" w:styleId="TextocomentarioCar">
    <w:name w:val="Texto comentario Car"/>
    <w:basedOn w:val="Fuentedeprrafopredeter"/>
    <w:link w:val="Textocomentario"/>
    <w:uiPriority w:val="99"/>
    <w:rsid w:val="009A34F9"/>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9A34F9"/>
    <w:rPr>
      <w:b/>
      <w:bCs/>
    </w:rPr>
  </w:style>
  <w:style w:type="character" w:customStyle="1" w:styleId="AsuntodelcomentarioCar">
    <w:name w:val="Asunto del comentario Car"/>
    <w:basedOn w:val="TextocomentarioCar"/>
    <w:link w:val="Asuntodelcomentario"/>
    <w:uiPriority w:val="99"/>
    <w:semiHidden/>
    <w:rsid w:val="009A34F9"/>
    <w:rPr>
      <w:rFonts w:ascii="Times New Roman" w:hAnsi="Times New Roman"/>
      <w:b/>
      <w:bCs/>
      <w:sz w:val="20"/>
      <w:szCs w:val="20"/>
    </w:rPr>
  </w:style>
  <w:style w:type="paragraph" w:styleId="Textodeglobo">
    <w:name w:val="Balloon Text"/>
    <w:basedOn w:val="Normal"/>
    <w:link w:val="TextodegloboCar"/>
    <w:uiPriority w:val="99"/>
    <w:semiHidden/>
    <w:unhideWhenUsed/>
    <w:rsid w:val="009A34F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34F9"/>
    <w:rPr>
      <w:rFonts w:ascii="Segoe UI" w:hAnsi="Segoe UI" w:cs="Segoe UI"/>
      <w:sz w:val="18"/>
      <w:szCs w:val="18"/>
    </w:rPr>
  </w:style>
  <w:style w:type="character" w:styleId="Hipervnculovisitado">
    <w:name w:val="FollowedHyperlink"/>
    <w:basedOn w:val="Fuentedeprrafopredeter"/>
    <w:uiPriority w:val="99"/>
    <w:semiHidden/>
    <w:unhideWhenUsed/>
    <w:rsid w:val="00A80331"/>
    <w:rPr>
      <w:color w:val="96607D" w:themeColor="followedHyperlink"/>
      <w:u w:val="single"/>
    </w:rPr>
  </w:style>
  <w:style w:type="paragraph" w:styleId="Revisin">
    <w:name w:val="Revision"/>
    <w:hidden/>
    <w:uiPriority w:val="99"/>
    <w:semiHidden/>
    <w:rsid w:val="007C2E8B"/>
    <w:pPr>
      <w:spacing w:after="0" w:line="240" w:lineRule="auto"/>
    </w:pPr>
    <w:rPr>
      <w:rFonts w:ascii="Times New Roman" w:hAnsi="Times New Roman"/>
      <w:sz w:val="20"/>
    </w:rPr>
  </w:style>
  <w:style w:type="paragraph" w:customStyle="1" w:styleId="Standard">
    <w:name w:val="Standard"/>
    <w:rsid w:val="009B7741"/>
    <w:pPr>
      <w:suppressAutoHyphens/>
      <w:autoSpaceDN w:val="0"/>
      <w:spacing w:line="259" w:lineRule="auto"/>
      <w:textAlignment w:val="baseline"/>
    </w:pPr>
    <w:rPr>
      <w:rFonts w:ascii="Aptos" w:eastAsia="Aptos" w:hAnsi="Aptos" w:cs="Aptos"/>
      <w:kern w:val="0"/>
      <w:sz w:val="22"/>
      <w:szCs w:val="22"/>
      <w:lang w:val="es-US" w:eastAsia="zh-CN" w:bidi="hi-IN"/>
      <w14:ligatures w14:val="none"/>
    </w:rPr>
  </w:style>
  <w:style w:type="numbering" w:customStyle="1" w:styleId="WWNum1">
    <w:name w:val="WWNum1"/>
    <w:basedOn w:val="Sinlista"/>
    <w:rsid w:val="009B7741"/>
    <w:pPr>
      <w:numPr>
        <w:numId w:val="1"/>
      </w:numPr>
    </w:pPr>
  </w:style>
  <w:style w:type="character" w:styleId="Textoennegrita">
    <w:name w:val="Strong"/>
    <w:basedOn w:val="Fuentedeprrafopredeter"/>
    <w:uiPriority w:val="22"/>
    <w:qFormat/>
    <w:rsid w:val="00422A9C"/>
    <w:rPr>
      <w:b/>
      <w:bCs/>
    </w:rPr>
  </w:style>
  <w:style w:type="paragraph" w:styleId="Encabezado">
    <w:name w:val="header"/>
    <w:basedOn w:val="Normal"/>
    <w:link w:val="EncabezadoCar"/>
    <w:uiPriority w:val="99"/>
    <w:unhideWhenUsed/>
    <w:rsid w:val="00551EB5"/>
    <w:pPr>
      <w:tabs>
        <w:tab w:val="center" w:pos="4419"/>
        <w:tab w:val="right" w:pos="8838"/>
      </w:tabs>
    </w:pPr>
  </w:style>
  <w:style w:type="character" w:customStyle="1" w:styleId="EncabezadoCar">
    <w:name w:val="Encabezado Car"/>
    <w:basedOn w:val="Fuentedeprrafopredeter"/>
    <w:link w:val="Encabezado"/>
    <w:uiPriority w:val="99"/>
    <w:rsid w:val="00551EB5"/>
    <w:rPr>
      <w:rFonts w:ascii="Times New Roman" w:hAnsi="Times New Roman"/>
      <w:sz w:val="20"/>
    </w:rPr>
  </w:style>
  <w:style w:type="paragraph" w:styleId="Piedepgina">
    <w:name w:val="footer"/>
    <w:basedOn w:val="Normal"/>
    <w:link w:val="PiedepginaCar"/>
    <w:uiPriority w:val="99"/>
    <w:unhideWhenUsed/>
    <w:rsid w:val="00551EB5"/>
    <w:pPr>
      <w:tabs>
        <w:tab w:val="center" w:pos="4419"/>
        <w:tab w:val="right" w:pos="8838"/>
      </w:tabs>
    </w:pPr>
  </w:style>
  <w:style w:type="character" w:customStyle="1" w:styleId="PiedepginaCar">
    <w:name w:val="Pie de página Car"/>
    <w:basedOn w:val="Fuentedeprrafopredeter"/>
    <w:link w:val="Piedepgina"/>
    <w:uiPriority w:val="99"/>
    <w:rsid w:val="00551EB5"/>
    <w:rPr>
      <w:rFonts w:ascii="Times New Roman" w:hAnsi="Times New Roman"/>
      <w:sz w:val="20"/>
    </w:rPr>
  </w:style>
  <w:style w:type="character" w:customStyle="1" w:styleId="apple-converted-space">
    <w:name w:val="apple-converted-space"/>
    <w:basedOn w:val="Fuentedeprrafopredeter"/>
    <w:rsid w:val="00A84652"/>
  </w:style>
  <w:style w:type="character" w:customStyle="1" w:styleId="screen-readers-only">
    <w:name w:val="screen-readers-only"/>
    <w:basedOn w:val="Fuentedeprrafopredeter"/>
    <w:rsid w:val="00A84652"/>
  </w:style>
  <w:style w:type="paragraph" w:styleId="TtuloTDC">
    <w:name w:val="TOC Heading"/>
    <w:basedOn w:val="Ttulo1"/>
    <w:next w:val="Normal"/>
    <w:uiPriority w:val="39"/>
    <w:unhideWhenUsed/>
    <w:qFormat/>
    <w:rsid w:val="00DC1D74"/>
    <w:pPr>
      <w:spacing w:before="240" w:after="0" w:line="259" w:lineRule="auto"/>
      <w:jc w:val="left"/>
      <w:outlineLvl w:val="9"/>
    </w:pPr>
    <w:rPr>
      <w:rFonts w:asciiTheme="majorHAnsi" w:hAnsiTheme="majorHAnsi"/>
      <w:b w:val="0"/>
      <w:color w:val="0F4761" w:themeColor="accent1" w:themeShade="BF"/>
      <w:kern w:val="0"/>
      <w:sz w:val="32"/>
      <w:szCs w:val="32"/>
      <w:lang w:eastAsia="es-CO"/>
      <w14:ligatures w14:val="none"/>
    </w:rPr>
  </w:style>
  <w:style w:type="paragraph" w:styleId="TDC2">
    <w:name w:val="toc 2"/>
    <w:basedOn w:val="Normal"/>
    <w:next w:val="Normal"/>
    <w:autoRedefine/>
    <w:uiPriority w:val="39"/>
    <w:unhideWhenUsed/>
    <w:rsid w:val="00DC1D74"/>
    <w:pPr>
      <w:spacing w:after="100"/>
      <w:ind w:left="200"/>
    </w:pPr>
  </w:style>
  <w:style w:type="paragraph" w:styleId="TDC1">
    <w:name w:val="toc 1"/>
    <w:basedOn w:val="Normal"/>
    <w:next w:val="Normal"/>
    <w:autoRedefine/>
    <w:uiPriority w:val="39"/>
    <w:unhideWhenUsed/>
    <w:rsid w:val="00DC1D74"/>
    <w:pPr>
      <w:spacing w:after="100"/>
    </w:pPr>
  </w:style>
  <w:style w:type="paragraph" w:styleId="TDC3">
    <w:name w:val="toc 3"/>
    <w:basedOn w:val="Normal"/>
    <w:next w:val="Normal"/>
    <w:autoRedefine/>
    <w:uiPriority w:val="39"/>
    <w:unhideWhenUsed/>
    <w:rsid w:val="00DC1D74"/>
    <w:pPr>
      <w:spacing w:after="100"/>
      <w:ind w:left="400"/>
    </w:pPr>
  </w:style>
  <w:style w:type="paragraph" w:styleId="TDC4">
    <w:name w:val="toc 4"/>
    <w:basedOn w:val="Normal"/>
    <w:next w:val="Normal"/>
    <w:autoRedefine/>
    <w:uiPriority w:val="39"/>
    <w:unhideWhenUsed/>
    <w:rsid w:val="00FE37E8"/>
    <w:pPr>
      <w:spacing w:after="100" w:line="278" w:lineRule="auto"/>
      <w:ind w:left="720"/>
    </w:pPr>
    <w:rPr>
      <w:rFonts w:asciiTheme="minorHAnsi" w:eastAsiaTheme="minorEastAsia" w:hAnsiTheme="minorHAnsi"/>
      <w:sz w:val="24"/>
      <w:lang w:eastAsia="es-CO"/>
    </w:rPr>
  </w:style>
  <w:style w:type="paragraph" w:styleId="TDC5">
    <w:name w:val="toc 5"/>
    <w:basedOn w:val="Normal"/>
    <w:next w:val="Normal"/>
    <w:autoRedefine/>
    <w:uiPriority w:val="39"/>
    <w:unhideWhenUsed/>
    <w:rsid w:val="00FE37E8"/>
    <w:pPr>
      <w:spacing w:after="100" w:line="278" w:lineRule="auto"/>
      <w:ind w:left="960"/>
    </w:pPr>
    <w:rPr>
      <w:rFonts w:asciiTheme="minorHAnsi" w:eastAsiaTheme="minorEastAsia" w:hAnsiTheme="minorHAnsi"/>
      <w:sz w:val="24"/>
      <w:lang w:eastAsia="es-CO"/>
    </w:rPr>
  </w:style>
  <w:style w:type="paragraph" w:styleId="TDC6">
    <w:name w:val="toc 6"/>
    <w:basedOn w:val="Normal"/>
    <w:next w:val="Normal"/>
    <w:autoRedefine/>
    <w:uiPriority w:val="39"/>
    <w:unhideWhenUsed/>
    <w:rsid w:val="00FE37E8"/>
    <w:pPr>
      <w:spacing w:after="100" w:line="278" w:lineRule="auto"/>
      <w:ind w:left="1200"/>
    </w:pPr>
    <w:rPr>
      <w:rFonts w:asciiTheme="minorHAnsi" w:eastAsiaTheme="minorEastAsia" w:hAnsiTheme="minorHAnsi"/>
      <w:sz w:val="24"/>
      <w:lang w:eastAsia="es-CO"/>
    </w:rPr>
  </w:style>
  <w:style w:type="paragraph" w:styleId="TDC7">
    <w:name w:val="toc 7"/>
    <w:basedOn w:val="Normal"/>
    <w:next w:val="Normal"/>
    <w:autoRedefine/>
    <w:uiPriority w:val="39"/>
    <w:unhideWhenUsed/>
    <w:rsid w:val="00FE37E8"/>
    <w:pPr>
      <w:spacing w:after="100" w:line="278" w:lineRule="auto"/>
      <w:ind w:left="1440"/>
    </w:pPr>
    <w:rPr>
      <w:rFonts w:asciiTheme="minorHAnsi" w:eastAsiaTheme="minorEastAsia" w:hAnsiTheme="minorHAnsi"/>
      <w:sz w:val="24"/>
      <w:lang w:eastAsia="es-CO"/>
    </w:rPr>
  </w:style>
  <w:style w:type="paragraph" w:styleId="TDC8">
    <w:name w:val="toc 8"/>
    <w:basedOn w:val="Normal"/>
    <w:next w:val="Normal"/>
    <w:autoRedefine/>
    <w:uiPriority w:val="39"/>
    <w:unhideWhenUsed/>
    <w:rsid w:val="00FE37E8"/>
    <w:pPr>
      <w:spacing w:after="100" w:line="278" w:lineRule="auto"/>
      <w:ind w:left="1680"/>
    </w:pPr>
    <w:rPr>
      <w:rFonts w:asciiTheme="minorHAnsi" w:eastAsiaTheme="minorEastAsia" w:hAnsiTheme="minorHAnsi"/>
      <w:sz w:val="24"/>
      <w:lang w:eastAsia="es-CO"/>
    </w:rPr>
  </w:style>
  <w:style w:type="paragraph" w:styleId="TDC9">
    <w:name w:val="toc 9"/>
    <w:basedOn w:val="Normal"/>
    <w:next w:val="Normal"/>
    <w:autoRedefine/>
    <w:uiPriority w:val="39"/>
    <w:unhideWhenUsed/>
    <w:rsid w:val="00FE37E8"/>
    <w:pPr>
      <w:spacing w:after="100" w:line="278" w:lineRule="auto"/>
      <w:ind w:left="1920"/>
    </w:pPr>
    <w:rPr>
      <w:rFonts w:asciiTheme="minorHAnsi" w:eastAsiaTheme="minorEastAsia" w:hAnsiTheme="minorHAnsi"/>
      <w:sz w:val="24"/>
      <w:lang w:eastAsia="es-CO"/>
    </w:rPr>
  </w:style>
  <w:style w:type="table" w:styleId="Tablaconcuadrcula5oscura-nfasis5">
    <w:name w:val="Grid Table 5 Dark Accent 5"/>
    <w:basedOn w:val="Tablanormal"/>
    <w:uiPriority w:val="50"/>
    <w:rsid w:val="00C33521"/>
    <w:pPr>
      <w:spacing w:after="0" w:line="240" w:lineRule="auto"/>
    </w:pPr>
    <w:rPr>
      <w:rFonts w:eastAsia="Arial"/>
      <w:kern w:val="0"/>
      <w:sz w:val="22"/>
      <w:szCs w:val="22"/>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Tablaconcuadrcula">
    <w:name w:val="Table Grid"/>
    <w:basedOn w:val="Tablanormal"/>
    <w:uiPriority w:val="39"/>
    <w:rsid w:val="002E3B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basedOn w:val="Fuentedeprrafopredeter"/>
    <w:uiPriority w:val="99"/>
    <w:semiHidden/>
    <w:unhideWhenUsed/>
    <w:rsid w:val="009E5666"/>
    <w:rPr>
      <w:vertAlign w:val="superscript"/>
    </w:rPr>
  </w:style>
  <w:style w:type="paragraph" w:styleId="Textonotapie">
    <w:name w:val="footnote text"/>
    <w:basedOn w:val="Normal"/>
    <w:link w:val="TextonotapieCar"/>
    <w:uiPriority w:val="99"/>
    <w:semiHidden/>
    <w:unhideWhenUsed/>
    <w:rsid w:val="00A22760"/>
    <w:rPr>
      <w:rFonts w:eastAsia="Arial" w:cs="Arial"/>
      <w:kern w:val="0"/>
      <w:szCs w:val="20"/>
      <w:lang w:val="en"/>
      <w14:ligatures w14:val="none"/>
    </w:rPr>
  </w:style>
  <w:style w:type="character" w:customStyle="1" w:styleId="TextonotapieCar">
    <w:name w:val="Texto nota pie Car"/>
    <w:basedOn w:val="Fuentedeprrafopredeter"/>
    <w:link w:val="Textonotapie"/>
    <w:uiPriority w:val="99"/>
    <w:semiHidden/>
    <w:rsid w:val="00A22760"/>
    <w:rPr>
      <w:rFonts w:ascii="Times New Roman" w:eastAsia="Arial" w:hAnsi="Times New Roman" w:cs="Arial"/>
      <w:kern w:val="0"/>
      <w:sz w:val="20"/>
      <w:szCs w:val="20"/>
      <w:lang w:val="en"/>
      <w14:ligatures w14:val="none"/>
    </w:rPr>
  </w:style>
  <w:style w:type="paragraph" w:styleId="Textoindependiente">
    <w:name w:val="Body Text"/>
    <w:basedOn w:val="Normal"/>
    <w:link w:val="TextoindependienteCar"/>
    <w:uiPriority w:val="1"/>
    <w:qFormat/>
    <w:rsid w:val="00D56509"/>
    <w:pPr>
      <w:widowControl w:val="0"/>
      <w:autoSpaceDE w:val="0"/>
      <w:autoSpaceDN w:val="0"/>
      <w:ind w:left="86"/>
    </w:pPr>
    <w:rPr>
      <w:rFonts w:ascii="Arial MT" w:eastAsia="Arial MT" w:hAnsi="Arial MT" w:cs="Arial MT"/>
      <w:kern w:val="0"/>
      <w:sz w:val="33"/>
      <w:szCs w:val="33"/>
      <w:lang w:val="en-US"/>
      <w14:ligatures w14:val="none"/>
    </w:rPr>
  </w:style>
  <w:style w:type="character" w:customStyle="1" w:styleId="TextoindependienteCar">
    <w:name w:val="Texto independiente Car"/>
    <w:basedOn w:val="Fuentedeprrafopredeter"/>
    <w:link w:val="Textoindependiente"/>
    <w:uiPriority w:val="1"/>
    <w:rsid w:val="00D56509"/>
    <w:rPr>
      <w:rFonts w:ascii="Arial MT" w:eastAsia="Arial MT" w:hAnsi="Arial MT" w:cs="Arial MT"/>
      <w:kern w:val="0"/>
      <w:sz w:val="33"/>
      <w:szCs w:val="33"/>
      <w:lang w:val="en-US"/>
      <w14:ligatures w14:val="none"/>
    </w:rPr>
  </w:style>
  <w:style w:type="paragraph" w:customStyle="1" w:styleId="p1">
    <w:name w:val="p1"/>
    <w:basedOn w:val="Normal"/>
    <w:rsid w:val="00441AE7"/>
    <w:rPr>
      <w:rFonts w:ascii="Arial" w:eastAsia="Times New Roman" w:hAnsi="Arial" w:cs="Arial"/>
      <w:color w:val="000000"/>
      <w:kern w:val="0"/>
      <w:sz w:val="18"/>
      <w:szCs w:val="18"/>
      <w:lang w:eastAsia="es-MX"/>
      <w14:ligatures w14:val="none"/>
    </w:rPr>
  </w:style>
  <w:style w:type="paragraph" w:customStyle="1" w:styleId="css-ruketr">
    <w:name w:val="css-ruketr"/>
    <w:basedOn w:val="Normal"/>
    <w:rsid w:val="00AC3BCA"/>
    <w:pPr>
      <w:spacing w:before="100" w:beforeAutospacing="1" w:after="100" w:afterAutospacing="1"/>
    </w:pPr>
    <w:rPr>
      <w:rFonts w:eastAsia="Times New Roman" w:cs="Times New Roman"/>
      <w:kern w:val="0"/>
      <w:sz w:val="24"/>
      <w:lang w:val="es-MX" w:eastAsia="ja-JP"/>
      <w14:ligatures w14:val="none"/>
    </w:rPr>
  </w:style>
  <w:style w:type="paragraph" w:customStyle="1" w:styleId="css-11vzj2f">
    <w:name w:val="css-11vzj2f"/>
    <w:basedOn w:val="Normal"/>
    <w:rsid w:val="00AC3BCA"/>
    <w:pPr>
      <w:spacing w:before="100" w:beforeAutospacing="1" w:after="100" w:afterAutospacing="1"/>
    </w:pPr>
    <w:rPr>
      <w:rFonts w:eastAsia="Times New Roman" w:cs="Times New Roman"/>
      <w:kern w:val="0"/>
      <w:sz w:val="24"/>
      <w:lang w:val="es-MX" w:eastAsia="ja-JP"/>
      <w14:ligatures w14:val="none"/>
    </w:rPr>
  </w:style>
  <w:style w:type="character" w:customStyle="1" w:styleId="css-1xhm86d">
    <w:name w:val="css-1xhm86d"/>
    <w:basedOn w:val="Fuentedeprrafopredeter"/>
    <w:rsid w:val="00AC3BCA"/>
  </w:style>
  <w:style w:type="character" w:customStyle="1" w:styleId="kyt-mdd4r">
    <w:name w:val="kyt-mdd4r"/>
    <w:basedOn w:val="Fuentedeprrafopredeter"/>
    <w:rsid w:val="00AC3BCA"/>
  </w:style>
  <w:style w:type="paragraph" w:customStyle="1" w:styleId="css-1obgmli">
    <w:name w:val="css-1obgmli"/>
    <w:basedOn w:val="Normal"/>
    <w:rsid w:val="00AC3BCA"/>
    <w:pPr>
      <w:spacing w:before="100" w:beforeAutospacing="1" w:after="100" w:afterAutospacing="1"/>
    </w:pPr>
    <w:rPr>
      <w:rFonts w:eastAsia="Times New Roman" w:cs="Times New Roman"/>
      <w:kern w:val="0"/>
      <w:sz w:val="24"/>
      <w:lang w:val="es-MX" w:eastAsia="ja-JP"/>
      <w14:ligatures w14:val="none"/>
    </w:rPr>
  </w:style>
  <w:style w:type="character" w:customStyle="1" w:styleId="css-10d8k1f">
    <w:name w:val="css-10d8k1f"/>
    <w:basedOn w:val="Fuentedeprrafopredeter"/>
    <w:rsid w:val="00AC3BCA"/>
  </w:style>
  <w:style w:type="paragraph" w:customStyle="1" w:styleId="css-19yhb3c">
    <w:name w:val="css-19yhb3c"/>
    <w:basedOn w:val="Normal"/>
    <w:rsid w:val="00AC3BCA"/>
    <w:pPr>
      <w:spacing w:before="100" w:beforeAutospacing="1" w:after="100" w:afterAutospacing="1"/>
    </w:pPr>
    <w:rPr>
      <w:rFonts w:eastAsia="Times New Roman" w:cs="Times New Roman"/>
      <w:kern w:val="0"/>
      <w:sz w:val="24"/>
      <w:lang w:val="es-MX" w:eastAsia="ja-JP"/>
      <w14:ligatures w14:val="none"/>
    </w:rPr>
  </w:style>
  <w:style w:type="character" w:customStyle="1" w:styleId="css-1k9w9vl">
    <w:name w:val="css-1k9w9vl"/>
    <w:basedOn w:val="Fuentedeprrafopredeter"/>
    <w:rsid w:val="00AC3BCA"/>
  </w:style>
  <w:style w:type="paragraph" w:customStyle="1" w:styleId="css-19ur514">
    <w:name w:val="css-19ur514"/>
    <w:basedOn w:val="Normal"/>
    <w:rsid w:val="00AC3BCA"/>
    <w:pPr>
      <w:spacing w:before="100" w:beforeAutospacing="1" w:after="100" w:afterAutospacing="1"/>
    </w:pPr>
    <w:rPr>
      <w:rFonts w:eastAsia="Times New Roman" w:cs="Times New Roman"/>
      <w:kern w:val="0"/>
      <w:sz w:val="24"/>
      <w:lang w:val="es-MX" w:eastAsia="ja-JP"/>
      <w14:ligatures w14:val="none"/>
    </w:rPr>
  </w:style>
  <w:style w:type="character" w:customStyle="1" w:styleId="byline-prefix">
    <w:name w:val="byline-prefix"/>
    <w:basedOn w:val="Fuentedeprrafopredeter"/>
    <w:rsid w:val="00AC3BCA"/>
  </w:style>
  <w:style w:type="paragraph" w:customStyle="1" w:styleId="css-1q9nsh0">
    <w:name w:val="css-1q9nsh0"/>
    <w:basedOn w:val="Normal"/>
    <w:rsid w:val="00AC3BCA"/>
    <w:pPr>
      <w:spacing w:before="100" w:beforeAutospacing="1" w:after="100" w:afterAutospacing="1"/>
    </w:pPr>
    <w:rPr>
      <w:rFonts w:eastAsia="Times New Roman" w:cs="Times New Roman"/>
      <w:kern w:val="0"/>
      <w:sz w:val="24"/>
      <w:lang w:val="es-MX" w:eastAsia="ja-JP"/>
      <w14:ligatures w14:val="none"/>
    </w:rPr>
  </w:style>
  <w:style w:type="paragraph" w:customStyle="1" w:styleId="css-ccw2r3">
    <w:name w:val="css-ccw2r3"/>
    <w:basedOn w:val="Normal"/>
    <w:rsid w:val="00AC3BCA"/>
    <w:pPr>
      <w:spacing w:before="100" w:beforeAutospacing="1" w:after="100" w:afterAutospacing="1"/>
    </w:pPr>
    <w:rPr>
      <w:rFonts w:eastAsia="Times New Roman" w:cs="Times New Roman"/>
      <w:kern w:val="0"/>
      <w:sz w:val="24"/>
      <w:lang w:val="es-MX" w:eastAsia="ja-JP"/>
      <w14:ligatures w14:val="none"/>
    </w:rPr>
  </w:style>
  <w:style w:type="paragraph" w:customStyle="1" w:styleId="css-ac37hb">
    <w:name w:val="css-ac37hb"/>
    <w:basedOn w:val="Normal"/>
    <w:rsid w:val="00AC3BCA"/>
    <w:pPr>
      <w:spacing w:before="100" w:beforeAutospacing="1" w:after="100" w:afterAutospacing="1"/>
    </w:pPr>
    <w:rPr>
      <w:rFonts w:eastAsia="Times New Roman" w:cs="Times New Roman"/>
      <w:kern w:val="0"/>
      <w:sz w:val="24"/>
      <w:lang w:val="es-MX" w:eastAsia="ja-JP"/>
      <w14:ligatures w14:val="none"/>
    </w:rPr>
  </w:style>
  <w:style w:type="paragraph" w:customStyle="1" w:styleId="css-zry96z">
    <w:name w:val="css-zry96z"/>
    <w:basedOn w:val="Normal"/>
    <w:rsid w:val="00AC3BCA"/>
    <w:pPr>
      <w:spacing w:before="100" w:beforeAutospacing="1" w:after="100" w:afterAutospacing="1"/>
    </w:pPr>
    <w:rPr>
      <w:rFonts w:eastAsia="Times New Roman" w:cs="Times New Roman"/>
      <w:kern w:val="0"/>
      <w:sz w:val="24"/>
      <w:lang w:val="es-MX" w:eastAsia="ja-JP"/>
      <w14:ligatures w14:val="none"/>
    </w:rPr>
  </w:style>
  <w:style w:type="paragraph" w:customStyle="1" w:styleId="css-137wt66">
    <w:name w:val="css-137wt66"/>
    <w:basedOn w:val="Normal"/>
    <w:rsid w:val="00AC3BCA"/>
    <w:pPr>
      <w:spacing w:before="100" w:beforeAutospacing="1" w:after="100" w:afterAutospacing="1"/>
    </w:pPr>
    <w:rPr>
      <w:rFonts w:eastAsia="Times New Roman" w:cs="Times New Roman"/>
      <w:kern w:val="0"/>
      <w:sz w:val="24"/>
      <w:lang w:val="es-MX" w:eastAsia="ja-JP"/>
      <w14:ligatures w14:val="none"/>
    </w:rPr>
  </w:style>
  <w:style w:type="paragraph" w:customStyle="1" w:styleId="css-1jyz3c1">
    <w:name w:val="css-1jyz3c1"/>
    <w:basedOn w:val="Normal"/>
    <w:rsid w:val="00AC3BCA"/>
    <w:pPr>
      <w:spacing w:before="100" w:beforeAutospacing="1" w:after="100" w:afterAutospacing="1"/>
    </w:pPr>
    <w:rPr>
      <w:rFonts w:eastAsia="Times New Roman" w:cs="Times New Roman"/>
      <w:kern w:val="0"/>
      <w:sz w:val="24"/>
      <w:lang w:val="es-MX" w:eastAsia="ja-JP"/>
      <w14:ligatures w14:val="none"/>
    </w:rPr>
  </w:style>
  <w:style w:type="character" w:customStyle="1" w:styleId="css-9u48bm">
    <w:name w:val="css-9u48bm"/>
    <w:basedOn w:val="Fuentedeprrafopredeter"/>
    <w:rsid w:val="00AC3BCA"/>
  </w:style>
  <w:style w:type="character" w:customStyle="1" w:styleId="css-dtk1i2">
    <w:name w:val="css-dtk1i2"/>
    <w:basedOn w:val="Fuentedeprrafopredeter"/>
    <w:rsid w:val="00AC3BCA"/>
  </w:style>
  <w:style w:type="character" w:customStyle="1" w:styleId="css-1dmwf73">
    <w:name w:val="css-1dmwf73"/>
    <w:basedOn w:val="Fuentedeprrafopredeter"/>
    <w:rsid w:val="00AC3BCA"/>
  </w:style>
  <w:style w:type="paragraph" w:customStyle="1" w:styleId="css-tjy6w6">
    <w:name w:val="css-tjy6w6"/>
    <w:basedOn w:val="Normal"/>
    <w:rsid w:val="00AC3BCA"/>
    <w:pPr>
      <w:spacing w:before="100" w:beforeAutospacing="1" w:after="100" w:afterAutospacing="1"/>
    </w:pPr>
    <w:rPr>
      <w:rFonts w:eastAsia="Times New Roman" w:cs="Times New Roman"/>
      <w:kern w:val="0"/>
      <w:sz w:val="24"/>
      <w:lang w:val="es-MX" w:eastAsia="ja-JP"/>
      <w14:ligatures w14:val="none"/>
    </w:rPr>
  </w:style>
  <w:style w:type="paragraph" w:customStyle="1" w:styleId="css-dsng1s">
    <w:name w:val="css-dsng1s"/>
    <w:basedOn w:val="Normal"/>
    <w:rsid w:val="00AC3BCA"/>
    <w:pPr>
      <w:spacing w:before="100" w:beforeAutospacing="1" w:after="100" w:afterAutospacing="1"/>
    </w:pPr>
    <w:rPr>
      <w:rFonts w:eastAsia="Times New Roman" w:cs="Times New Roman"/>
      <w:kern w:val="0"/>
      <w:sz w:val="24"/>
      <w:lang w:val="es-MX" w:eastAsia="ja-JP"/>
      <w14:ligatures w14:val="none"/>
    </w:rPr>
  </w:style>
  <w:style w:type="paragraph" w:customStyle="1" w:styleId="css-9t76xi">
    <w:name w:val="css-9t76xi"/>
    <w:basedOn w:val="Normal"/>
    <w:rsid w:val="00AC3BCA"/>
    <w:pPr>
      <w:spacing w:before="100" w:beforeAutospacing="1" w:after="100" w:afterAutospacing="1"/>
    </w:pPr>
    <w:rPr>
      <w:rFonts w:eastAsia="Times New Roman" w:cs="Times New Roman"/>
      <w:kern w:val="0"/>
      <w:sz w:val="24"/>
      <w:lang w:val="es-MX" w:eastAsia="ja-JP"/>
      <w14:ligatures w14:val="none"/>
    </w:rPr>
  </w:style>
  <w:style w:type="paragraph" w:customStyle="1" w:styleId="css-a7htku">
    <w:name w:val="css-a7htku"/>
    <w:basedOn w:val="Normal"/>
    <w:rsid w:val="00AC3BCA"/>
    <w:pPr>
      <w:spacing w:before="100" w:beforeAutospacing="1" w:after="100" w:afterAutospacing="1"/>
    </w:pPr>
    <w:rPr>
      <w:rFonts w:eastAsia="Times New Roman" w:cs="Times New Roman"/>
      <w:kern w:val="0"/>
      <w:sz w:val="24"/>
      <w:lang w:val="es-MX" w:eastAsia="ja-JP"/>
      <w14:ligatures w14:val="none"/>
    </w:rPr>
  </w:style>
  <w:style w:type="paragraph" w:customStyle="1" w:styleId="wp-block-paragraph">
    <w:name w:val="wp-block-paragraph"/>
    <w:basedOn w:val="Normal"/>
    <w:rsid w:val="00044510"/>
    <w:pPr>
      <w:spacing w:before="100" w:beforeAutospacing="1" w:after="100" w:afterAutospacing="1"/>
    </w:pPr>
    <w:rPr>
      <w:rFonts w:eastAsia="Times New Roman" w:cs="Times New Roman"/>
      <w:kern w:val="0"/>
      <w:sz w:val="24"/>
      <w:lang w:eastAsia="es-CO"/>
      <w14:ligatures w14:val="none"/>
    </w:rPr>
  </w:style>
  <w:style w:type="character" w:customStyle="1" w:styleId="ema-glossary-term">
    <w:name w:val="ema-glossary-term"/>
    <w:basedOn w:val="Fuentedeprrafopredeter"/>
    <w:rsid w:val="009F0519"/>
  </w:style>
  <w:style w:type="paragraph" w:customStyle="1" w:styleId="file-title">
    <w:name w:val="file-title"/>
    <w:basedOn w:val="Normal"/>
    <w:rsid w:val="009F0519"/>
    <w:pPr>
      <w:spacing w:before="100" w:beforeAutospacing="1" w:after="100" w:afterAutospacing="1"/>
    </w:pPr>
    <w:rPr>
      <w:rFonts w:eastAsia="Times New Roman" w:cs="Times New Roman"/>
      <w:kern w:val="0"/>
      <w:sz w:val="24"/>
      <w:lang w:eastAsia="es-CO"/>
      <w14:ligatures w14:val="none"/>
    </w:rPr>
  </w:style>
  <w:style w:type="paragraph" w:styleId="Sinespaciado">
    <w:name w:val="No Spacing"/>
    <w:uiPriority w:val="1"/>
    <w:qFormat/>
    <w:rsid w:val="005A3F3F"/>
    <w:pPr>
      <w:spacing w:after="0" w:line="240" w:lineRule="auto"/>
    </w:pPr>
    <w:rPr>
      <w:rFonts w:ascii="Times New Roman" w:hAnsi="Times New Roman"/>
      <w:sz w:val="20"/>
    </w:rPr>
  </w:style>
  <w:style w:type="table" w:customStyle="1" w:styleId="TableGrid2">
    <w:name w:val="Table Grid2"/>
    <w:basedOn w:val="Tablanormal"/>
    <w:next w:val="Tablaconcuadrcula"/>
    <w:uiPriority w:val="39"/>
    <w:rsid w:val="00714B7D"/>
    <w:pPr>
      <w:spacing w:after="0" w:line="240" w:lineRule="auto"/>
    </w:pPr>
    <w:rPr>
      <w:rFonts w:eastAsia="Arial"/>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8672">
      <w:bodyDiv w:val="1"/>
      <w:marLeft w:val="0"/>
      <w:marRight w:val="0"/>
      <w:marTop w:val="0"/>
      <w:marBottom w:val="0"/>
      <w:divBdr>
        <w:top w:val="none" w:sz="0" w:space="0" w:color="auto"/>
        <w:left w:val="none" w:sz="0" w:space="0" w:color="auto"/>
        <w:bottom w:val="none" w:sz="0" w:space="0" w:color="auto"/>
        <w:right w:val="none" w:sz="0" w:space="0" w:color="auto"/>
      </w:divBdr>
    </w:div>
    <w:div w:id="19203509">
      <w:bodyDiv w:val="1"/>
      <w:marLeft w:val="0"/>
      <w:marRight w:val="0"/>
      <w:marTop w:val="0"/>
      <w:marBottom w:val="0"/>
      <w:divBdr>
        <w:top w:val="none" w:sz="0" w:space="0" w:color="auto"/>
        <w:left w:val="none" w:sz="0" w:space="0" w:color="auto"/>
        <w:bottom w:val="none" w:sz="0" w:space="0" w:color="auto"/>
        <w:right w:val="none" w:sz="0" w:space="0" w:color="auto"/>
      </w:divBdr>
    </w:div>
    <w:div w:id="20399468">
      <w:bodyDiv w:val="1"/>
      <w:marLeft w:val="0"/>
      <w:marRight w:val="0"/>
      <w:marTop w:val="0"/>
      <w:marBottom w:val="0"/>
      <w:divBdr>
        <w:top w:val="none" w:sz="0" w:space="0" w:color="auto"/>
        <w:left w:val="none" w:sz="0" w:space="0" w:color="auto"/>
        <w:bottom w:val="none" w:sz="0" w:space="0" w:color="auto"/>
        <w:right w:val="none" w:sz="0" w:space="0" w:color="auto"/>
      </w:divBdr>
      <w:divsChild>
        <w:div w:id="1740253097">
          <w:marLeft w:val="0"/>
          <w:marRight w:val="0"/>
          <w:marTop w:val="0"/>
          <w:marBottom w:val="240"/>
          <w:divBdr>
            <w:top w:val="none" w:sz="0" w:space="0" w:color="auto"/>
            <w:left w:val="none" w:sz="0" w:space="0" w:color="auto"/>
            <w:bottom w:val="none" w:sz="0" w:space="0" w:color="auto"/>
            <w:right w:val="none" w:sz="0" w:space="0" w:color="auto"/>
          </w:divBdr>
        </w:div>
      </w:divsChild>
    </w:div>
    <w:div w:id="28075268">
      <w:bodyDiv w:val="1"/>
      <w:marLeft w:val="0"/>
      <w:marRight w:val="0"/>
      <w:marTop w:val="0"/>
      <w:marBottom w:val="0"/>
      <w:divBdr>
        <w:top w:val="none" w:sz="0" w:space="0" w:color="auto"/>
        <w:left w:val="none" w:sz="0" w:space="0" w:color="auto"/>
        <w:bottom w:val="none" w:sz="0" w:space="0" w:color="auto"/>
        <w:right w:val="none" w:sz="0" w:space="0" w:color="auto"/>
      </w:divBdr>
      <w:divsChild>
        <w:div w:id="641471639">
          <w:marLeft w:val="0"/>
          <w:marRight w:val="0"/>
          <w:marTop w:val="0"/>
          <w:marBottom w:val="0"/>
          <w:divBdr>
            <w:top w:val="single" w:sz="2" w:space="0" w:color="E5E7EB"/>
            <w:left w:val="single" w:sz="2" w:space="0" w:color="E5E7EB"/>
            <w:bottom w:val="single" w:sz="2" w:space="0" w:color="E5E7EB"/>
            <w:right w:val="single" w:sz="2" w:space="0" w:color="E5E7EB"/>
          </w:divBdr>
          <w:divsChild>
            <w:div w:id="21292720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4816669">
      <w:bodyDiv w:val="1"/>
      <w:marLeft w:val="0"/>
      <w:marRight w:val="0"/>
      <w:marTop w:val="0"/>
      <w:marBottom w:val="0"/>
      <w:divBdr>
        <w:top w:val="none" w:sz="0" w:space="0" w:color="auto"/>
        <w:left w:val="none" w:sz="0" w:space="0" w:color="auto"/>
        <w:bottom w:val="none" w:sz="0" w:space="0" w:color="auto"/>
        <w:right w:val="none" w:sz="0" w:space="0" w:color="auto"/>
      </w:divBdr>
      <w:divsChild>
        <w:div w:id="634338723">
          <w:marLeft w:val="0"/>
          <w:marRight w:val="0"/>
          <w:marTop w:val="0"/>
          <w:marBottom w:val="0"/>
          <w:divBdr>
            <w:top w:val="none" w:sz="0" w:space="0" w:color="auto"/>
            <w:left w:val="none" w:sz="0" w:space="0" w:color="auto"/>
            <w:bottom w:val="none" w:sz="0" w:space="0" w:color="auto"/>
            <w:right w:val="none" w:sz="0" w:space="0" w:color="auto"/>
          </w:divBdr>
        </w:div>
        <w:div w:id="885608871">
          <w:marLeft w:val="0"/>
          <w:marRight w:val="0"/>
          <w:marTop w:val="0"/>
          <w:marBottom w:val="0"/>
          <w:divBdr>
            <w:top w:val="none" w:sz="0" w:space="0" w:color="auto"/>
            <w:left w:val="none" w:sz="0" w:space="0" w:color="auto"/>
            <w:bottom w:val="none" w:sz="0" w:space="0" w:color="auto"/>
            <w:right w:val="none" w:sz="0" w:space="0" w:color="auto"/>
          </w:divBdr>
        </w:div>
      </w:divsChild>
    </w:div>
    <w:div w:id="37438071">
      <w:bodyDiv w:val="1"/>
      <w:marLeft w:val="0"/>
      <w:marRight w:val="0"/>
      <w:marTop w:val="0"/>
      <w:marBottom w:val="0"/>
      <w:divBdr>
        <w:top w:val="none" w:sz="0" w:space="0" w:color="auto"/>
        <w:left w:val="none" w:sz="0" w:space="0" w:color="auto"/>
        <w:bottom w:val="none" w:sz="0" w:space="0" w:color="auto"/>
        <w:right w:val="none" w:sz="0" w:space="0" w:color="auto"/>
      </w:divBdr>
      <w:divsChild>
        <w:div w:id="1111168772">
          <w:marLeft w:val="0"/>
          <w:marRight w:val="0"/>
          <w:marTop w:val="0"/>
          <w:marBottom w:val="0"/>
          <w:divBdr>
            <w:top w:val="single" w:sz="2" w:space="0" w:color="E5E7EB"/>
            <w:left w:val="single" w:sz="2" w:space="0" w:color="E5E7EB"/>
            <w:bottom w:val="single" w:sz="2" w:space="0" w:color="E5E7EB"/>
            <w:right w:val="single" w:sz="2" w:space="0" w:color="E5E7EB"/>
          </w:divBdr>
        </w:div>
        <w:div w:id="1558475490">
          <w:marLeft w:val="0"/>
          <w:marRight w:val="0"/>
          <w:marTop w:val="0"/>
          <w:marBottom w:val="0"/>
          <w:divBdr>
            <w:top w:val="single" w:sz="2" w:space="0" w:color="E5E7EB"/>
            <w:left w:val="single" w:sz="2" w:space="0" w:color="E5E7EB"/>
            <w:bottom w:val="single" w:sz="2" w:space="0" w:color="E5E7EB"/>
            <w:right w:val="single" w:sz="2" w:space="0" w:color="E5E7EB"/>
          </w:divBdr>
        </w:div>
        <w:div w:id="16783814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325647">
      <w:bodyDiv w:val="1"/>
      <w:marLeft w:val="0"/>
      <w:marRight w:val="0"/>
      <w:marTop w:val="0"/>
      <w:marBottom w:val="0"/>
      <w:divBdr>
        <w:top w:val="none" w:sz="0" w:space="0" w:color="auto"/>
        <w:left w:val="none" w:sz="0" w:space="0" w:color="auto"/>
        <w:bottom w:val="none" w:sz="0" w:space="0" w:color="auto"/>
        <w:right w:val="none" w:sz="0" w:space="0" w:color="auto"/>
      </w:divBdr>
    </w:div>
    <w:div w:id="58671526">
      <w:bodyDiv w:val="1"/>
      <w:marLeft w:val="0"/>
      <w:marRight w:val="0"/>
      <w:marTop w:val="0"/>
      <w:marBottom w:val="0"/>
      <w:divBdr>
        <w:top w:val="none" w:sz="0" w:space="0" w:color="auto"/>
        <w:left w:val="none" w:sz="0" w:space="0" w:color="auto"/>
        <w:bottom w:val="none" w:sz="0" w:space="0" w:color="auto"/>
        <w:right w:val="none" w:sz="0" w:space="0" w:color="auto"/>
      </w:divBdr>
      <w:divsChild>
        <w:div w:id="12984871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0661588">
      <w:bodyDiv w:val="1"/>
      <w:marLeft w:val="0"/>
      <w:marRight w:val="0"/>
      <w:marTop w:val="0"/>
      <w:marBottom w:val="0"/>
      <w:divBdr>
        <w:top w:val="none" w:sz="0" w:space="0" w:color="auto"/>
        <w:left w:val="none" w:sz="0" w:space="0" w:color="auto"/>
        <w:bottom w:val="none" w:sz="0" w:space="0" w:color="auto"/>
        <w:right w:val="none" w:sz="0" w:space="0" w:color="auto"/>
      </w:divBdr>
      <w:divsChild>
        <w:div w:id="1162888874">
          <w:marLeft w:val="0"/>
          <w:marRight w:val="0"/>
          <w:marTop w:val="0"/>
          <w:marBottom w:val="240"/>
          <w:divBdr>
            <w:top w:val="none" w:sz="0" w:space="0" w:color="auto"/>
            <w:left w:val="none" w:sz="0" w:space="0" w:color="auto"/>
            <w:bottom w:val="none" w:sz="0" w:space="0" w:color="auto"/>
            <w:right w:val="none" w:sz="0" w:space="0" w:color="auto"/>
          </w:divBdr>
        </w:div>
      </w:divsChild>
    </w:div>
    <w:div w:id="86970412">
      <w:bodyDiv w:val="1"/>
      <w:marLeft w:val="0"/>
      <w:marRight w:val="0"/>
      <w:marTop w:val="0"/>
      <w:marBottom w:val="0"/>
      <w:divBdr>
        <w:top w:val="none" w:sz="0" w:space="0" w:color="auto"/>
        <w:left w:val="none" w:sz="0" w:space="0" w:color="auto"/>
        <w:bottom w:val="none" w:sz="0" w:space="0" w:color="auto"/>
        <w:right w:val="none" w:sz="0" w:space="0" w:color="auto"/>
      </w:divBdr>
      <w:divsChild>
        <w:div w:id="143933298">
          <w:marLeft w:val="0"/>
          <w:marRight w:val="0"/>
          <w:marTop w:val="0"/>
          <w:marBottom w:val="240"/>
          <w:divBdr>
            <w:top w:val="none" w:sz="0" w:space="0" w:color="auto"/>
            <w:left w:val="none" w:sz="0" w:space="0" w:color="auto"/>
            <w:bottom w:val="none" w:sz="0" w:space="0" w:color="auto"/>
            <w:right w:val="none" w:sz="0" w:space="0" w:color="auto"/>
          </w:divBdr>
        </w:div>
        <w:div w:id="1040714503">
          <w:marLeft w:val="0"/>
          <w:marRight w:val="0"/>
          <w:marTop w:val="0"/>
          <w:marBottom w:val="240"/>
          <w:divBdr>
            <w:top w:val="none" w:sz="0" w:space="0" w:color="auto"/>
            <w:left w:val="none" w:sz="0" w:space="0" w:color="auto"/>
            <w:bottom w:val="none" w:sz="0" w:space="0" w:color="auto"/>
            <w:right w:val="none" w:sz="0" w:space="0" w:color="auto"/>
          </w:divBdr>
        </w:div>
      </w:divsChild>
    </w:div>
    <w:div w:id="110756750">
      <w:bodyDiv w:val="1"/>
      <w:marLeft w:val="0"/>
      <w:marRight w:val="0"/>
      <w:marTop w:val="0"/>
      <w:marBottom w:val="0"/>
      <w:divBdr>
        <w:top w:val="none" w:sz="0" w:space="0" w:color="auto"/>
        <w:left w:val="none" w:sz="0" w:space="0" w:color="auto"/>
        <w:bottom w:val="none" w:sz="0" w:space="0" w:color="auto"/>
        <w:right w:val="none" w:sz="0" w:space="0" w:color="auto"/>
      </w:divBdr>
    </w:div>
    <w:div w:id="133259122">
      <w:bodyDiv w:val="1"/>
      <w:marLeft w:val="0"/>
      <w:marRight w:val="0"/>
      <w:marTop w:val="0"/>
      <w:marBottom w:val="0"/>
      <w:divBdr>
        <w:top w:val="none" w:sz="0" w:space="0" w:color="auto"/>
        <w:left w:val="none" w:sz="0" w:space="0" w:color="auto"/>
        <w:bottom w:val="none" w:sz="0" w:space="0" w:color="auto"/>
        <w:right w:val="none" w:sz="0" w:space="0" w:color="auto"/>
      </w:divBdr>
      <w:divsChild>
        <w:div w:id="966085190">
          <w:blockQuote w:val="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4007367">
      <w:bodyDiv w:val="1"/>
      <w:marLeft w:val="0"/>
      <w:marRight w:val="0"/>
      <w:marTop w:val="0"/>
      <w:marBottom w:val="0"/>
      <w:divBdr>
        <w:top w:val="none" w:sz="0" w:space="0" w:color="auto"/>
        <w:left w:val="none" w:sz="0" w:space="0" w:color="auto"/>
        <w:bottom w:val="none" w:sz="0" w:space="0" w:color="auto"/>
        <w:right w:val="none" w:sz="0" w:space="0" w:color="auto"/>
      </w:divBdr>
      <w:divsChild>
        <w:div w:id="1118378060">
          <w:marLeft w:val="0"/>
          <w:marRight w:val="0"/>
          <w:marTop w:val="0"/>
          <w:marBottom w:val="0"/>
          <w:divBdr>
            <w:top w:val="none" w:sz="0" w:space="0" w:color="auto"/>
            <w:left w:val="none" w:sz="0" w:space="0" w:color="auto"/>
            <w:bottom w:val="none" w:sz="0" w:space="0" w:color="auto"/>
            <w:right w:val="none" w:sz="0" w:space="0" w:color="auto"/>
          </w:divBdr>
        </w:div>
        <w:div w:id="1822384050">
          <w:marLeft w:val="0"/>
          <w:marRight w:val="0"/>
          <w:marTop w:val="0"/>
          <w:marBottom w:val="0"/>
          <w:divBdr>
            <w:top w:val="none" w:sz="0" w:space="0" w:color="auto"/>
            <w:left w:val="none" w:sz="0" w:space="0" w:color="auto"/>
            <w:bottom w:val="none" w:sz="0" w:space="0" w:color="auto"/>
            <w:right w:val="none" w:sz="0" w:space="0" w:color="auto"/>
          </w:divBdr>
        </w:div>
      </w:divsChild>
    </w:div>
    <w:div w:id="201480893">
      <w:bodyDiv w:val="1"/>
      <w:marLeft w:val="0"/>
      <w:marRight w:val="0"/>
      <w:marTop w:val="0"/>
      <w:marBottom w:val="0"/>
      <w:divBdr>
        <w:top w:val="none" w:sz="0" w:space="0" w:color="auto"/>
        <w:left w:val="none" w:sz="0" w:space="0" w:color="auto"/>
        <w:bottom w:val="none" w:sz="0" w:space="0" w:color="auto"/>
        <w:right w:val="none" w:sz="0" w:space="0" w:color="auto"/>
      </w:divBdr>
    </w:div>
    <w:div w:id="221451277">
      <w:bodyDiv w:val="1"/>
      <w:marLeft w:val="0"/>
      <w:marRight w:val="0"/>
      <w:marTop w:val="0"/>
      <w:marBottom w:val="0"/>
      <w:divBdr>
        <w:top w:val="none" w:sz="0" w:space="0" w:color="auto"/>
        <w:left w:val="none" w:sz="0" w:space="0" w:color="auto"/>
        <w:bottom w:val="none" w:sz="0" w:space="0" w:color="auto"/>
        <w:right w:val="none" w:sz="0" w:space="0" w:color="auto"/>
      </w:divBdr>
    </w:div>
    <w:div w:id="239875173">
      <w:bodyDiv w:val="1"/>
      <w:marLeft w:val="0"/>
      <w:marRight w:val="0"/>
      <w:marTop w:val="0"/>
      <w:marBottom w:val="0"/>
      <w:divBdr>
        <w:top w:val="none" w:sz="0" w:space="0" w:color="auto"/>
        <w:left w:val="none" w:sz="0" w:space="0" w:color="auto"/>
        <w:bottom w:val="none" w:sz="0" w:space="0" w:color="auto"/>
        <w:right w:val="none" w:sz="0" w:space="0" w:color="auto"/>
      </w:divBdr>
      <w:divsChild>
        <w:div w:id="1096710403">
          <w:marLeft w:val="0"/>
          <w:marRight w:val="0"/>
          <w:marTop w:val="0"/>
          <w:marBottom w:val="240"/>
          <w:divBdr>
            <w:top w:val="none" w:sz="0" w:space="0" w:color="auto"/>
            <w:left w:val="none" w:sz="0" w:space="0" w:color="auto"/>
            <w:bottom w:val="none" w:sz="0" w:space="0" w:color="auto"/>
            <w:right w:val="none" w:sz="0" w:space="0" w:color="auto"/>
          </w:divBdr>
          <w:divsChild>
            <w:div w:id="1134979221">
              <w:marLeft w:val="0"/>
              <w:marRight w:val="0"/>
              <w:marTop w:val="0"/>
              <w:marBottom w:val="0"/>
              <w:divBdr>
                <w:top w:val="none" w:sz="0" w:space="0" w:color="auto"/>
                <w:left w:val="none" w:sz="0" w:space="0" w:color="auto"/>
                <w:bottom w:val="none" w:sz="0" w:space="0" w:color="auto"/>
                <w:right w:val="none" w:sz="0" w:space="0" w:color="auto"/>
              </w:divBdr>
              <w:divsChild>
                <w:div w:id="578366996">
                  <w:marLeft w:val="0"/>
                  <w:marRight w:val="0"/>
                  <w:marTop w:val="0"/>
                  <w:marBottom w:val="0"/>
                  <w:divBdr>
                    <w:top w:val="none" w:sz="0" w:space="0" w:color="auto"/>
                    <w:left w:val="none" w:sz="0" w:space="0" w:color="auto"/>
                    <w:bottom w:val="none" w:sz="0" w:space="0" w:color="auto"/>
                    <w:right w:val="none" w:sz="0" w:space="0" w:color="auto"/>
                  </w:divBdr>
                  <w:divsChild>
                    <w:div w:id="43456678">
                      <w:marLeft w:val="0"/>
                      <w:marRight w:val="0"/>
                      <w:marTop w:val="0"/>
                      <w:marBottom w:val="0"/>
                      <w:divBdr>
                        <w:top w:val="none" w:sz="0" w:space="0" w:color="auto"/>
                        <w:left w:val="none" w:sz="0" w:space="0" w:color="auto"/>
                        <w:bottom w:val="none" w:sz="0" w:space="0" w:color="auto"/>
                        <w:right w:val="none" w:sz="0" w:space="0" w:color="auto"/>
                      </w:divBdr>
                      <w:divsChild>
                        <w:div w:id="1776827793">
                          <w:marLeft w:val="0"/>
                          <w:marRight w:val="0"/>
                          <w:marTop w:val="0"/>
                          <w:marBottom w:val="0"/>
                          <w:divBdr>
                            <w:top w:val="none" w:sz="0" w:space="0" w:color="auto"/>
                            <w:left w:val="none" w:sz="0" w:space="0" w:color="auto"/>
                            <w:bottom w:val="none" w:sz="0" w:space="0" w:color="auto"/>
                            <w:right w:val="none" w:sz="0" w:space="0" w:color="auto"/>
                          </w:divBdr>
                          <w:divsChild>
                            <w:div w:id="8068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499357">
                      <w:marLeft w:val="0"/>
                      <w:marRight w:val="0"/>
                      <w:marTop w:val="0"/>
                      <w:marBottom w:val="0"/>
                      <w:divBdr>
                        <w:top w:val="none" w:sz="0" w:space="0" w:color="auto"/>
                        <w:left w:val="none" w:sz="0" w:space="0" w:color="auto"/>
                        <w:bottom w:val="none" w:sz="0" w:space="0" w:color="auto"/>
                        <w:right w:val="none" w:sz="0" w:space="0" w:color="auto"/>
                      </w:divBdr>
                      <w:divsChild>
                        <w:div w:id="584804704">
                          <w:marLeft w:val="0"/>
                          <w:marRight w:val="0"/>
                          <w:marTop w:val="0"/>
                          <w:marBottom w:val="0"/>
                          <w:divBdr>
                            <w:top w:val="none" w:sz="0" w:space="0" w:color="auto"/>
                            <w:left w:val="none" w:sz="0" w:space="0" w:color="auto"/>
                            <w:bottom w:val="none" w:sz="0" w:space="0" w:color="auto"/>
                            <w:right w:val="none" w:sz="0" w:space="0" w:color="auto"/>
                          </w:divBdr>
                          <w:divsChild>
                            <w:div w:id="48536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220806">
                  <w:marLeft w:val="0"/>
                  <w:marRight w:val="0"/>
                  <w:marTop w:val="0"/>
                  <w:marBottom w:val="60"/>
                  <w:divBdr>
                    <w:top w:val="none" w:sz="0" w:space="0" w:color="auto"/>
                    <w:left w:val="none" w:sz="0" w:space="0" w:color="auto"/>
                    <w:bottom w:val="none" w:sz="0" w:space="0" w:color="auto"/>
                    <w:right w:val="none" w:sz="0" w:space="0" w:color="auto"/>
                  </w:divBdr>
                  <w:divsChild>
                    <w:div w:id="2137554941">
                      <w:marLeft w:val="0"/>
                      <w:marRight w:val="0"/>
                      <w:marTop w:val="0"/>
                      <w:marBottom w:val="0"/>
                      <w:divBdr>
                        <w:top w:val="none" w:sz="0" w:space="0" w:color="auto"/>
                        <w:left w:val="none" w:sz="0" w:space="0" w:color="auto"/>
                        <w:bottom w:val="none" w:sz="0" w:space="0" w:color="auto"/>
                        <w:right w:val="none" w:sz="0" w:space="0" w:color="auto"/>
                      </w:divBdr>
                      <w:divsChild>
                        <w:div w:id="1344094429">
                          <w:marLeft w:val="0"/>
                          <w:marRight w:val="0"/>
                          <w:marTop w:val="0"/>
                          <w:marBottom w:val="0"/>
                          <w:divBdr>
                            <w:top w:val="none" w:sz="0" w:space="0" w:color="auto"/>
                            <w:left w:val="none" w:sz="0" w:space="0" w:color="auto"/>
                            <w:bottom w:val="none" w:sz="0" w:space="0" w:color="auto"/>
                            <w:right w:val="none" w:sz="0" w:space="0" w:color="auto"/>
                          </w:divBdr>
                          <w:divsChild>
                            <w:div w:id="284237298">
                              <w:marLeft w:val="0"/>
                              <w:marRight w:val="0"/>
                              <w:marTop w:val="0"/>
                              <w:marBottom w:val="0"/>
                              <w:divBdr>
                                <w:top w:val="none" w:sz="0" w:space="0" w:color="auto"/>
                                <w:left w:val="none" w:sz="0" w:space="0" w:color="auto"/>
                                <w:bottom w:val="none" w:sz="0" w:space="0" w:color="auto"/>
                                <w:right w:val="none" w:sz="0" w:space="0" w:color="auto"/>
                              </w:divBdr>
                            </w:div>
                          </w:divsChild>
                        </w:div>
                        <w:div w:id="1541161115">
                          <w:marLeft w:val="0"/>
                          <w:marRight w:val="0"/>
                          <w:marTop w:val="0"/>
                          <w:marBottom w:val="0"/>
                          <w:divBdr>
                            <w:top w:val="none" w:sz="0" w:space="0" w:color="auto"/>
                            <w:left w:val="none" w:sz="0" w:space="0" w:color="auto"/>
                            <w:bottom w:val="none" w:sz="0" w:space="0" w:color="auto"/>
                            <w:right w:val="none" w:sz="0" w:space="0" w:color="auto"/>
                          </w:divBdr>
                          <w:divsChild>
                            <w:div w:id="132975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5861305">
          <w:marLeft w:val="0"/>
          <w:marRight w:val="0"/>
          <w:marTop w:val="360"/>
          <w:marBottom w:val="240"/>
          <w:divBdr>
            <w:top w:val="none" w:sz="0" w:space="0" w:color="auto"/>
            <w:left w:val="none" w:sz="0" w:space="0" w:color="auto"/>
            <w:bottom w:val="none" w:sz="0" w:space="0" w:color="auto"/>
            <w:right w:val="none" w:sz="0" w:space="0" w:color="auto"/>
          </w:divBdr>
        </w:div>
      </w:divsChild>
    </w:div>
    <w:div w:id="259879908">
      <w:bodyDiv w:val="1"/>
      <w:marLeft w:val="0"/>
      <w:marRight w:val="0"/>
      <w:marTop w:val="0"/>
      <w:marBottom w:val="0"/>
      <w:divBdr>
        <w:top w:val="none" w:sz="0" w:space="0" w:color="auto"/>
        <w:left w:val="none" w:sz="0" w:space="0" w:color="auto"/>
        <w:bottom w:val="none" w:sz="0" w:space="0" w:color="auto"/>
        <w:right w:val="none" w:sz="0" w:space="0" w:color="auto"/>
      </w:divBdr>
      <w:divsChild>
        <w:div w:id="1680425622">
          <w:marLeft w:val="0"/>
          <w:marRight w:val="0"/>
          <w:marTop w:val="0"/>
          <w:marBottom w:val="0"/>
          <w:divBdr>
            <w:top w:val="single" w:sz="2" w:space="0" w:color="E5E7EB"/>
            <w:left w:val="single" w:sz="2" w:space="0" w:color="E5E7EB"/>
            <w:bottom w:val="single" w:sz="2" w:space="0" w:color="E5E7EB"/>
            <w:right w:val="single" w:sz="2" w:space="0" w:color="E5E7EB"/>
          </w:divBdr>
          <w:divsChild>
            <w:div w:id="3837250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77639375">
      <w:bodyDiv w:val="1"/>
      <w:marLeft w:val="0"/>
      <w:marRight w:val="0"/>
      <w:marTop w:val="0"/>
      <w:marBottom w:val="0"/>
      <w:divBdr>
        <w:top w:val="none" w:sz="0" w:space="0" w:color="auto"/>
        <w:left w:val="none" w:sz="0" w:space="0" w:color="auto"/>
        <w:bottom w:val="none" w:sz="0" w:space="0" w:color="auto"/>
        <w:right w:val="none" w:sz="0" w:space="0" w:color="auto"/>
      </w:divBdr>
      <w:divsChild>
        <w:div w:id="144783167">
          <w:marLeft w:val="0"/>
          <w:marRight w:val="150"/>
          <w:marTop w:val="0"/>
          <w:marBottom w:val="150"/>
          <w:divBdr>
            <w:top w:val="single" w:sz="6" w:space="12" w:color="D8D8D8"/>
            <w:left w:val="single" w:sz="6" w:space="12" w:color="D8D8D8"/>
            <w:bottom w:val="single" w:sz="6" w:space="12" w:color="D8D8D8"/>
            <w:right w:val="single" w:sz="6" w:space="12" w:color="D8D8D8"/>
          </w:divBdr>
        </w:div>
      </w:divsChild>
    </w:div>
    <w:div w:id="293609515">
      <w:bodyDiv w:val="1"/>
      <w:marLeft w:val="0"/>
      <w:marRight w:val="0"/>
      <w:marTop w:val="0"/>
      <w:marBottom w:val="0"/>
      <w:divBdr>
        <w:top w:val="none" w:sz="0" w:space="0" w:color="auto"/>
        <w:left w:val="none" w:sz="0" w:space="0" w:color="auto"/>
        <w:bottom w:val="none" w:sz="0" w:space="0" w:color="auto"/>
        <w:right w:val="none" w:sz="0" w:space="0" w:color="auto"/>
      </w:divBdr>
      <w:divsChild>
        <w:div w:id="199248051">
          <w:marLeft w:val="0"/>
          <w:marRight w:val="0"/>
          <w:marTop w:val="0"/>
          <w:marBottom w:val="0"/>
          <w:divBdr>
            <w:top w:val="none" w:sz="0" w:space="0" w:color="auto"/>
            <w:left w:val="none" w:sz="0" w:space="0" w:color="auto"/>
            <w:bottom w:val="none" w:sz="0" w:space="0" w:color="auto"/>
            <w:right w:val="none" w:sz="0" w:space="0" w:color="auto"/>
          </w:divBdr>
        </w:div>
      </w:divsChild>
    </w:div>
    <w:div w:id="338313762">
      <w:bodyDiv w:val="1"/>
      <w:marLeft w:val="0"/>
      <w:marRight w:val="0"/>
      <w:marTop w:val="0"/>
      <w:marBottom w:val="0"/>
      <w:divBdr>
        <w:top w:val="none" w:sz="0" w:space="0" w:color="auto"/>
        <w:left w:val="none" w:sz="0" w:space="0" w:color="auto"/>
        <w:bottom w:val="none" w:sz="0" w:space="0" w:color="auto"/>
        <w:right w:val="none" w:sz="0" w:space="0" w:color="auto"/>
      </w:divBdr>
    </w:div>
    <w:div w:id="348722228">
      <w:bodyDiv w:val="1"/>
      <w:marLeft w:val="0"/>
      <w:marRight w:val="0"/>
      <w:marTop w:val="0"/>
      <w:marBottom w:val="0"/>
      <w:divBdr>
        <w:top w:val="none" w:sz="0" w:space="0" w:color="auto"/>
        <w:left w:val="none" w:sz="0" w:space="0" w:color="auto"/>
        <w:bottom w:val="none" w:sz="0" w:space="0" w:color="auto"/>
        <w:right w:val="none" w:sz="0" w:space="0" w:color="auto"/>
      </w:divBdr>
    </w:div>
    <w:div w:id="372920847">
      <w:bodyDiv w:val="1"/>
      <w:marLeft w:val="0"/>
      <w:marRight w:val="0"/>
      <w:marTop w:val="0"/>
      <w:marBottom w:val="0"/>
      <w:divBdr>
        <w:top w:val="none" w:sz="0" w:space="0" w:color="auto"/>
        <w:left w:val="none" w:sz="0" w:space="0" w:color="auto"/>
        <w:bottom w:val="none" w:sz="0" w:space="0" w:color="auto"/>
        <w:right w:val="none" w:sz="0" w:space="0" w:color="auto"/>
      </w:divBdr>
      <w:divsChild>
        <w:div w:id="633221074">
          <w:marLeft w:val="0"/>
          <w:marRight w:val="0"/>
          <w:marTop w:val="0"/>
          <w:marBottom w:val="0"/>
          <w:divBdr>
            <w:top w:val="single" w:sz="2" w:space="0" w:color="E5E7EB"/>
            <w:left w:val="single" w:sz="2" w:space="0" w:color="E5E7EB"/>
            <w:bottom w:val="single" w:sz="2" w:space="0" w:color="E5E7EB"/>
            <w:right w:val="single" w:sz="2" w:space="0" w:color="E5E7EB"/>
          </w:divBdr>
        </w:div>
        <w:div w:id="746265005">
          <w:marLeft w:val="0"/>
          <w:marRight w:val="0"/>
          <w:marTop w:val="0"/>
          <w:marBottom w:val="0"/>
          <w:divBdr>
            <w:top w:val="single" w:sz="2" w:space="0" w:color="E5E7EB"/>
            <w:left w:val="single" w:sz="2" w:space="0" w:color="E5E7EB"/>
            <w:bottom w:val="single" w:sz="2" w:space="0" w:color="E5E7EB"/>
            <w:right w:val="single" w:sz="2" w:space="0" w:color="E5E7EB"/>
          </w:divBdr>
        </w:div>
        <w:div w:id="8795178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3120843">
      <w:bodyDiv w:val="1"/>
      <w:marLeft w:val="0"/>
      <w:marRight w:val="0"/>
      <w:marTop w:val="0"/>
      <w:marBottom w:val="0"/>
      <w:divBdr>
        <w:top w:val="none" w:sz="0" w:space="0" w:color="auto"/>
        <w:left w:val="none" w:sz="0" w:space="0" w:color="auto"/>
        <w:bottom w:val="none" w:sz="0" w:space="0" w:color="auto"/>
        <w:right w:val="none" w:sz="0" w:space="0" w:color="auto"/>
      </w:divBdr>
    </w:div>
    <w:div w:id="378096946">
      <w:bodyDiv w:val="1"/>
      <w:marLeft w:val="0"/>
      <w:marRight w:val="0"/>
      <w:marTop w:val="0"/>
      <w:marBottom w:val="0"/>
      <w:divBdr>
        <w:top w:val="none" w:sz="0" w:space="0" w:color="auto"/>
        <w:left w:val="none" w:sz="0" w:space="0" w:color="auto"/>
        <w:bottom w:val="none" w:sz="0" w:space="0" w:color="auto"/>
        <w:right w:val="none" w:sz="0" w:space="0" w:color="auto"/>
      </w:divBdr>
      <w:divsChild>
        <w:div w:id="730889044">
          <w:marLeft w:val="0"/>
          <w:marRight w:val="0"/>
          <w:marTop w:val="0"/>
          <w:marBottom w:val="0"/>
          <w:divBdr>
            <w:top w:val="none" w:sz="0" w:space="0" w:color="auto"/>
            <w:left w:val="none" w:sz="0" w:space="0" w:color="auto"/>
            <w:bottom w:val="none" w:sz="0" w:space="0" w:color="auto"/>
            <w:right w:val="none" w:sz="0" w:space="0" w:color="auto"/>
          </w:divBdr>
        </w:div>
        <w:div w:id="1250234265">
          <w:marLeft w:val="0"/>
          <w:marRight w:val="0"/>
          <w:marTop w:val="0"/>
          <w:marBottom w:val="120"/>
          <w:divBdr>
            <w:top w:val="none" w:sz="0" w:space="0" w:color="auto"/>
            <w:left w:val="none" w:sz="0" w:space="0" w:color="auto"/>
            <w:bottom w:val="none" w:sz="0" w:space="0" w:color="auto"/>
            <w:right w:val="none" w:sz="0" w:space="0" w:color="auto"/>
          </w:divBdr>
          <w:divsChild>
            <w:div w:id="1276904437">
              <w:marLeft w:val="0"/>
              <w:marRight w:val="0"/>
              <w:marTop w:val="0"/>
              <w:marBottom w:val="0"/>
              <w:divBdr>
                <w:top w:val="none" w:sz="0" w:space="0" w:color="auto"/>
                <w:left w:val="none" w:sz="0" w:space="0" w:color="auto"/>
                <w:bottom w:val="none" w:sz="0" w:space="0" w:color="auto"/>
                <w:right w:val="none" w:sz="0" w:space="0" w:color="auto"/>
              </w:divBdr>
              <w:divsChild>
                <w:div w:id="1967390959">
                  <w:marLeft w:val="0"/>
                  <w:marRight w:val="0"/>
                  <w:marTop w:val="0"/>
                  <w:marBottom w:val="0"/>
                  <w:divBdr>
                    <w:top w:val="none" w:sz="0" w:space="0" w:color="auto"/>
                    <w:left w:val="none" w:sz="0" w:space="0" w:color="auto"/>
                    <w:bottom w:val="none" w:sz="0" w:space="0" w:color="auto"/>
                    <w:right w:val="none" w:sz="0" w:space="0" w:color="auto"/>
                  </w:divBdr>
                </w:div>
                <w:div w:id="207784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571271">
          <w:marLeft w:val="0"/>
          <w:marRight w:val="0"/>
          <w:marTop w:val="0"/>
          <w:marBottom w:val="48"/>
          <w:divBdr>
            <w:top w:val="none" w:sz="0" w:space="0" w:color="auto"/>
            <w:left w:val="none" w:sz="0" w:space="0" w:color="auto"/>
            <w:bottom w:val="none" w:sz="0" w:space="0" w:color="auto"/>
            <w:right w:val="none" w:sz="0" w:space="0" w:color="auto"/>
          </w:divBdr>
        </w:div>
        <w:div w:id="1850412814">
          <w:marLeft w:val="0"/>
          <w:marRight w:val="0"/>
          <w:marTop w:val="0"/>
          <w:marBottom w:val="180"/>
          <w:divBdr>
            <w:top w:val="none" w:sz="0" w:space="0" w:color="auto"/>
            <w:left w:val="none" w:sz="0" w:space="0" w:color="auto"/>
            <w:bottom w:val="none" w:sz="0" w:space="0" w:color="auto"/>
            <w:right w:val="none" w:sz="0" w:space="0" w:color="auto"/>
          </w:divBdr>
        </w:div>
        <w:div w:id="1889606538">
          <w:marLeft w:val="0"/>
          <w:marRight w:val="0"/>
          <w:marTop w:val="0"/>
          <w:marBottom w:val="0"/>
          <w:divBdr>
            <w:top w:val="none" w:sz="0" w:space="0" w:color="auto"/>
            <w:left w:val="none" w:sz="0" w:space="0" w:color="auto"/>
            <w:bottom w:val="none" w:sz="0" w:space="0" w:color="auto"/>
            <w:right w:val="none" w:sz="0" w:space="0" w:color="auto"/>
          </w:divBdr>
        </w:div>
      </w:divsChild>
    </w:div>
    <w:div w:id="378939744">
      <w:bodyDiv w:val="1"/>
      <w:marLeft w:val="0"/>
      <w:marRight w:val="0"/>
      <w:marTop w:val="0"/>
      <w:marBottom w:val="0"/>
      <w:divBdr>
        <w:top w:val="none" w:sz="0" w:space="0" w:color="auto"/>
        <w:left w:val="none" w:sz="0" w:space="0" w:color="auto"/>
        <w:bottom w:val="none" w:sz="0" w:space="0" w:color="auto"/>
        <w:right w:val="none" w:sz="0" w:space="0" w:color="auto"/>
      </w:divBdr>
      <w:divsChild>
        <w:div w:id="1658922618">
          <w:marLeft w:val="0"/>
          <w:marRight w:val="0"/>
          <w:marTop w:val="0"/>
          <w:marBottom w:val="375"/>
          <w:divBdr>
            <w:top w:val="none" w:sz="0" w:space="0" w:color="auto"/>
            <w:left w:val="none" w:sz="0" w:space="0" w:color="auto"/>
            <w:bottom w:val="none" w:sz="0" w:space="0" w:color="auto"/>
            <w:right w:val="none" w:sz="0" w:space="0" w:color="auto"/>
          </w:divBdr>
        </w:div>
      </w:divsChild>
    </w:div>
    <w:div w:id="387731366">
      <w:bodyDiv w:val="1"/>
      <w:marLeft w:val="0"/>
      <w:marRight w:val="0"/>
      <w:marTop w:val="0"/>
      <w:marBottom w:val="0"/>
      <w:divBdr>
        <w:top w:val="none" w:sz="0" w:space="0" w:color="auto"/>
        <w:left w:val="none" w:sz="0" w:space="0" w:color="auto"/>
        <w:bottom w:val="none" w:sz="0" w:space="0" w:color="auto"/>
        <w:right w:val="none" w:sz="0" w:space="0" w:color="auto"/>
      </w:divBdr>
    </w:div>
    <w:div w:id="395862006">
      <w:bodyDiv w:val="1"/>
      <w:marLeft w:val="0"/>
      <w:marRight w:val="0"/>
      <w:marTop w:val="0"/>
      <w:marBottom w:val="0"/>
      <w:divBdr>
        <w:top w:val="none" w:sz="0" w:space="0" w:color="auto"/>
        <w:left w:val="none" w:sz="0" w:space="0" w:color="auto"/>
        <w:bottom w:val="none" w:sz="0" w:space="0" w:color="auto"/>
        <w:right w:val="none" w:sz="0" w:space="0" w:color="auto"/>
      </w:divBdr>
    </w:div>
    <w:div w:id="425925114">
      <w:bodyDiv w:val="1"/>
      <w:marLeft w:val="0"/>
      <w:marRight w:val="0"/>
      <w:marTop w:val="0"/>
      <w:marBottom w:val="0"/>
      <w:divBdr>
        <w:top w:val="none" w:sz="0" w:space="0" w:color="auto"/>
        <w:left w:val="none" w:sz="0" w:space="0" w:color="auto"/>
        <w:bottom w:val="none" w:sz="0" w:space="0" w:color="auto"/>
        <w:right w:val="none" w:sz="0" w:space="0" w:color="auto"/>
      </w:divBdr>
    </w:div>
    <w:div w:id="449864697">
      <w:bodyDiv w:val="1"/>
      <w:marLeft w:val="0"/>
      <w:marRight w:val="0"/>
      <w:marTop w:val="0"/>
      <w:marBottom w:val="0"/>
      <w:divBdr>
        <w:top w:val="none" w:sz="0" w:space="0" w:color="auto"/>
        <w:left w:val="none" w:sz="0" w:space="0" w:color="auto"/>
        <w:bottom w:val="none" w:sz="0" w:space="0" w:color="auto"/>
        <w:right w:val="none" w:sz="0" w:space="0" w:color="auto"/>
      </w:divBdr>
      <w:divsChild>
        <w:div w:id="455369642">
          <w:marLeft w:val="0"/>
          <w:marRight w:val="0"/>
          <w:marTop w:val="0"/>
          <w:marBottom w:val="0"/>
          <w:divBdr>
            <w:top w:val="single" w:sz="2" w:space="0" w:color="E5E7EB"/>
            <w:left w:val="single" w:sz="2" w:space="0" w:color="E5E7EB"/>
            <w:bottom w:val="single" w:sz="2" w:space="0" w:color="E5E7EB"/>
            <w:right w:val="single" w:sz="2" w:space="0" w:color="E5E7EB"/>
          </w:divBdr>
          <w:divsChild>
            <w:div w:id="5279101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83740468">
      <w:bodyDiv w:val="1"/>
      <w:marLeft w:val="0"/>
      <w:marRight w:val="0"/>
      <w:marTop w:val="0"/>
      <w:marBottom w:val="0"/>
      <w:divBdr>
        <w:top w:val="none" w:sz="0" w:space="0" w:color="auto"/>
        <w:left w:val="none" w:sz="0" w:space="0" w:color="auto"/>
        <w:bottom w:val="none" w:sz="0" w:space="0" w:color="auto"/>
        <w:right w:val="none" w:sz="0" w:space="0" w:color="auto"/>
      </w:divBdr>
      <w:divsChild>
        <w:div w:id="1022899831">
          <w:marLeft w:val="0"/>
          <w:marRight w:val="0"/>
          <w:marTop w:val="0"/>
          <w:marBottom w:val="75"/>
          <w:divBdr>
            <w:top w:val="none" w:sz="0" w:space="0" w:color="auto"/>
            <w:left w:val="none" w:sz="0" w:space="0" w:color="auto"/>
            <w:bottom w:val="none" w:sz="0" w:space="0" w:color="auto"/>
            <w:right w:val="none" w:sz="0" w:space="0" w:color="auto"/>
          </w:divBdr>
        </w:div>
        <w:div w:id="1601644144">
          <w:marLeft w:val="0"/>
          <w:marRight w:val="0"/>
          <w:marTop w:val="0"/>
          <w:marBottom w:val="75"/>
          <w:divBdr>
            <w:top w:val="none" w:sz="0" w:space="0" w:color="auto"/>
            <w:left w:val="none" w:sz="0" w:space="0" w:color="auto"/>
            <w:bottom w:val="none" w:sz="0" w:space="0" w:color="auto"/>
            <w:right w:val="none" w:sz="0" w:space="0" w:color="auto"/>
          </w:divBdr>
        </w:div>
        <w:div w:id="1959529700">
          <w:marLeft w:val="0"/>
          <w:marRight w:val="0"/>
          <w:marTop w:val="0"/>
          <w:marBottom w:val="75"/>
          <w:divBdr>
            <w:top w:val="none" w:sz="0" w:space="0" w:color="auto"/>
            <w:left w:val="none" w:sz="0" w:space="0" w:color="auto"/>
            <w:bottom w:val="none" w:sz="0" w:space="0" w:color="auto"/>
            <w:right w:val="none" w:sz="0" w:space="0" w:color="auto"/>
          </w:divBdr>
        </w:div>
      </w:divsChild>
    </w:div>
    <w:div w:id="487477619">
      <w:bodyDiv w:val="1"/>
      <w:marLeft w:val="0"/>
      <w:marRight w:val="0"/>
      <w:marTop w:val="0"/>
      <w:marBottom w:val="0"/>
      <w:divBdr>
        <w:top w:val="none" w:sz="0" w:space="0" w:color="auto"/>
        <w:left w:val="none" w:sz="0" w:space="0" w:color="auto"/>
        <w:bottom w:val="none" w:sz="0" w:space="0" w:color="auto"/>
        <w:right w:val="none" w:sz="0" w:space="0" w:color="auto"/>
      </w:divBdr>
      <w:divsChild>
        <w:div w:id="38283283">
          <w:marLeft w:val="0"/>
          <w:marRight w:val="0"/>
          <w:marTop w:val="0"/>
          <w:marBottom w:val="0"/>
          <w:divBdr>
            <w:top w:val="none" w:sz="0" w:space="0" w:color="auto"/>
            <w:left w:val="none" w:sz="0" w:space="0" w:color="auto"/>
            <w:bottom w:val="none" w:sz="0" w:space="0" w:color="auto"/>
            <w:right w:val="none" w:sz="0" w:space="0" w:color="auto"/>
          </w:divBdr>
          <w:divsChild>
            <w:div w:id="648245406">
              <w:marLeft w:val="0"/>
              <w:marRight w:val="0"/>
              <w:marTop w:val="0"/>
              <w:marBottom w:val="0"/>
              <w:divBdr>
                <w:top w:val="none" w:sz="0" w:space="0" w:color="auto"/>
                <w:left w:val="none" w:sz="0" w:space="0" w:color="auto"/>
                <w:bottom w:val="none" w:sz="0" w:space="0" w:color="auto"/>
                <w:right w:val="none" w:sz="0" w:space="0" w:color="auto"/>
              </w:divBdr>
              <w:divsChild>
                <w:div w:id="765662344">
                  <w:marLeft w:val="0"/>
                  <w:marRight w:val="0"/>
                  <w:marTop w:val="0"/>
                  <w:marBottom w:val="0"/>
                  <w:divBdr>
                    <w:top w:val="none" w:sz="0" w:space="0" w:color="auto"/>
                    <w:left w:val="none" w:sz="0" w:space="0" w:color="auto"/>
                    <w:bottom w:val="none" w:sz="0" w:space="0" w:color="auto"/>
                    <w:right w:val="none" w:sz="0" w:space="0" w:color="auto"/>
                  </w:divBdr>
                  <w:divsChild>
                    <w:div w:id="108803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45771">
          <w:marLeft w:val="0"/>
          <w:marRight w:val="0"/>
          <w:marTop w:val="0"/>
          <w:marBottom w:val="0"/>
          <w:divBdr>
            <w:top w:val="none" w:sz="0" w:space="0" w:color="auto"/>
            <w:left w:val="none" w:sz="0" w:space="0" w:color="auto"/>
            <w:bottom w:val="none" w:sz="0" w:space="0" w:color="auto"/>
            <w:right w:val="none" w:sz="0" w:space="0" w:color="auto"/>
          </w:divBdr>
          <w:divsChild>
            <w:div w:id="17777102">
              <w:marLeft w:val="0"/>
              <w:marRight w:val="0"/>
              <w:marTop w:val="0"/>
              <w:marBottom w:val="0"/>
              <w:divBdr>
                <w:top w:val="none" w:sz="0" w:space="0" w:color="auto"/>
                <w:left w:val="none" w:sz="0" w:space="0" w:color="auto"/>
                <w:bottom w:val="none" w:sz="0" w:space="0" w:color="auto"/>
                <w:right w:val="none" w:sz="0" w:space="0" w:color="auto"/>
              </w:divBdr>
            </w:div>
          </w:divsChild>
        </w:div>
        <w:div w:id="310139591">
          <w:marLeft w:val="0"/>
          <w:marRight w:val="0"/>
          <w:marTop w:val="0"/>
          <w:marBottom w:val="0"/>
          <w:divBdr>
            <w:top w:val="none" w:sz="0" w:space="0" w:color="auto"/>
            <w:left w:val="none" w:sz="0" w:space="0" w:color="auto"/>
            <w:bottom w:val="none" w:sz="0" w:space="0" w:color="auto"/>
            <w:right w:val="none" w:sz="0" w:space="0" w:color="auto"/>
          </w:divBdr>
          <w:divsChild>
            <w:div w:id="1594434129">
              <w:marLeft w:val="0"/>
              <w:marRight w:val="0"/>
              <w:marTop w:val="0"/>
              <w:marBottom w:val="0"/>
              <w:divBdr>
                <w:top w:val="none" w:sz="0" w:space="0" w:color="auto"/>
                <w:left w:val="none" w:sz="0" w:space="0" w:color="auto"/>
                <w:bottom w:val="none" w:sz="0" w:space="0" w:color="auto"/>
                <w:right w:val="none" w:sz="0" w:space="0" w:color="auto"/>
              </w:divBdr>
              <w:divsChild>
                <w:div w:id="36704770">
                  <w:marLeft w:val="0"/>
                  <w:marRight w:val="0"/>
                  <w:marTop w:val="0"/>
                  <w:marBottom w:val="0"/>
                  <w:divBdr>
                    <w:top w:val="none" w:sz="0" w:space="0" w:color="auto"/>
                    <w:left w:val="none" w:sz="0" w:space="0" w:color="auto"/>
                    <w:bottom w:val="none" w:sz="0" w:space="0" w:color="auto"/>
                    <w:right w:val="none" w:sz="0" w:space="0" w:color="auto"/>
                  </w:divBdr>
                  <w:divsChild>
                    <w:div w:id="70918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534726">
          <w:marLeft w:val="0"/>
          <w:marRight w:val="0"/>
          <w:marTop w:val="0"/>
          <w:marBottom w:val="0"/>
          <w:divBdr>
            <w:top w:val="none" w:sz="0" w:space="0" w:color="auto"/>
            <w:left w:val="none" w:sz="0" w:space="0" w:color="auto"/>
            <w:bottom w:val="none" w:sz="0" w:space="0" w:color="auto"/>
            <w:right w:val="none" w:sz="0" w:space="0" w:color="auto"/>
          </w:divBdr>
          <w:divsChild>
            <w:div w:id="1530794483">
              <w:marLeft w:val="0"/>
              <w:marRight w:val="0"/>
              <w:marTop w:val="0"/>
              <w:marBottom w:val="0"/>
              <w:divBdr>
                <w:top w:val="none" w:sz="0" w:space="0" w:color="auto"/>
                <w:left w:val="none" w:sz="0" w:space="0" w:color="auto"/>
                <w:bottom w:val="none" w:sz="0" w:space="0" w:color="auto"/>
                <w:right w:val="none" w:sz="0" w:space="0" w:color="auto"/>
              </w:divBdr>
            </w:div>
          </w:divsChild>
        </w:div>
        <w:div w:id="778257389">
          <w:marLeft w:val="0"/>
          <w:marRight w:val="0"/>
          <w:marTop w:val="0"/>
          <w:marBottom w:val="0"/>
          <w:divBdr>
            <w:top w:val="none" w:sz="0" w:space="0" w:color="auto"/>
            <w:left w:val="none" w:sz="0" w:space="0" w:color="auto"/>
            <w:bottom w:val="none" w:sz="0" w:space="0" w:color="auto"/>
            <w:right w:val="none" w:sz="0" w:space="0" w:color="auto"/>
          </w:divBdr>
          <w:divsChild>
            <w:div w:id="811795527">
              <w:marLeft w:val="0"/>
              <w:marRight w:val="0"/>
              <w:marTop w:val="0"/>
              <w:marBottom w:val="0"/>
              <w:divBdr>
                <w:top w:val="none" w:sz="0" w:space="0" w:color="auto"/>
                <w:left w:val="none" w:sz="0" w:space="0" w:color="auto"/>
                <w:bottom w:val="none" w:sz="0" w:space="0" w:color="auto"/>
                <w:right w:val="none" w:sz="0" w:space="0" w:color="auto"/>
              </w:divBdr>
            </w:div>
          </w:divsChild>
        </w:div>
        <w:div w:id="1424843404">
          <w:marLeft w:val="0"/>
          <w:marRight w:val="0"/>
          <w:marTop w:val="0"/>
          <w:marBottom w:val="0"/>
          <w:divBdr>
            <w:top w:val="none" w:sz="0" w:space="0" w:color="auto"/>
            <w:left w:val="none" w:sz="0" w:space="0" w:color="auto"/>
            <w:bottom w:val="none" w:sz="0" w:space="0" w:color="auto"/>
            <w:right w:val="none" w:sz="0" w:space="0" w:color="auto"/>
          </w:divBdr>
          <w:divsChild>
            <w:div w:id="1844008875">
              <w:marLeft w:val="0"/>
              <w:marRight w:val="0"/>
              <w:marTop w:val="0"/>
              <w:marBottom w:val="0"/>
              <w:divBdr>
                <w:top w:val="none" w:sz="0" w:space="0" w:color="auto"/>
                <w:left w:val="none" w:sz="0" w:space="0" w:color="auto"/>
                <w:bottom w:val="none" w:sz="0" w:space="0" w:color="auto"/>
                <w:right w:val="none" w:sz="0" w:space="0" w:color="auto"/>
              </w:divBdr>
            </w:div>
          </w:divsChild>
        </w:div>
        <w:div w:id="1854221055">
          <w:marLeft w:val="0"/>
          <w:marRight w:val="0"/>
          <w:marTop w:val="0"/>
          <w:marBottom w:val="0"/>
          <w:divBdr>
            <w:top w:val="none" w:sz="0" w:space="0" w:color="auto"/>
            <w:left w:val="none" w:sz="0" w:space="0" w:color="auto"/>
            <w:bottom w:val="none" w:sz="0" w:space="0" w:color="auto"/>
            <w:right w:val="none" w:sz="0" w:space="0" w:color="auto"/>
          </w:divBdr>
          <w:divsChild>
            <w:div w:id="1440299248">
              <w:marLeft w:val="0"/>
              <w:marRight w:val="0"/>
              <w:marTop w:val="0"/>
              <w:marBottom w:val="0"/>
              <w:divBdr>
                <w:top w:val="none" w:sz="0" w:space="0" w:color="auto"/>
                <w:left w:val="none" w:sz="0" w:space="0" w:color="auto"/>
                <w:bottom w:val="none" w:sz="0" w:space="0" w:color="auto"/>
                <w:right w:val="none" w:sz="0" w:space="0" w:color="auto"/>
              </w:divBdr>
              <w:divsChild>
                <w:div w:id="1259632931">
                  <w:marLeft w:val="0"/>
                  <w:marRight w:val="0"/>
                  <w:marTop w:val="0"/>
                  <w:marBottom w:val="0"/>
                  <w:divBdr>
                    <w:top w:val="none" w:sz="0" w:space="0" w:color="auto"/>
                    <w:left w:val="none" w:sz="0" w:space="0" w:color="auto"/>
                    <w:bottom w:val="none" w:sz="0" w:space="0" w:color="auto"/>
                    <w:right w:val="none" w:sz="0" w:space="0" w:color="auto"/>
                  </w:divBdr>
                  <w:divsChild>
                    <w:div w:id="185206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343307">
          <w:marLeft w:val="0"/>
          <w:marRight w:val="0"/>
          <w:marTop w:val="0"/>
          <w:marBottom w:val="0"/>
          <w:divBdr>
            <w:top w:val="none" w:sz="0" w:space="0" w:color="auto"/>
            <w:left w:val="none" w:sz="0" w:space="0" w:color="auto"/>
            <w:bottom w:val="none" w:sz="0" w:space="0" w:color="auto"/>
            <w:right w:val="none" w:sz="0" w:space="0" w:color="auto"/>
          </w:divBdr>
          <w:divsChild>
            <w:div w:id="5452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445364">
      <w:bodyDiv w:val="1"/>
      <w:marLeft w:val="0"/>
      <w:marRight w:val="0"/>
      <w:marTop w:val="0"/>
      <w:marBottom w:val="0"/>
      <w:divBdr>
        <w:top w:val="none" w:sz="0" w:space="0" w:color="auto"/>
        <w:left w:val="none" w:sz="0" w:space="0" w:color="auto"/>
        <w:bottom w:val="none" w:sz="0" w:space="0" w:color="auto"/>
        <w:right w:val="none" w:sz="0" w:space="0" w:color="auto"/>
      </w:divBdr>
      <w:divsChild>
        <w:div w:id="742920037">
          <w:marLeft w:val="0"/>
          <w:marRight w:val="0"/>
          <w:marTop w:val="0"/>
          <w:marBottom w:val="240"/>
          <w:divBdr>
            <w:top w:val="none" w:sz="0" w:space="0" w:color="auto"/>
            <w:left w:val="none" w:sz="0" w:space="0" w:color="auto"/>
            <w:bottom w:val="none" w:sz="0" w:space="0" w:color="auto"/>
            <w:right w:val="none" w:sz="0" w:space="0" w:color="auto"/>
          </w:divBdr>
        </w:div>
      </w:divsChild>
    </w:div>
    <w:div w:id="508526370">
      <w:bodyDiv w:val="1"/>
      <w:marLeft w:val="0"/>
      <w:marRight w:val="0"/>
      <w:marTop w:val="0"/>
      <w:marBottom w:val="0"/>
      <w:divBdr>
        <w:top w:val="none" w:sz="0" w:space="0" w:color="auto"/>
        <w:left w:val="none" w:sz="0" w:space="0" w:color="auto"/>
        <w:bottom w:val="none" w:sz="0" w:space="0" w:color="auto"/>
        <w:right w:val="none" w:sz="0" w:space="0" w:color="auto"/>
      </w:divBdr>
      <w:divsChild>
        <w:div w:id="1306818716">
          <w:marLeft w:val="0"/>
          <w:marRight w:val="0"/>
          <w:marTop w:val="0"/>
          <w:marBottom w:val="240"/>
          <w:divBdr>
            <w:top w:val="none" w:sz="0" w:space="0" w:color="auto"/>
            <w:left w:val="none" w:sz="0" w:space="0" w:color="auto"/>
            <w:bottom w:val="none" w:sz="0" w:space="0" w:color="auto"/>
            <w:right w:val="none" w:sz="0" w:space="0" w:color="auto"/>
          </w:divBdr>
        </w:div>
      </w:divsChild>
    </w:div>
    <w:div w:id="522674648">
      <w:bodyDiv w:val="1"/>
      <w:marLeft w:val="0"/>
      <w:marRight w:val="0"/>
      <w:marTop w:val="0"/>
      <w:marBottom w:val="0"/>
      <w:divBdr>
        <w:top w:val="none" w:sz="0" w:space="0" w:color="auto"/>
        <w:left w:val="none" w:sz="0" w:space="0" w:color="auto"/>
        <w:bottom w:val="none" w:sz="0" w:space="0" w:color="auto"/>
        <w:right w:val="none" w:sz="0" w:space="0" w:color="auto"/>
      </w:divBdr>
      <w:divsChild>
        <w:div w:id="2038651838">
          <w:marLeft w:val="0"/>
          <w:marRight w:val="75"/>
          <w:marTop w:val="0"/>
          <w:marBottom w:val="75"/>
          <w:divBdr>
            <w:top w:val="none" w:sz="0" w:space="0" w:color="auto"/>
            <w:left w:val="none" w:sz="0" w:space="0" w:color="auto"/>
            <w:bottom w:val="none" w:sz="0" w:space="0" w:color="auto"/>
            <w:right w:val="none" w:sz="0" w:space="0" w:color="auto"/>
          </w:divBdr>
        </w:div>
      </w:divsChild>
    </w:div>
    <w:div w:id="560138393">
      <w:bodyDiv w:val="1"/>
      <w:marLeft w:val="0"/>
      <w:marRight w:val="0"/>
      <w:marTop w:val="0"/>
      <w:marBottom w:val="0"/>
      <w:divBdr>
        <w:top w:val="none" w:sz="0" w:space="0" w:color="auto"/>
        <w:left w:val="none" w:sz="0" w:space="0" w:color="auto"/>
        <w:bottom w:val="none" w:sz="0" w:space="0" w:color="auto"/>
        <w:right w:val="none" w:sz="0" w:space="0" w:color="auto"/>
      </w:divBdr>
    </w:div>
    <w:div w:id="587152742">
      <w:bodyDiv w:val="1"/>
      <w:marLeft w:val="0"/>
      <w:marRight w:val="0"/>
      <w:marTop w:val="0"/>
      <w:marBottom w:val="0"/>
      <w:divBdr>
        <w:top w:val="none" w:sz="0" w:space="0" w:color="auto"/>
        <w:left w:val="none" w:sz="0" w:space="0" w:color="auto"/>
        <w:bottom w:val="none" w:sz="0" w:space="0" w:color="auto"/>
        <w:right w:val="none" w:sz="0" w:space="0" w:color="auto"/>
      </w:divBdr>
      <w:divsChild>
        <w:div w:id="793324980">
          <w:marLeft w:val="0"/>
          <w:marRight w:val="0"/>
          <w:marTop w:val="100"/>
          <w:marBottom w:val="100"/>
          <w:divBdr>
            <w:top w:val="none" w:sz="0" w:space="0" w:color="auto"/>
            <w:left w:val="none" w:sz="0" w:space="0" w:color="auto"/>
            <w:bottom w:val="single" w:sz="6" w:space="11" w:color="DFDFDF"/>
            <w:right w:val="none" w:sz="0" w:space="0" w:color="auto"/>
          </w:divBdr>
        </w:div>
        <w:div w:id="2113745898">
          <w:marLeft w:val="0"/>
          <w:marRight w:val="0"/>
          <w:marTop w:val="0"/>
          <w:marBottom w:val="0"/>
          <w:divBdr>
            <w:top w:val="none" w:sz="0" w:space="0" w:color="auto"/>
            <w:left w:val="none" w:sz="0" w:space="0" w:color="auto"/>
            <w:bottom w:val="none" w:sz="0" w:space="0" w:color="auto"/>
            <w:right w:val="none" w:sz="0" w:space="0" w:color="auto"/>
          </w:divBdr>
          <w:divsChild>
            <w:div w:id="186636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270685">
      <w:bodyDiv w:val="1"/>
      <w:marLeft w:val="0"/>
      <w:marRight w:val="0"/>
      <w:marTop w:val="0"/>
      <w:marBottom w:val="0"/>
      <w:divBdr>
        <w:top w:val="none" w:sz="0" w:space="0" w:color="auto"/>
        <w:left w:val="none" w:sz="0" w:space="0" w:color="auto"/>
        <w:bottom w:val="none" w:sz="0" w:space="0" w:color="auto"/>
        <w:right w:val="none" w:sz="0" w:space="0" w:color="auto"/>
      </w:divBdr>
    </w:div>
    <w:div w:id="618341248">
      <w:bodyDiv w:val="1"/>
      <w:marLeft w:val="0"/>
      <w:marRight w:val="0"/>
      <w:marTop w:val="0"/>
      <w:marBottom w:val="0"/>
      <w:divBdr>
        <w:top w:val="none" w:sz="0" w:space="0" w:color="auto"/>
        <w:left w:val="none" w:sz="0" w:space="0" w:color="auto"/>
        <w:bottom w:val="none" w:sz="0" w:space="0" w:color="auto"/>
        <w:right w:val="none" w:sz="0" w:space="0" w:color="auto"/>
      </w:divBdr>
    </w:div>
    <w:div w:id="618684752">
      <w:bodyDiv w:val="1"/>
      <w:marLeft w:val="0"/>
      <w:marRight w:val="0"/>
      <w:marTop w:val="0"/>
      <w:marBottom w:val="0"/>
      <w:divBdr>
        <w:top w:val="none" w:sz="0" w:space="0" w:color="auto"/>
        <w:left w:val="none" w:sz="0" w:space="0" w:color="auto"/>
        <w:bottom w:val="none" w:sz="0" w:space="0" w:color="auto"/>
        <w:right w:val="none" w:sz="0" w:space="0" w:color="auto"/>
      </w:divBdr>
    </w:div>
    <w:div w:id="648899384">
      <w:bodyDiv w:val="1"/>
      <w:marLeft w:val="0"/>
      <w:marRight w:val="0"/>
      <w:marTop w:val="0"/>
      <w:marBottom w:val="0"/>
      <w:divBdr>
        <w:top w:val="none" w:sz="0" w:space="0" w:color="auto"/>
        <w:left w:val="none" w:sz="0" w:space="0" w:color="auto"/>
        <w:bottom w:val="none" w:sz="0" w:space="0" w:color="auto"/>
        <w:right w:val="none" w:sz="0" w:space="0" w:color="auto"/>
      </w:divBdr>
    </w:div>
    <w:div w:id="688407582">
      <w:bodyDiv w:val="1"/>
      <w:marLeft w:val="0"/>
      <w:marRight w:val="0"/>
      <w:marTop w:val="0"/>
      <w:marBottom w:val="0"/>
      <w:divBdr>
        <w:top w:val="none" w:sz="0" w:space="0" w:color="auto"/>
        <w:left w:val="none" w:sz="0" w:space="0" w:color="auto"/>
        <w:bottom w:val="none" w:sz="0" w:space="0" w:color="auto"/>
        <w:right w:val="none" w:sz="0" w:space="0" w:color="auto"/>
      </w:divBdr>
    </w:div>
    <w:div w:id="722994160">
      <w:bodyDiv w:val="1"/>
      <w:marLeft w:val="0"/>
      <w:marRight w:val="0"/>
      <w:marTop w:val="0"/>
      <w:marBottom w:val="0"/>
      <w:divBdr>
        <w:top w:val="none" w:sz="0" w:space="0" w:color="auto"/>
        <w:left w:val="none" w:sz="0" w:space="0" w:color="auto"/>
        <w:bottom w:val="none" w:sz="0" w:space="0" w:color="auto"/>
        <w:right w:val="none" w:sz="0" w:space="0" w:color="auto"/>
      </w:divBdr>
      <w:divsChild>
        <w:div w:id="1362897379">
          <w:marLeft w:val="0"/>
          <w:marRight w:val="0"/>
          <w:marTop w:val="0"/>
          <w:marBottom w:val="0"/>
          <w:divBdr>
            <w:top w:val="none" w:sz="0" w:space="0" w:color="auto"/>
            <w:left w:val="none" w:sz="0" w:space="0" w:color="auto"/>
            <w:bottom w:val="none" w:sz="0" w:space="0" w:color="auto"/>
            <w:right w:val="none" w:sz="0" w:space="0" w:color="auto"/>
          </w:divBdr>
          <w:divsChild>
            <w:div w:id="345834602">
              <w:marLeft w:val="0"/>
              <w:marRight w:val="0"/>
              <w:marTop w:val="0"/>
              <w:marBottom w:val="0"/>
              <w:divBdr>
                <w:top w:val="none" w:sz="0" w:space="0" w:color="auto"/>
                <w:left w:val="none" w:sz="0" w:space="0" w:color="auto"/>
                <w:bottom w:val="none" w:sz="0" w:space="0" w:color="auto"/>
                <w:right w:val="none" w:sz="0" w:space="0" w:color="auto"/>
              </w:divBdr>
              <w:divsChild>
                <w:div w:id="782843078">
                  <w:marLeft w:val="0"/>
                  <w:marRight w:val="0"/>
                  <w:marTop w:val="0"/>
                  <w:marBottom w:val="240"/>
                  <w:divBdr>
                    <w:top w:val="none" w:sz="0" w:space="0" w:color="auto"/>
                    <w:left w:val="none" w:sz="0" w:space="0" w:color="auto"/>
                    <w:bottom w:val="none" w:sz="0" w:space="0" w:color="auto"/>
                    <w:right w:val="none" w:sz="0" w:space="0" w:color="auto"/>
                  </w:divBdr>
                </w:div>
              </w:divsChild>
            </w:div>
            <w:div w:id="1643534053">
              <w:marLeft w:val="0"/>
              <w:marRight w:val="0"/>
              <w:marTop w:val="0"/>
              <w:marBottom w:val="0"/>
              <w:divBdr>
                <w:top w:val="none" w:sz="0" w:space="0" w:color="auto"/>
                <w:left w:val="none" w:sz="0" w:space="0" w:color="auto"/>
                <w:bottom w:val="none" w:sz="0" w:space="0" w:color="auto"/>
                <w:right w:val="none" w:sz="0" w:space="0" w:color="auto"/>
              </w:divBdr>
              <w:divsChild>
                <w:div w:id="77675253">
                  <w:marLeft w:val="0"/>
                  <w:marRight w:val="0"/>
                  <w:marTop w:val="0"/>
                  <w:marBottom w:val="0"/>
                  <w:divBdr>
                    <w:top w:val="none" w:sz="0" w:space="0" w:color="auto"/>
                    <w:left w:val="none" w:sz="0" w:space="0" w:color="auto"/>
                    <w:bottom w:val="none" w:sz="0" w:space="0" w:color="auto"/>
                    <w:right w:val="none" w:sz="0" w:space="0" w:color="auto"/>
                  </w:divBdr>
                  <w:divsChild>
                    <w:div w:id="493304506">
                      <w:marLeft w:val="0"/>
                      <w:marRight w:val="0"/>
                      <w:marTop w:val="0"/>
                      <w:marBottom w:val="0"/>
                      <w:divBdr>
                        <w:top w:val="none" w:sz="0" w:space="0" w:color="auto"/>
                        <w:left w:val="none" w:sz="0" w:space="0" w:color="auto"/>
                        <w:bottom w:val="none" w:sz="0" w:space="0" w:color="auto"/>
                        <w:right w:val="none" w:sz="0" w:space="0" w:color="auto"/>
                      </w:divBdr>
                    </w:div>
                    <w:div w:id="203183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866491">
      <w:bodyDiv w:val="1"/>
      <w:marLeft w:val="0"/>
      <w:marRight w:val="0"/>
      <w:marTop w:val="0"/>
      <w:marBottom w:val="0"/>
      <w:divBdr>
        <w:top w:val="none" w:sz="0" w:space="0" w:color="auto"/>
        <w:left w:val="none" w:sz="0" w:space="0" w:color="auto"/>
        <w:bottom w:val="none" w:sz="0" w:space="0" w:color="auto"/>
        <w:right w:val="none" w:sz="0" w:space="0" w:color="auto"/>
      </w:divBdr>
      <w:divsChild>
        <w:div w:id="1814330865">
          <w:marLeft w:val="0"/>
          <w:marRight w:val="0"/>
          <w:marTop w:val="0"/>
          <w:marBottom w:val="0"/>
          <w:divBdr>
            <w:top w:val="none" w:sz="0" w:space="0" w:color="auto"/>
            <w:left w:val="none" w:sz="0" w:space="0" w:color="auto"/>
            <w:bottom w:val="none" w:sz="0" w:space="0" w:color="auto"/>
            <w:right w:val="none" w:sz="0" w:space="0" w:color="auto"/>
          </w:divBdr>
        </w:div>
      </w:divsChild>
    </w:div>
    <w:div w:id="724181024">
      <w:bodyDiv w:val="1"/>
      <w:marLeft w:val="0"/>
      <w:marRight w:val="0"/>
      <w:marTop w:val="0"/>
      <w:marBottom w:val="0"/>
      <w:divBdr>
        <w:top w:val="none" w:sz="0" w:space="0" w:color="auto"/>
        <w:left w:val="none" w:sz="0" w:space="0" w:color="auto"/>
        <w:bottom w:val="none" w:sz="0" w:space="0" w:color="auto"/>
        <w:right w:val="none" w:sz="0" w:space="0" w:color="auto"/>
      </w:divBdr>
      <w:divsChild>
        <w:div w:id="978415782">
          <w:marLeft w:val="0"/>
          <w:marRight w:val="0"/>
          <w:marTop w:val="0"/>
          <w:marBottom w:val="0"/>
          <w:divBdr>
            <w:top w:val="none" w:sz="0" w:space="0" w:color="auto"/>
            <w:left w:val="none" w:sz="0" w:space="0" w:color="auto"/>
            <w:bottom w:val="none" w:sz="0" w:space="0" w:color="auto"/>
            <w:right w:val="none" w:sz="0" w:space="0" w:color="auto"/>
          </w:divBdr>
        </w:div>
        <w:div w:id="1322536990">
          <w:marLeft w:val="0"/>
          <w:marRight w:val="0"/>
          <w:marTop w:val="0"/>
          <w:marBottom w:val="0"/>
          <w:divBdr>
            <w:top w:val="none" w:sz="0" w:space="0" w:color="auto"/>
            <w:left w:val="none" w:sz="0" w:space="0" w:color="auto"/>
            <w:bottom w:val="none" w:sz="0" w:space="0" w:color="auto"/>
            <w:right w:val="none" w:sz="0" w:space="0" w:color="auto"/>
          </w:divBdr>
        </w:div>
      </w:divsChild>
    </w:div>
    <w:div w:id="730227730">
      <w:bodyDiv w:val="1"/>
      <w:marLeft w:val="0"/>
      <w:marRight w:val="0"/>
      <w:marTop w:val="0"/>
      <w:marBottom w:val="0"/>
      <w:divBdr>
        <w:top w:val="none" w:sz="0" w:space="0" w:color="auto"/>
        <w:left w:val="none" w:sz="0" w:space="0" w:color="auto"/>
        <w:bottom w:val="none" w:sz="0" w:space="0" w:color="auto"/>
        <w:right w:val="none" w:sz="0" w:space="0" w:color="auto"/>
      </w:divBdr>
    </w:div>
    <w:div w:id="731151256">
      <w:bodyDiv w:val="1"/>
      <w:marLeft w:val="0"/>
      <w:marRight w:val="0"/>
      <w:marTop w:val="0"/>
      <w:marBottom w:val="0"/>
      <w:divBdr>
        <w:top w:val="none" w:sz="0" w:space="0" w:color="auto"/>
        <w:left w:val="none" w:sz="0" w:space="0" w:color="auto"/>
        <w:bottom w:val="none" w:sz="0" w:space="0" w:color="auto"/>
        <w:right w:val="none" w:sz="0" w:space="0" w:color="auto"/>
      </w:divBdr>
      <w:divsChild>
        <w:div w:id="71781186">
          <w:marLeft w:val="0"/>
          <w:marRight w:val="0"/>
          <w:marTop w:val="0"/>
          <w:marBottom w:val="0"/>
          <w:divBdr>
            <w:top w:val="none" w:sz="0" w:space="0" w:color="auto"/>
            <w:left w:val="none" w:sz="0" w:space="0" w:color="auto"/>
            <w:bottom w:val="none" w:sz="0" w:space="0" w:color="auto"/>
            <w:right w:val="none" w:sz="0" w:space="0" w:color="auto"/>
          </w:divBdr>
          <w:divsChild>
            <w:div w:id="1352997136">
              <w:marLeft w:val="0"/>
              <w:marRight w:val="0"/>
              <w:marTop w:val="0"/>
              <w:marBottom w:val="180"/>
              <w:divBdr>
                <w:top w:val="none" w:sz="0" w:space="0" w:color="auto"/>
                <w:left w:val="none" w:sz="0" w:space="0" w:color="auto"/>
                <w:bottom w:val="none" w:sz="0" w:space="0" w:color="auto"/>
                <w:right w:val="none" w:sz="0" w:space="0" w:color="auto"/>
              </w:divBdr>
              <w:divsChild>
                <w:div w:id="1031036136">
                  <w:marLeft w:val="0"/>
                  <w:marRight w:val="0"/>
                  <w:marTop w:val="0"/>
                  <w:marBottom w:val="0"/>
                  <w:divBdr>
                    <w:top w:val="none" w:sz="0" w:space="0" w:color="auto"/>
                    <w:left w:val="none" w:sz="0" w:space="0" w:color="auto"/>
                    <w:bottom w:val="none" w:sz="0" w:space="0" w:color="auto"/>
                    <w:right w:val="none" w:sz="0" w:space="0" w:color="auto"/>
                  </w:divBdr>
                  <w:divsChild>
                    <w:div w:id="1217157445">
                      <w:marLeft w:val="0"/>
                      <w:marRight w:val="0"/>
                      <w:marTop w:val="0"/>
                      <w:marBottom w:val="0"/>
                      <w:divBdr>
                        <w:top w:val="none" w:sz="0" w:space="0" w:color="auto"/>
                        <w:left w:val="none" w:sz="0" w:space="0" w:color="auto"/>
                        <w:bottom w:val="none" w:sz="0" w:space="0" w:color="auto"/>
                        <w:right w:val="none" w:sz="0" w:space="0" w:color="auto"/>
                      </w:divBdr>
                      <w:divsChild>
                        <w:div w:id="721751440">
                          <w:marLeft w:val="0"/>
                          <w:marRight w:val="0"/>
                          <w:marTop w:val="75"/>
                          <w:marBottom w:val="75"/>
                          <w:divBdr>
                            <w:top w:val="none" w:sz="0" w:space="0" w:color="auto"/>
                            <w:left w:val="none" w:sz="0" w:space="0" w:color="auto"/>
                            <w:bottom w:val="none" w:sz="0" w:space="0" w:color="auto"/>
                            <w:right w:val="none" w:sz="0" w:space="0" w:color="auto"/>
                          </w:divBdr>
                          <w:divsChild>
                            <w:div w:id="1691948778">
                              <w:marLeft w:val="0"/>
                              <w:marRight w:val="0"/>
                              <w:marTop w:val="0"/>
                              <w:marBottom w:val="0"/>
                              <w:divBdr>
                                <w:top w:val="none" w:sz="0" w:space="0" w:color="auto"/>
                                <w:left w:val="none" w:sz="0" w:space="0" w:color="auto"/>
                                <w:bottom w:val="none" w:sz="0" w:space="0" w:color="auto"/>
                                <w:right w:val="none" w:sz="0" w:space="0" w:color="auto"/>
                              </w:divBdr>
                            </w:div>
                          </w:divsChild>
                        </w:div>
                        <w:div w:id="1859614360">
                          <w:marLeft w:val="0"/>
                          <w:marRight w:val="0"/>
                          <w:marTop w:val="75"/>
                          <w:marBottom w:val="75"/>
                          <w:divBdr>
                            <w:top w:val="none" w:sz="0" w:space="0" w:color="auto"/>
                            <w:left w:val="none" w:sz="0" w:space="0" w:color="auto"/>
                            <w:bottom w:val="none" w:sz="0" w:space="0" w:color="auto"/>
                            <w:right w:val="none" w:sz="0" w:space="0" w:color="auto"/>
                          </w:divBdr>
                          <w:divsChild>
                            <w:div w:id="159443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4675005">
          <w:marLeft w:val="0"/>
          <w:marRight w:val="0"/>
          <w:marTop w:val="0"/>
          <w:marBottom w:val="0"/>
          <w:divBdr>
            <w:top w:val="none" w:sz="0" w:space="0" w:color="auto"/>
            <w:left w:val="none" w:sz="0" w:space="0" w:color="auto"/>
            <w:bottom w:val="none" w:sz="0" w:space="0" w:color="auto"/>
            <w:right w:val="none" w:sz="0" w:space="0" w:color="auto"/>
          </w:divBdr>
          <w:divsChild>
            <w:div w:id="307059417">
              <w:marLeft w:val="0"/>
              <w:marRight w:val="0"/>
              <w:marTop w:val="0"/>
              <w:marBottom w:val="0"/>
              <w:divBdr>
                <w:top w:val="none" w:sz="0" w:space="0" w:color="auto"/>
                <w:left w:val="none" w:sz="0" w:space="0" w:color="auto"/>
                <w:bottom w:val="none" w:sz="0" w:space="0" w:color="auto"/>
                <w:right w:val="none" w:sz="0" w:space="0" w:color="auto"/>
              </w:divBdr>
              <w:divsChild>
                <w:div w:id="774709464">
                  <w:marLeft w:val="0"/>
                  <w:marRight w:val="0"/>
                  <w:marTop w:val="0"/>
                  <w:marBottom w:val="0"/>
                  <w:divBdr>
                    <w:top w:val="none" w:sz="0" w:space="0" w:color="auto"/>
                    <w:left w:val="none" w:sz="0" w:space="0" w:color="auto"/>
                    <w:bottom w:val="none" w:sz="0" w:space="0" w:color="auto"/>
                    <w:right w:val="none" w:sz="0" w:space="0" w:color="auto"/>
                  </w:divBdr>
                  <w:divsChild>
                    <w:div w:id="1345665192">
                      <w:marLeft w:val="0"/>
                      <w:marRight w:val="0"/>
                      <w:marTop w:val="0"/>
                      <w:marBottom w:val="0"/>
                      <w:divBdr>
                        <w:top w:val="none" w:sz="0" w:space="0" w:color="auto"/>
                        <w:left w:val="none" w:sz="0" w:space="0" w:color="auto"/>
                        <w:bottom w:val="none" w:sz="0" w:space="0" w:color="auto"/>
                        <w:right w:val="none" w:sz="0" w:space="0" w:color="auto"/>
                      </w:divBdr>
                      <w:divsChild>
                        <w:div w:id="772936377">
                          <w:marLeft w:val="0"/>
                          <w:marRight w:val="0"/>
                          <w:marTop w:val="0"/>
                          <w:marBottom w:val="0"/>
                          <w:divBdr>
                            <w:top w:val="none" w:sz="0" w:space="0" w:color="auto"/>
                            <w:left w:val="none" w:sz="0" w:space="0" w:color="auto"/>
                            <w:bottom w:val="none" w:sz="0" w:space="0" w:color="auto"/>
                            <w:right w:val="none" w:sz="0" w:space="0" w:color="auto"/>
                          </w:divBdr>
                          <w:divsChild>
                            <w:div w:id="1747217784">
                              <w:marLeft w:val="0"/>
                              <w:marRight w:val="0"/>
                              <w:marTop w:val="75"/>
                              <w:marBottom w:val="75"/>
                              <w:divBdr>
                                <w:top w:val="none" w:sz="0" w:space="0" w:color="auto"/>
                                <w:left w:val="none" w:sz="0" w:space="0" w:color="auto"/>
                                <w:bottom w:val="none" w:sz="0" w:space="0" w:color="auto"/>
                                <w:right w:val="none" w:sz="0" w:space="0" w:color="auto"/>
                              </w:divBdr>
                              <w:divsChild>
                                <w:div w:id="1343166672">
                                  <w:marLeft w:val="0"/>
                                  <w:marRight w:val="0"/>
                                  <w:marTop w:val="0"/>
                                  <w:marBottom w:val="0"/>
                                  <w:divBdr>
                                    <w:top w:val="none" w:sz="0" w:space="0" w:color="auto"/>
                                    <w:left w:val="none" w:sz="0" w:space="0" w:color="auto"/>
                                    <w:bottom w:val="none" w:sz="0" w:space="0" w:color="auto"/>
                                    <w:right w:val="none" w:sz="0" w:space="0" w:color="auto"/>
                                  </w:divBdr>
                                  <w:divsChild>
                                    <w:div w:id="173570722">
                                      <w:marLeft w:val="0"/>
                                      <w:marRight w:val="0"/>
                                      <w:marTop w:val="120"/>
                                      <w:marBottom w:val="0"/>
                                      <w:divBdr>
                                        <w:top w:val="none" w:sz="0" w:space="0" w:color="auto"/>
                                        <w:left w:val="none" w:sz="0" w:space="0" w:color="auto"/>
                                        <w:bottom w:val="none" w:sz="0" w:space="0" w:color="auto"/>
                                        <w:right w:val="none" w:sz="0" w:space="0" w:color="auto"/>
                                      </w:divBdr>
                                      <w:divsChild>
                                        <w:div w:id="1778209755">
                                          <w:marLeft w:val="0"/>
                                          <w:marRight w:val="0"/>
                                          <w:marTop w:val="0"/>
                                          <w:marBottom w:val="0"/>
                                          <w:divBdr>
                                            <w:top w:val="none" w:sz="0" w:space="0" w:color="auto"/>
                                            <w:left w:val="none" w:sz="0" w:space="0" w:color="auto"/>
                                            <w:bottom w:val="none" w:sz="0" w:space="0" w:color="auto"/>
                                            <w:right w:val="none" w:sz="0" w:space="0" w:color="auto"/>
                                          </w:divBdr>
                                        </w:div>
                                      </w:divsChild>
                                    </w:div>
                                    <w:div w:id="1622683274">
                                      <w:marLeft w:val="0"/>
                                      <w:marRight w:val="0"/>
                                      <w:marTop w:val="0"/>
                                      <w:marBottom w:val="0"/>
                                      <w:divBdr>
                                        <w:top w:val="none" w:sz="0" w:space="0" w:color="auto"/>
                                        <w:left w:val="none" w:sz="0" w:space="0" w:color="auto"/>
                                        <w:bottom w:val="none" w:sz="0" w:space="0" w:color="auto"/>
                                        <w:right w:val="none" w:sz="0" w:space="0" w:color="auto"/>
                                      </w:divBdr>
                                      <w:divsChild>
                                        <w:div w:id="1246766055">
                                          <w:marLeft w:val="0"/>
                                          <w:marRight w:val="0"/>
                                          <w:marTop w:val="0"/>
                                          <w:marBottom w:val="0"/>
                                          <w:divBdr>
                                            <w:top w:val="none" w:sz="0" w:space="0" w:color="auto"/>
                                            <w:left w:val="none" w:sz="0" w:space="0" w:color="auto"/>
                                            <w:bottom w:val="none" w:sz="0" w:space="0" w:color="auto"/>
                                            <w:right w:val="none" w:sz="0" w:space="0" w:color="auto"/>
                                          </w:divBdr>
                                        </w:div>
                                      </w:divsChild>
                                    </w:div>
                                    <w:div w:id="1727021723">
                                      <w:marLeft w:val="0"/>
                                      <w:marRight w:val="0"/>
                                      <w:marTop w:val="120"/>
                                      <w:marBottom w:val="0"/>
                                      <w:divBdr>
                                        <w:top w:val="none" w:sz="0" w:space="0" w:color="auto"/>
                                        <w:left w:val="none" w:sz="0" w:space="0" w:color="auto"/>
                                        <w:bottom w:val="none" w:sz="0" w:space="0" w:color="auto"/>
                                        <w:right w:val="none" w:sz="0" w:space="0" w:color="auto"/>
                                      </w:divBdr>
                                      <w:divsChild>
                                        <w:div w:id="182481570">
                                          <w:marLeft w:val="0"/>
                                          <w:marRight w:val="0"/>
                                          <w:marTop w:val="0"/>
                                          <w:marBottom w:val="0"/>
                                          <w:divBdr>
                                            <w:top w:val="none" w:sz="0" w:space="0" w:color="auto"/>
                                            <w:left w:val="none" w:sz="0" w:space="0" w:color="auto"/>
                                            <w:bottom w:val="none" w:sz="0" w:space="0" w:color="auto"/>
                                            <w:right w:val="none" w:sz="0" w:space="0" w:color="auto"/>
                                          </w:divBdr>
                                        </w:div>
                                      </w:divsChild>
                                    </w:div>
                                    <w:div w:id="1757747479">
                                      <w:marLeft w:val="0"/>
                                      <w:marRight w:val="0"/>
                                      <w:marTop w:val="120"/>
                                      <w:marBottom w:val="0"/>
                                      <w:divBdr>
                                        <w:top w:val="none" w:sz="0" w:space="0" w:color="auto"/>
                                        <w:left w:val="none" w:sz="0" w:space="0" w:color="auto"/>
                                        <w:bottom w:val="none" w:sz="0" w:space="0" w:color="auto"/>
                                        <w:right w:val="none" w:sz="0" w:space="0" w:color="auto"/>
                                      </w:divBdr>
                                      <w:divsChild>
                                        <w:div w:id="1220748850">
                                          <w:marLeft w:val="0"/>
                                          <w:marRight w:val="0"/>
                                          <w:marTop w:val="0"/>
                                          <w:marBottom w:val="0"/>
                                          <w:divBdr>
                                            <w:top w:val="none" w:sz="0" w:space="0" w:color="auto"/>
                                            <w:left w:val="none" w:sz="0" w:space="0" w:color="auto"/>
                                            <w:bottom w:val="none" w:sz="0" w:space="0" w:color="auto"/>
                                            <w:right w:val="none" w:sz="0" w:space="0" w:color="auto"/>
                                          </w:divBdr>
                                        </w:div>
                                      </w:divsChild>
                                    </w:div>
                                    <w:div w:id="2097048736">
                                      <w:marLeft w:val="0"/>
                                      <w:marRight w:val="0"/>
                                      <w:marTop w:val="120"/>
                                      <w:marBottom w:val="0"/>
                                      <w:divBdr>
                                        <w:top w:val="none" w:sz="0" w:space="0" w:color="auto"/>
                                        <w:left w:val="none" w:sz="0" w:space="0" w:color="auto"/>
                                        <w:bottom w:val="none" w:sz="0" w:space="0" w:color="auto"/>
                                        <w:right w:val="none" w:sz="0" w:space="0" w:color="auto"/>
                                      </w:divBdr>
                                      <w:divsChild>
                                        <w:div w:id="1392776403">
                                          <w:marLeft w:val="0"/>
                                          <w:marRight w:val="0"/>
                                          <w:marTop w:val="0"/>
                                          <w:marBottom w:val="0"/>
                                          <w:divBdr>
                                            <w:top w:val="none" w:sz="0" w:space="0" w:color="auto"/>
                                            <w:left w:val="none" w:sz="0" w:space="0" w:color="auto"/>
                                            <w:bottom w:val="none" w:sz="0" w:space="0" w:color="auto"/>
                                            <w:right w:val="none" w:sz="0" w:space="0" w:color="auto"/>
                                          </w:divBdr>
                                        </w:div>
                                      </w:divsChild>
                                    </w:div>
                                    <w:div w:id="2119056481">
                                      <w:marLeft w:val="0"/>
                                      <w:marRight w:val="0"/>
                                      <w:marTop w:val="120"/>
                                      <w:marBottom w:val="0"/>
                                      <w:divBdr>
                                        <w:top w:val="none" w:sz="0" w:space="0" w:color="auto"/>
                                        <w:left w:val="none" w:sz="0" w:space="0" w:color="auto"/>
                                        <w:bottom w:val="none" w:sz="0" w:space="0" w:color="auto"/>
                                        <w:right w:val="none" w:sz="0" w:space="0" w:color="auto"/>
                                      </w:divBdr>
                                      <w:divsChild>
                                        <w:div w:id="16594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9236103">
      <w:bodyDiv w:val="1"/>
      <w:marLeft w:val="0"/>
      <w:marRight w:val="0"/>
      <w:marTop w:val="0"/>
      <w:marBottom w:val="0"/>
      <w:divBdr>
        <w:top w:val="none" w:sz="0" w:space="0" w:color="auto"/>
        <w:left w:val="none" w:sz="0" w:space="0" w:color="auto"/>
        <w:bottom w:val="none" w:sz="0" w:space="0" w:color="auto"/>
        <w:right w:val="none" w:sz="0" w:space="0" w:color="auto"/>
      </w:divBdr>
    </w:div>
    <w:div w:id="749349249">
      <w:bodyDiv w:val="1"/>
      <w:marLeft w:val="0"/>
      <w:marRight w:val="0"/>
      <w:marTop w:val="0"/>
      <w:marBottom w:val="0"/>
      <w:divBdr>
        <w:top w:val="none" w:sz="0" w:space="0" w:color="auto"/>
        <w:left w:val="none" w:sz="0" w:space="0" w:color="auto"/>
        <w:bottom w:val="none" w:sz="0" w:space="0" w:color="auto"/>
        <w:right w:val="none" w:sz="0" w:space="0" w:color="auto"/>
      </w:divBdr>
    </w:div>
    <w:div w:id="759301299">
      <w:bodyDiv w:val="1"/>
      <w:marLeft w:val="0"/>
      <w:marRight w:val="0"/>
      <w:marTop w:val="0"/>
      <w:marBottom w:val="0"/>
      <w:divBdr>
        <w:top w:val="none" w:sz="0" w:space="0" w:color="auto"/>
        <w:left w:val="none" w:sz="0" w:space="0" w:color="auto"/>
        <w:bottom w:val="none" w:sz="0" w:space="0" w:color="auto"/>
        <w:right w:val="none" w:sz="0" w:space="0" w:color="auto"/>
      </w:divBdr>
      <w:divsChild>
        <w:div w:id="6030763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80342683">
      <w:bodyDiv w:val="1"/>
      <w:marLeft w:val="0"/>
      <w:marRight w:val="0"/>
      <w:marTop w:val="0"/>
      <w:marBottom w:val="0"/>
      <w:divBdr>
        <w:top w:val="none" w:sz="0" w:space="0" w:color="auto"/>
        <w:left w:val="none" w:sz="0" w:space="0" w:color="auto"/>
        <w:bottom w:val="none" w:sz="0" w:space="0" w:color="auto"/>
        <w:right w:val="none" w:sz="0" w:space="0" w:color="auto"/>
      </w:divBdr>
      <w:divsChild>
        <w:div w:id="1039284022">
          <w:marLeft w:val="0"/>
          <w:marRight w:val="2850"/>
          <w:marTop w:val="0"/>
          <w:marBottom w:val="300"/>
          <w:divBdr>
            <w:top w:val="none" w:sz="0" w:space="0" w:color="auto"/>
            <w:left w:val="none" w:sz="0" w:space="0" w:color="auto"/>
            <w:bottom w:val="none" w:sz="0" w:space="0" w:color="auto"/>
            <w:right w:val="none" w:sz="0" w:space="0" w:color="auto"/>
          </w:divBdr>
        </w:div>
        <w:div w:id="1558517149">
          <w:marLeft w:val="0"/>
          <w:marRight w:val="0"/>
          <w:marTop w:val="0"/>
          <w:marBottom w:val="0"/>
          <w:divBdr>
            <w:top w:val="none" w:sz="0" w:space="0" w:color="auto"/>
            <w:left w:val="none" w:sz="0" w:space="0" w:color="auto"/>
            <w:bottom w:val="none" w:sz="0" w:space="0" w:color="auto"/>
            <w:right w:val="none" w:sz="0" w:space="0" w:color="auto"/>
          </w:divBdr>
        </w:div>
      </w:divsChild>
    </w:div>
    <w:div w:id="826896162">
      <w:bodyDiv w:val="1"/>
      <w:marLeft w:val="0"/>
      <w:marRight w:val="0"/>
      <w:marTop w:val="0"/>
      <w:marBottom w:val="0"/>
      <w:divBdr>
        <w:top w:val="none" w:sz="0" w:space="0" w:color="auto"/>
        <w:left w:val="none" w:sz="0" w:space="0" w:color="auto"/>
        <w:bottom w:val="none" w:sz="0" w:space="0" w:color="auto"/>
        <w:right w:val="none" w:sz="0" w:space="0" w:color="auto"/>
      </w:divBdr>
      <w:divsChild>
        <w:div w:id="411782681">
          <w:marLeft w:val="0"/>
          <w:marRight w:val="2850"/>
          <w:marTop w:val="0"/>
          <w:marBottom w:val="300"/>
          <w:divBdr>
            <w:top w:val="none" w:sz="0" w:space="0" w:color="auto"/>
            <w:left w:val="none" w:sz="0" w:space="0" w:color="auto"/>
            <w:bottom w:val="none" w:sz="0" w:space="0" w:color="auto"/>
            <w:right w:val="none" w:sz="0" w:space="0" w:color="auto"/>
          </w:divBdr>
        </w:div>
        <w:div w:id="554706904">
          <w:marLeft w:val="0"/>
          <w:marRight w:val="0"/>
          <w:marTop w:val="0"/>
          <w:marBottom w:val="0"/>
          <w:divBdr>
            <w:top w:val="none" w:sz="0" w:space="0" w:color="auto"/>
            <w:left w:val="none" w:sz="0" w:space="0" w:color="auto"/>
            <w:bottom w:val="none" w:sz="0" w:space="0" w:color="auto"/>
            <w:right w:val="none" w:sz="0" w:space="0" w:color="auto"/>
          </w:divBdr>
        </w:div>
      </w:divsChild>
    </w:div>
    <w:div w:id="835463055">
      <w:bodyDiv w:val="1"/>
      <w:marLeft w:val="0"/>
      <w:marRight w:val="0"/>
      <w:marTop w:val="0"/>
      <w:marBottom w:val="0"/>
      <w:divBdr>
        <w:top w:val="none" w:sz="0" w:space="0" w:color="auto"/>
        <w:left w:val="none" w:sz="0" w:space="0" w:color="auto"/>
        <w:bottom w:val="none" w:sz="0" w:space="0" w:color="auto"/>
        <w:right w:val="none" w:sz="0" w:space="0" w:color="auto"/>
      </w:divBdr>
      <w:divsChild>
        <w:div w:id="154493260">
          <w:marLeft w:val="0"/>
          <w:marRight w:val="0"/>
          <w:marTop w:val="0"/>
          <w:marBottom w:val="0"/>
          <w:divBdr>
            <w:top w:val="none" w:sz="0" w:space="0" w:color="auto"/>
            <w:left w:val="none" w:sz="0" w:space="0" w:color="auto"/>
            <w:bottom w:val="none" w:sz="0" w:space="0" w:color="auto"/>
            <w:right w:val="none" w:sz="0" w:space="0" w:color="auto"/>
          </w:divBdr>
        </w:div>
        <w:div w:id="1033457754">
          <w:marLeft w:val="0"/>
          <w:marRight w:val="0"/>
          <w:marTop w:val="0"/>
          <w:marBottom w:val="0"/>
          <w:divBdr>
            <w:top w:val="none" w:sz="0" w:space="0" w:color="auto"/>
            <w:left w:val="none" w:sz="0" w:space="0" w:color="auto"/>
            <w:bottom w:val="none" w:sz="0" w:space="0" w:color="auto"/>
            <w:right w:val="none" w:sz="0" w:space="0" w:color="auto"/>
          </w:divBdr>
        </w:div>
      </w:divsChild>
    </w:div>
    <w:div w:id="852569859">
      <w:bodyDiv w:val="1"/>
      <w:marLeft w:val="0"/>
      <w:marRight w:val="0"/>
      <w:marTop w:val="0"/>
      <w:marBottom w:val="0"/>
      <w:divBdr>
        <w:top w:val="none" w:sz="0" w:space="0" w:color="auto"/>
        <w:left w:val="none" w:sz="0" w:space="0" w:color="auto"/>
        <w:bottom w:val="none" w:sz="0" w:space="0" w:color="auto"/>
        <w:right w:val="none" w:sz="0" w:space="0" w:color="auto"/>
      </w:divBdr>
    </w:div>
    <w:div w:id="874343700">
      <w:bodyDiv w:val="1"/>
      <w:marLeft w:val="0"/>
      <w:marRight w:val="0"/>
      <w:marTop w:val="0"/>
      <w:marBottom w:val="0"/>
      <w:divBdr>
        <w:top w:val="none" w:sz="0" w:space="0" w:color="auto"/>
        <w:left w:val="none" w:sz="0" w:space="0" w:color="auto"/>
        <w:bottom w:val="none" w:sz="0" w:space="0" w:color="auto"/>
        <w:right w:val="none" w:sz="0" w:space="0" w:color="auto"/>
      </w:divBdr>
    </w:div>
    <w:div w:id="903177229">
      <w:bodyDiv w:val="1"/>
      <w:marLeft w:val="0"/>
      <w:marRight w:val="0"/>
      <w:marTop w:val="0"/>
      <w:marBottom w:val="0"/>
      <w:divBdr>
        <w:top w:val="none" w:sz="0" w:space="0" w:color="auto"/>
        <w:left w:val="none" w:sz="0" w:space="0" w:color="auto"/>
        <w:bottom w:val="none" w:sz="0" w:space="0" w:color="auto"/>
        <w:right w:val="none" w:sz="0" w:space="0" w:color="auto"/>
      </w:divBdr>
      <w:divsChild>
        <w:div w:id="180247203">
          <w:blockQuote w:val="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04803463">
      <w:bodyDiv w:val="1"/>
      <w:marLeft w:val="0"/>
      <w:marRight w:val="0"/>
      <w:marTop w:val="0"/>
      <w:marBottom w:val="0"/>
      <w:divBdr>
        <w:top w:val="none" w:sz="0" w:space="0" w:color="auto"/>
        <w:left w:val="none" w:sz="0" w:space="0" w:color="auto"/>
        <w:bottom w:val="none" w:sz="0" w:space="0" w:color="auto"/>
        <w:right w:val="none" w:sz="0" w:space="0" w:color="auto"/>
      </w:divBdr>
      <w:divsChild>
        <w:div w:id="647562927">
          <w:marLeft w:val="0"/>
          <w:marRight w:val="0"/>
          <w:marTop w:val="0"/>
          <w:marBottom w:val="0"/>
          <w:divBdr>
            <w:top w:val="none" w:sz="0" w:space="0" w:color="auto"/>
            <w:left w:val="none" w:sz="0" w:space="0" w:color="auto"/>
            <w:bottom w:val="none" w:sz="0" w:space="0" w:color="auto"/>
            <w:right w:val="none" w:sz="0" w:space="0" w:color="auto"/>
          </w:divBdr>
          <w:divsChild>
            <w:div w:id="992300338">
              <w:marLeft w:val="0"/>
              <w:marRight w:val="0"/>
              <w:marTop w:val="0"/>
              <w:marBottom w:val="0"/>
              <w:divBdr>
                <w:top w:val="none" w:sz="0" w:space="0" w:color="auto"/>
                <w:left w:val="none" w:sz="0" w:space="0" w:color="auto"/>
                <w:bottom w:val="none" w:sz="0" w:space="0" w:color="auto"/>
                <w:right w:val="none" w:sz="0" w:space="0" w:color="auto"/>
              </w:divBdr>
              <w:divsChild>
                <w:div w:id="1218127726">
                  <w:marLeft w:val="0"/>
                  <w:marRight w:val="0"/>
                  <w:marTop w:val="0"/>
                  <w:marBottom w:val="240"/>
                  <w:divBdr>
                    <w:top w:val="none" w:sz="0" w:space="0" w:color="auto"/>
                    <w:left w:val="none" w:sz="0" w:space="0" w:color="auto"/>
                    <w:bottom w:val="none" w:sz="0" w:space="0" w:color="auto"/>
                    <w:right w:val="none" w:sz="0" w:space="0" w:color="auto"/>
                  </w:divBdr>
                </w:div>
              </w:divsChild>
            </w:div>
            <w:div w:id="2122870593">
              <w:marLeft w:val="0"/>
              <w:marRight w:val="0"/>
              <w:marTop w:val="0"/>
              <w:marBottom w:val="0"/>
              <w:divBdr>
                <w:top w:val="none" w:sz="0" w:space="0" w:color="auto"/>
                <w:left w:val="none" w:sz="0" w:space="0" w:color="auto"/>
                <w:bottom w:val="none" w:sz="0" w:space="0" w:color="auto"/>
                <w:right w:val="none" w:sz="0" w:space="0" w:color="auto"/>
              </w:divBdr>
              <w:divsChild>
                <w:div w:id="1279752294">
                  <w:marLeft w:val="0"/>
                  <w:marRight w:val="0"/>
                  <w:marTop w:val="0"/>
                  <w:marBottom w:val="0"/>
                  <w:divBdr>
                    <w:top w:val="none" w:sz="0" w:space="0" w:color="auto"/>
                    <w:left w:val="none" w:sz="0" w:space="0" w:color="auto"/>
                    <w:bottom w:val="none" w:sz="0" w:space="0" w:color="auto"/>
                    <w:right w:val="none" w:sz="0" w:space="0" w:color="auto"/>
                  </w:divBdr>
                  <w:divsChild>
                    <w:div w:id="316148807">
                      <w:marLeft w:val="0"/>
                      <w:marRight w:val="0"/>
                      <w:marTop w:val="0"/>
                      <w:marBottom w:val="0"/>
                      <w:divBdr>
                        <w:top w:val="none" w:sz="0" w:space="0" w:color="auto"/>
                        <w:left w:val="none" w:sz="0" w:space="0" w:color="auto"/>
                        <w:bottom w:val="none" w:sz="0" w:space="0" w:color="auto"/>
                        <w:right w:val="none" w:sz="0" w:space="0" w:color="auto"/>
                      </w:divBdr>
                    </w:div>
                    <w:div w:id="4929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676984">
      <w:bodyDiv w:val="1"/>
      <w:marLeft w:val="0"/>
      <w:marRight w:val="0"/>
      <w:marTop w:val="0"/>
      <w:marBottom w:val="0"/>
      <w:divBdr>
        <w:top w:val="none" w:sz="0" w:space="0" w:color="auto"/>
        <w:left w:val="none" w:sz="0" w:space="0" w:color="auto"/>
        <w:bottom w:val="none" w:sz="0" w:space="0" w:color="auto"/>
        <w:right w:val="none" w:sz="0" w:space="0" w:color="auto"/>
      </w:divBdr>
    </w:div>
    <w:div w:id="943612247">
      <w:bodyDiv w:val="1"/>
      <w:marLeft w:val="0"/>
      <w:marRight w:val="0"/>
      <w:marTop w:val="0"/>
      <w:marBottom w:val="0"/>
      <w:divBdr>
        <w:top w:val="none" w:sz="0" w:space="0" w:color="auto"/>
        <w:left w:val="none" w:sz="0" w:space="0" w:color="auto"/>
        <w:bottom w:val="none" w:sz="0" w:space="0" w:color="auto"/>
        <w:right w:val="none" w:sz="0" w:space="0" w:color="auto"/>
      </w:divBdr>
    </w:div>
    <w:div w:id="944729792">
      <w:bodyDiv w:val="1"/>
      <w:marLeft w:val="0"/>
      <w:marRight w:val="0"/>
      <w:marTop w:val="0"/>
      <w:marBottom w:val="0"/>
      <w:divBdr>
        <w:top w:val="none" w:sz="0" w:space="0" w:color="auto"/>
        <w:left w:val="none" w:sz="0" w:space="0" w:color="auto"/>
        <w:bottom w:val="none" w:sz="0" w:space="0" w:color="auto"/>
        <w:right w:val="none" w:sz="0" w:space="0" w:color="auto"/>
      </w:divBdr>
    </w:div>
    <w:div w:id="948699254">
      <w:bodyDiv w:val="1"/>
      <w:marLeft w:val="0"/>
      <w:marRight w:val="0"/>
      <w:marTop w:val="0"/>
      <w:marBottom w:val="0"/>
      <w:divBdr>
        <w:top w:val="none" w:sz="0" w:space="0" w:color="auto"/>
        <w:left w:val="none" w:sz="0" w:space="0" w:color="auto"/>
        <w:bottom w:val="none" w:sz="0" w:space="0" w:color="auto"/>
        <w:right w:val="none" w:sz="0" w:space="0" w:color="auto"/>
      </w:divBdr>
    </w:div>
    <w:div w:id="970406651">
      <w:bodyDiv w:val="1"/>
      <w:marLeft w:val="0"/>
      <w:marRight w:val="0"/>
      <w:marTop w:val="0"/>
      <w:marBottom w:val="0"/>
      <w:divBdr>
        <w:top w:val="none" w:sz="0" w:space="0" w:color="auto"/>
        <w:left w:val="none" w:sz="0" w:space="0" w:color="auto"/>
        <w:bottom w:val="none" w:sz="0" w:space="0" w:color="auto"/>
        <w:right w:val="none" w:sz="0" w:space="0" w:color="auto"/>
      </w:divBdr>
    </w:div>
    <w:div w:id="976497886">
      <w:bodyDiv w:val="1"/>
      <w:marLeft w:val="0"/>
      <w:marRight w:val="0"/>
      <w:marTop w:val="0"/>
      <w:marBottom w:val="0"/>
      <w:divBdr>
        <w:top w:val="none" w:sz="0" w:space="0" w:color="auto"/>
        <w:left w:val="none" w:sz="0" w:space="0" w:color="auto"/>
        <w:bottom w:val="none" w:sz="0" w:space="0" w:color="auto"/>
        <w:right w:val="none" w:sz="0" w:space="0" w:color="auto"/>
      </w:divBdr>
      <w:divsChild>
        <w:div w:id="1175413578">
          <w:marLeft w:val="0"/>
          <w:marRight w:val="150"/>
          <w:marTop w:val="0"/>
          <w:marBottom w:val="150"/>
          <w:divBdr>
            <w:top w:val="single" w:sz="6" w:space="12" w:color="D8D8D8"/>
            <w:left w:val="single" w:sz="6" w:space="12" w:color="D8D8D8"/>
            <w:bottom w:val="single" w:sz="6" w:space="12" w:color="D8D8D8"/>
            <w:right w:val="single" w:sz="6" w:space="12" w:color="D8D8D8"/>
          </w:divBdr>
        </w:div>
      </w:divsChild>
    </w:div>
    <w:div w:id="985938881">
      <w:bodyDiv w:val="1"/>
      <w:marLeft w:val="0"/>
      <w:marRight w:val="0"/>
      <w:marTop w:val="0"/>
      <w:marBottom w:val="0"/>
      <w:divBdr>
        <w:top w:val="none" w:sz="0" w:space="0" w:color="auto"/>
        <w:left w:val="none" w:sz="0" w:space="0" w:color="auto"/>
        <w:bottom w:val="none" w:sz="0" w:space="0" w:color="auto"/>
        <w:right w:val="none" w:sz="0" w:space="0" w:color="auto"/>
      </w:divBdr>
      <w:divsChild>
        <w:div w:id="2100180033">
          <w:marLeft w:val="0"/>
          <w:marRight w:val="150"/>
          <w:marTop w:val="0"/>
          <w:marBottom w:val="150"/>
          <w:divBdr>
            <w:top w:val="single" w:sz="6" w:space="12" w:color="D8D8D8"/>
            <w:left w:val="single" w:sz="6" w:space="12" w:color="D8D8D8"/>
            <w:bottom w:val="single" w:sz="6" w:space="12" w:color="D8D8D8"/>
            <w:right w:val="single" w:sz="6" w:space="12" w:color="D8D8D8"/>
          </w:divBdr>
        </w:div>
      </w:divsChild>
    </w:div>
    <w:div w:id="1003699799">
      <w:bodyDiv w:val="1"/>
      <w:marLeft w:val="0"/>
      <w:marRight w:val="0"/>
      <w:marTop w:val="0"/>
      <w:marBottom w:val="0"/>
      <w:divBdr>
        <w:top w:val="none" w:sz="0" w:space="0" w:color="auto"/>
        <w:left w:val="none" w:sz="0" w:space="0" w:color="auto"/>
        <w:bottom w:val="none" w:sz="0" w:space="0" w:color="auto"/>
        <w:right w:val="none" w:sz="0" w:space="0" w:color="auto"/>
      </w:divBdr>
    </w:div>
    <w:div w:id="1009331758">
      <w:bodyDiv w:val="1"/>
      <w:marLeft w:val="0"/>
      <w:marRight w:val="0"/>
      <w:marTop w:val="0"/>
      <w:marBottom w:val="0"/>
      <w:divBdr>
        <w:top w:val="none" w:sz="0" w:space="0" w:color="auto"/>
        <w:left w:val="none" w:sz="0" w:space="0" w:color="auto"/>
        <w:bottom w:val="none" w:sz="0" w:space="0" w:color="auto"/>
        <w:right w:val="none" w:sz="0" w:space="0" w:color="auto"/>
      </w:divBdr>
      <w:divsChild>
        <w:div w:id="873464373">
          <w:marLeft w:val="0"/>
          <w:marRight w:val="0"/>
          <w:marTop w:val="0"/>
          <w:marBottom w:val="240"/>
          <w:divBdr>
            <w:top w:val="none" w:sz="0" w:space="0" w:color="auto"/>
            <w:left w:val="none" w:sz="0" w:space="0" w:color="auto"/>
            <w:bottom w:val="none" w:sz="0" w:space="0" w:color="auto"/>
            <w:right w:val="none" w:sz="0" w:space="0" w:color="auto"/>
          </w:divBdr>
        </w:div>
      </w:divsChild>
    </w:div>
    <w:div w:id="1013148903">
      <w:bodyDiv w:val="1"/>
      <w:marLeft w:val="0"/>
      <w:marRight w:val="0"/>
      <w:marTop w:val="0"/>
      <w:marBottom w:val="0"/>
      <w:divBdr>
        <w:top w:val="none" w:sz="0" w:space="0" w:color="auto"/>
        <w:left w:val="none" w:sz="0" w:space="0" w:color="auto"/>
        <w:bottom w:val="none" w:sz="0" w:space="0" w:color="auto"/>
        <w:right w:val="none" w:sz="0" w:space="0" w:color="auto"/>
      </w:divBdr>
      <w:divsChild>
        <w:div w:id="293217357">
          <w:marLeft w:val="0"/>
          <w:marRight w:val="0"/>
          <w:marTop w:val="0"/>
          <w:marBottom w:val="0"/>
          <w:divBdr>
            <w:top w:val="none" w:sz="0" w:space="0" w:color="auto"/>
            <w:left w:val="none" w:sz="0" w:space="0" w:color="auto"/>
            <w:bottom w:val="none" w:sz="0" w:space="0" w:color="auto"/>
            <w:right w:val="none" w:sz="0" w:space="0" w:color="auto"/>
          </w:divBdr>
          <w:divsChild>
            <w:div w:id="1518231185">
              <w:marLeft w:val="0"/>
              <w:marRight w:val="0"/>
              <w:marTop w:val="0"/>
              <w:marBottom w:val="0"/>
              <w:divBdr>
                <w:top w:val="none" w:sz="0" w:space="0" w:color="auto"/>
                <w:left w:val="none" w:sz="0" w:space="0" w:color="auto"/>
                <w:bottom w:val="none" w:sz="0" w:space="0" w:color="auto"/>
                <w:right w:val="none" w:sz="0" w:space="0" w:color="auto"/>
              </w:divBdr>
              <w:divsChild>
                <w:div w:id="1902669764">
                  <w:marLeft w:val="0"/>
                  <w:marRight w:val="0"/>
                  <w:marTop w:val="0"/>
                  <w:marBottom w:val="0"/>
                  <w:divBdr>
                    <w:top w:val="none" w:sz="0" w:space="0" w:color="auto"/>
                    <w:left w:val="none" w:sz="0" w:space="0" w:color="auto"/>
                    <w:bottom w:val="none" w:sz="0" w:space="0" w:color="auto"/>
                    <w:right w:val="none" w:sz="0" w:space="0" w:color="auto"/>
                  </w:divBdr>
                  <w:divsChild>
                    <w:div w:id="189485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856305">
          <w:marLeft w:val="0"/>
          <w:marRight w:val="0"/>
          <w:marTop w:val="0"/>
          <w:marBottom w:val="0"/>
          <w:divBdr>
            <w:top w:val="none" w:sz="0" w:space="0" w:color="auto"/>
            <w:left w:val="none" w:sz="0" w:space="0" w:color="auto"/>
            <w:bottom w:val="none" w:sz="0" w:space="0" w:color="auto"/>
            <w:right w:val="none" w:sz="0" w:space="0" w:color="auto"/>
          </w:divBdr>
          <w:divsChild>
            <w:div w:id="1059085709">
              <w:marLeft w:val="0"/>
              <w:marRight w:val="0"/>
              <w:marTop w:val="0"/>
              <w:marBottom w:val="0"/>
              <w:divBdr>
                <w:top w:val="none" w:sz="0" w:space="0" w:color="auto"/>
                <w:left w:val="none" w:sz="0" w:space="0" w:color="auto"/>
                <w:bottom w:val="none" w:sz="0" w:space="0" w:color="auto"/>
                <w:right w:val="none" w:sz="0" w:space="0" w:color="auto"/>
              </w:divBdr>
            </w:div>
          </w:divsChild>
        </w:div>
        <w:div w:id="691879122">
          <w:marLeft w:val="0"/>
          <w:marRight w:val="0"/>
          <w:marTop w:val="0"/>
          <w:marBottom w:val="0"/>
          <w:divBdr>
            <w:top w:val="none" w:sz="0" w:space="0" w:color="auto"/>
            <w:left w:val="none" w:sz="0" w:space="0" w:color="auto"/>
            <w:bottom w:val="none" w:sz="0" w:space="0" w:color="auto"/>
            <w:right w:val="none" w:sz="0" w:space="0" w:color="auto"/>
          </w:divBdr>
          <w:divsChild>
            <w:div w:id="566066126">
              <w:marLeft w:val="0"/>
              <w:marRight w:val="0"/>
              <w:marTop w:val="0"/>
              <w:marBottom w:val="0"/>
              <w:divBdr>
                <w:top w:val="none" w:sz="0" w:space="0" w:color="auto"/>
                <w:left w:val="none" w:sz="0" w:space="0" w:color="auto"/>
                <w:bottom w:val="none" w:sz="0" w:space="0" w:color="auto"/>
                <w:right w:val="none" w:sz="0" w:space="0" w:color="auto"/>
              </w:divBdr>
            </w:div>
          </w:divsChild>
        </w:div>
        <w:div w:id="1005664858">
          <w:marLeft w:val="0"/>
          <w:marRight w:val="0"/>
          <w:marTop w:val="0"/>
          <w:marBottom w:val="0"/>
          <w:divBdr>
            <w:top w:val="none" w:sz="0" w:space="0" w:color="auto"/>
            <w:left w:val="none" w:sz="0" w:space="0" w:color="auto"/>
            <w:bottom w:val="none" w:sz="0" w:space="0" w:color="auto"/>
            <w:right w:val="none" w:sz="0" w:space="0" w:color="auto"/>
          </w:divBdr>
          <w:divsChild>
            <w:div w:id="194777181">
              <w:marLeft w:val="0"/>
              <w:marRight w:val="0"/>
              <w:marTop w:val="0"/>
              <w:marBottom w:val="0"/>
              <w:divBdr>
                <w:top w:val="none" w:sz="0" w:space="0" w:color="auto"/>
                <w:left w:val="none" w:sz="0" w:space="0" w:color="auto"/>
                <w:bottom w:val="none" w:sz="0" w:space="0" w:color="auto"/>
                <w:right w:val="none" w:sz="0" w:space="0" w:color="auto"/>
              </w:divBdr>
            </w:div>
          </w:divsChild>
        </w:div>
        <w:div w:id="1396662606">
          <w:marLeft w:val="0"/>
          <w:marRight w:val="0"/>
          <w:marTop w:val="0"/>
          <w:marBottom w:val="0"/>
          <w:divBdr>
            <w:top w:val="none" w:sz="0" w:space="0" w:color="auto"/>
            <w:left w:val="none" w:sz="0" w:space="0" w:color="auto"/>
            <w:bottom w:val="none" w:sz="0" w:space="0" w:color="auto"/>
            <w:right w:val="none" w:sz="0" w:space="0" w:color="auto"/>
          </w:divBdr>
          <w:divsChild>
            <w:div w:id="956184212">
              <w:marLeft w:val="0"/>
              <w:marRight w:val="0"/>
              <w:marTop w:val="0"/>
              <w:marBottom w:val="0"/>
              <w:divBdr>
                <w:top w:val="none" w:sz="0" w:space="0" w:color="auto"/>
                <w:left w:val="none" w:sz="0" w:space="0" w:color="auto"/>
                <w:bottom w:val="none" w:sz="0" w:space="0" w:color="auto"/>
                <w:right w:val="none" w:sz="0" w:space="0" w:color="auto"/>
              </w:divBdr>
            </w:div>
          </w:divsChild>
        </w:div>
        <w:div w:id="1466653508">
          <w:marLeft w:val="0"/>
          <w:marRight w:val="0"/>
          <w:marTop w:val="0"/>
          <w:marBottom w:val="0"/>
          <w:divBdr>
            <w:top w:val="none" w:sz="0" w:space="0" w:color="auto"/>
            <w:left w:val="none" w:sz="0" w:space="0" w:color="auto"/>
            <w:bottom w:val="none" w:sz="0" w:space="0" w:color="auto"/>
            <w:right w:val="none" w:sz="0" w:space="0" w:color="auto"/>
          </w:divBdr>
          <w:divsChild>
            <w:div w:id="365301263">
              <w:marLeft w:val="0"/>
              <w:marRight w:val="0"/>
              <w:marTop w:val="0"/>
              <w:marBottom w:val="0"/>
              <w:divBdr>
                <w:top w:val="none" w:sz="0" w:space="0" w:color="auto"/>
                <w:left w:val="none" w:sz="0" w:space="0" w:color="auto"/>
                <w:bottom w:val="none" w:sz="0" w:space="0" w:color="auto"/>
                <w:right w:val="none" w:sz="0" w:space="0" w:color="auto"/>
              </w:divBdr>
            </w:div>
          </w:divsChild>
        </w:div>
        <w:div w:id="1624464188">
          <w:marLeft w:val="0"/>
          <w:marRight w:val="0"/>
          <w:marTop w:val="0"/>
          <w:marBottom w:val="0"/>
          <w:divBdr>
            <w:top w:val="none" w:sz="0" w:space="0" w:color="auto"/>
            <w:left w:val="none" w:sz="0" w:space="0" w:color="auto"/>
            <w:bottom w:val="none" w:sz="0" w:space="0" w:color="auto"/>
            <w:right w:val="none" w:sz="0" w:space="0" w:color="auto"/>
          </w:divBdr>
          <w:divsChild>
            <w:div w:id="702823290">
              <w:marLeft w:val="0"/>
              <w:marRight w:val="0"/>
              <w:marTop w:val="0"/>
              <w:marBottom w:val="0"/>
              <w:divBdr>
                <w:top w:val="none" w:sz="0" w:space="0" w:color="auto"/>
                <w:left w:val="none" w:sz="0" w:space="0" w:color="auto"/>
                <w:bottom w:val="none" w:sz="0" w:space="0" w:color="auto"/>
                <w:right w:val="none" w:sz="0" w:space="0" w:color="auto"/>
              </w:divBdr>
              <w:divsChild>
                <w:div w:id="836119596">
                  <w:marLeft w:val="0"/>
                  <w:marRight w:val="0"/>
                  <w:marTop w:val="0"/>
                  <w:marBottom w:val="0"/>
                  <w:divBdr>
                    <w:top w:val="none" w:sz="0" w:space="0" w:color="auto"/>
                    <w:left w:val="none" w:sz="0" w:space="0" w:color="auto"/>
                    <w:bottom w:val="none" w:sz="0" w:space="0" w:color="auto"/>
                    <w:right w:val="none" w:sz="0" w:space="0" w:color="auto"/>
                  </w:divBdr>
                  <w:divsChild>
                    <w:div w:id="6881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97220">
          <w:marLeft w:val="0"/>
          <w:marRight w:val="0"/>
          <w:marTop w:val="0"/>
          <w:marBottom w:val="0"/>
          <w:divBdr>
            <w:top w:val="none" w:sz="0" w:space="0" w:color="auto"/>
            <w:left w:val="none" w:sz="0" w:space="0" w:color="auto"/>
            <w:bottom w:val="none" w:sz="0" w:space="0" w:color="auto"/>
            <w:right w:val="none" w:sz="0" w:space="0" w:color="auto"/>
          </w:divBdr>
          <w:divsChild>
            <w:div w:id="1156917607">
              <w:marLeft w:val="0"/>
              <w:marRight w:val="0"/>
              <w:marTop w:val="0"/>
              <w:marBottom w:val="0"/>
              <w:divBdr>
                <w:top w:val="none" w:sz="0" w:space="0" w:color="auto"/>
                <w:left w:val="none" w:sz="0" w:space="0" w:color="auto"/>
                <w:bottom w:val="none" w:sz="0" w:space="0" w:color="auto"/>
                <w:right w:val="none" w:sz="0" w:space="0" w:color="auto"/>
              </w:divBdr>
              <w:divsChild>
                <w:div w:id="426271165">
                  <w:marLeft w:val="0"/>
                  <w:marRight w:val="0"/>
                  <w:marTop w:val="0"/>
                  <w:marBottom w:val="0"/>
                  <w:divBdr>
                    <w:top w:val="none" w:sz="0" w:space="0" w:color="auto"/>
                    <w:left w:val="none" w:sz="0" w:space="0" w:color="auto"/>
                    <w:bottom w:val="none" w:sz="0" w:space="0" w:color="auto"/>
                    <w:right w:val="none" w:sz="0" w:space="0" w:color="auto"/>
                  </w:divBdr>
                  <w:divsChild>
                    <w:div w:id="146546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965129">
      <w:bodyDiv w:val="1"/>
      <w:marLeft w:val="0"/>
      <w:marRight w:val="0"/>
      <w:marTop w:val="0"/>
      <w:marBottom w:val="0"/>
      <w:divBdr>
        <w:top w:val="none" w:sz="0" w:space="0" w:color="auto"/>
        <w:left w:val="none" w:sz="0" w:space="0" w:color="auto"/>
        <w:bottom w:val="none" w:sz="0" w:space="0" w:color="auto"/>
        <w:right w:val="none" w:sz="0" w:space="0" w:color="auto"/>
      </w:divBdr>
      <w:divsChild>
        <w:div w:id="35786631">
          <w:marLeft w:val="0"/>
          <w:marRight w:val="0"/>
          <w:marTop w:val="0"/>
          <w:marBottom w:val="180"/>
          <w:divBdr>
            <w:top w:val="none" w:sz="0" w:space="0" w:color="auto"/>
            <w:left w:val="none" w:sz="0" w:space="0" w:color="auto"/>
            <w:bottom w:val="none" w:sz="0" w:space="0" w:color="auto"/>
            <w:right w:val="none" w:sz="0" w:space="0" w:color="auto"/>
          </w:divBdr>
        </w:div>
        <w:div w:id="68626558">
          <w:marLeft w:val="0"/>
          <w:marRight w:val="0"/>
          <w:marTop w:val="0"/>
          <w:marBottom w:val="0"/>
          <w:divBdr>
            <w:top w:val="none" w:sz="0" w:space="0" w:color="auto"/>
            <w:left w:val="none" w:sz="0" w:space="0" w:color="auto"/>
            <w:bottom w:val="none" w:sz="0" w:space="0" w:color="auto"/>
            <w:right w:val="none" w:sz="0" w:space="0" w:color="auto"/>
          </w:divBdr>
        </w:div>
        <w:div w:id="1260991774">
          <w:marLeft w:val="0"/>
          <w:marRight w:val="0"/>
          <w:marTop w:val="0"/>
          <w:marBottom w:val="120"/>
          <w:divBdr>
            <w:top w:val="none" w:sz="0" w:space="0" w:color="auto"/>
            <w:left w:val="none" w:sz="0" w:space="0" w:color="auto"/>
            <w:bottom w:val="none" w:sz="0" w:space="0" w:color="auto"/>
            <w:right w:val="none" w:sz="0" w:space="0" w:color="auto"/>
          </w:divBdr>
        </w:div>
        <w:div w:id="1703745356">
          <w:marLeft w:val="0"/>
          <w:marRight w:val="0"/>
          <w:marTop w:val="0"/>
          <w:marBottom w:val="0"/>
          <w:divBdr>
            <w:top w:val="none" w:sz="0" w:space="0" w:color="auto"/>
            <w:left w:val="none" w:sz="0" w:space="0" w:color="auto"/>
            <w:bottom w:val="none" w:sz="0" w:space="0" w:color="auto"/>
            <w:right w:val="none" w:sz="0" w:space="0" w:color="auto"/>
          </w:divBdr>
        </w:div>
        <w:div w:id="1754661525">
          <w:marLeft w:val="0"/>
          <w:marRight w:val="0"/>
          <w:marTop w:val="0"/>
          <w:marBottom w:val="48"/>
          <w:divBdr>
            <w:top w:val="none" w:sz="0" w:space="0" w:color="auto"/>
            <w:left w:val="none" w:sz="0" w:space="0" w:color="auto"/>
            <w:bottom w:val="none" w:sz="0" w:space="0" w:color="auto"/>
            <w:right w:val="none" w:sz="0" w:space="0" w:color="auto"/>
          </w:divBdr>
        </w:div>
        <w:div w:id="1941137908">
          <w:marLeft w:val="0"/>
          <w:marRight w:val="0"/>
          <w:marTop w:val="0"/>
          <w:marBottom w:val="120"/>
          <w:divBdr>
            <w:top w:val="none" w:sz="0" w:space="0" w:color="auto"/>
            <w:left w:val="none" w:sz="0" w:space="0" w:color="auto"/>
            <w:bottom w:val="none" w:sz="0" w:space="0" w:color="auto"/>
            <w:right w:val="none" w:sz="0" w:space="0" w:color="auto"/>
          </w:divBdr>
          <w:divsChild>
            <w:div w:id="792165690">
              <w:marLeft w:val="0"/>
              <w:marRight w:val="0"/>
              <w:marTop w:val="0"/>
              <w:marBottom w:val="72"/>
              <w:divBdr>
                <w:top w:val="none" w:sz="0" w:space="0" w:color="auto"/>
                <w:left w:val="none" w:sz="0" w:space="0" w:color="auto"/>
                <w:bottom w:val="none" w:sz="0" w:space="0" w:color="auto"/>
                <w:right w:val="none" w:sz="0" w:space="0" w:color="auto"/>
              </w:divBdr>
            </w:div>
            <w:div w:id="9130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039827">
      <w:bodyDiv w:val="1"/>
      <w:marLeft w:val="0"/>
      <w:marRight w:val="0"/>
      <w:marTop w:val="0"/>
      <w:marBottom w:val="0"/>
      <w:divBdr>
        <w:top w:val="none" w:sz="0" w:space="0" w:color="auto"/>
        <w:left w:val="none" w:sz="0" w:space="0" w:color="auto"/>
        <w:bottom w:val="none" w:sz="0" w:space="0" w:color="auto"/>
        <w:right w:val="none" w:sz="0" w:space="0" w:color="auto"/>
      </w:divBdr>
    </w:div>
    <w:div w:id="1061975679">
      <w:bodyDiv w:val="1"/>
      <w:marLeft w:val="0"/>
      <w:marRight w:val="0"/>
      <w:marTop w:val="0"/>
      <w:marBottom w:val="0"/>
      <w:divBdr>
        <w:top w:val="none" w:sz="0" w:space="0" w:color="auto"/>
        <w:left w:val="none" w:sz="0" w:space="0" w:color="auto"/>
        <w:bottom w:val="none" w:sz="0" w:space="0" w:color="auto"/>
        <w:right w:val="none" w:sz="0" w:space="0" w:color="auto"/>
      </w:divBdr>
      <w:divsChild>
        <w:div w:id="1255936236">
          <w:marLeft w:val="0"/>
          <w:marRight w:val="0"/>
          <w:marTop w:val="0"/>
          <w:marBottom w:val="0"/>
          <w:divBdr>
            <w:top w:val="none" w:sz="0" w:space="0" w:color="auto"/>
            <w:left w:val="none" w:sz="0" w:space="0" w:color="auto"/>
            <w:bottom w:val="none" w:sz="0" w:space="0" w:color="auto"/>
            <w:right w:val="none" w:sz="0" w:space="0" w:color="auto"/>
          </w:divBdr>
        </w:div>
      </w:divsChild>
    </w:div>
    <w:div w:id="1069618547">
      <w:bodyDiv w:val="1"/>
      <w:marLeft w:val="0"/>
      <w:marRight w:val="0"/>
      <w:marTop w:val="0"/>
      <w:marBottom w:val="0"/>
      <w:divBdr>
        <w:top w:val="none" w:sz="0" w:space="0" w:color="auto"/>
        <w:left w:val="none" w:sz="0" w:space="0" w:color="auto"/>
        <w:bottom w:val="none" w:sz="0" w:space="0" w:color="auto"/>
        <w:right w:val="none" w:sz="0" w:space="0" w:color="auto"/>
      </w:divBdr>
      <w:divsChild>
        <w:div w:id="2055424801">
          <w:marLeft w:val="0"/>
          <w:marRight w:val="0"/>
          <w:marTop w:val="0"/>
          <w:marBottom w:val="0"/>
          <w:divBdr>
            <w:top w:val="none" w:sz="0" w:space="0" w:color="auto"/>
            <w:left w:val="none" w:sz="0" w:space="0" w:color="auto"/>
            <w:bottom w:val="none" w:sz="0" w:space="0" w:color="auto"/>
            <w:right w:val="none" w:sz="0" w:space="0" w:color="auto"/>
          </w:divBdr>
        </w:div>
      </w:divsChild>
    </w:div>
    <w:div w:id="1092164311">
      <w:bodyDiv w:val="1"/>
      <w:marLeft w:val="0"/>
      <w:marRight w:val="0"/>
      <w:marTop w:val="0"/>
      <w:marBottom w:val="0"/>
      <w:divBdr>
        <w:top w:val="none" w:sz="0" w:space="0" w:color="auto"/>
        <w:left w:val="none" w:sz="0" w:space="0" w:color="auto"/>
        <w:bottom w:val="none" w:sz="0" w:space="0" w:color="auto"/>
        <w:right w:val="none" w:sz="0" w:space="0" w:color="auto"/>
      </w:divBdr>
    </w:div>
    <w:div w:id="1103064958">
      <w:bodyDiv w:val="1"/>
      <w:marLeft w:val="0"/>
      <w:marRight w:val="0"/>
      <w:marTop w:val="0"/>
      <w:marBottom w:val="0"/>
      <w:divBdr>
        <w:top w:val="none" w:sz="0" w:space="0" w:color="auto"/>
        <w:left w:val="none" w:sz="0" w:space="0" w:color="auto"/>
        <w:bottom w:val="none" w:sz="0" w:space="0" w:color="auto"/>
        <w:right w:val="none" w:sz="0" w:space="0" w:color="auto"/>
      </w:divBdr>
    </w:div>
    <w:div w:id="1125655335">
      <w:bodyDiv w:val="1"/>
      <w:marLeft w:val="0"/>
      <w:marRight w:val="0"/>
      <w:marTop w:val="0"/>
      <w:marBottom w:val="0"/>
      <w:divBdr>
        <w:top w:val="none" w:sz="0" w:space="0" w:color="auto"/>
        <w:left w:val="none" w:sz="0" w:space="0" w:color="auto"/>
        <w:bottom w:val="none" w:sz="0" w:space="0" w:color="auto"/>
        <w:right w:val="none" w:sz="0" w:space="0" w:color="auto"/>
      </w:divBdr>
    </w:div>
    <w:div w:id="1143887577">
      <w:bodyDiv w:val="1"/>
      <w:marLeft w:val="0"/>
      <w:marRight w:val="0"/>
      <w:marTop w:val="0"/>
      <w:marBottom w:val="0"/>
      <w:divBdr>
        <w:top w:val="none" w:sz="0" w:space="0" w:color="auto"/>
        <w:left w:val="none" w:sz="0" w:space="0" w:color="auto"/>
        <w:bottom w:val="none" w:sz="0" w:space="0" w:color="auto"/>
        <w:right w:val="none" w:sz="0" w:space="0" w:color="auto"/>
      </w:divBdr>
    </w:div>
    <w:div w:id="1148549691">
      <w:bodyDiv w:val="1"/>
      <w:marLeft w:val="0"/>
      <w:marRight w:val="0"/>
      <w:marTop w:val="0"/>
      <w:marBottom w:val="0"/>
      <w:divBdr>
        <w:top w:val="none" w:sz="0" w:space="0" w:color="auto"/>
        <w:left w:val="none" w:sz="0" w:space="0" w:color="auto"/>
        <w:bottom w:val="none" w:sz="0" w:space="0" w:color="auto"/>
        <w:right w:val="none" w:sz="0" w:space="0" w:color="auto"/>
      </w:divBdr>
    </w:div>
    <w:div w:id="1162695295">
      <w:bodyDiv w:val="1"/>
      <w:marLeft w:val="0"/>
      <w:marRight w:val="0"/>
      <w:marTop w:val="0"/>
      <w:marBottom w:val="0"/>
      <w:divBdr>
        <w:top w:val="none" w:sz="0" w:space="0" w:color="auto"/>
        <w:left w:val="none" w:sz="0" w:space="0" w:color="auto"/>
        <w:bottom w:val="none" w:sz="0" w:space="0" w:color="auto"/>
        <w:right w:val="none" w:sz="0" w:space="0" w:color="auto"/>
      </w:divBdr>
    </w:div>
    <w:div w:id="1171212623">
      <w:bodyDiv w:val="1"/>
      <w:marLeft w:val="0"/>
      <w:marRight w:val="0"/>
      <w:marTop w:val="0"/>
      <w:marBottom w:val="0"/>
      <w:divBdr>
        <w:top w:val="none" w:sz="0" w:space="0" w:color="auto"/>
        <w:left w:val="none" w:sz="0" w:space="0" w:color="auto"/>
        <w:bottom w:val="none" w:sz="0" w:space="0" w:color="auto"/>
        <w:right w:val="none" w:sz="0" w:space="0" w:color="auto"/>
      </w:divBdr>
    </w:div>
    <w:div w:id="1186865784">
      <w:bodyDiv w:val="1"/>
      <w:marLeft w:val="0"/>
      <w:marRight w:val="0"/>
      <w:marTop w:val="0"/>
      <w:marBottom w:val="0"/>
      <w:divBdr>
        <w:top w:val="none" w:sz="0" w:space="0" w:color="auto"/>
        <w:left w:val="none" w:sz="0" w:space="0" w:color="auto"/>
        <w:bottom w:val="none" w:sz="0" w:space="0" w:color="auto"/>
        <w:right w:val="none" w:sz="0" w:space="0" w:color="auto"/>
      </w:divBdr>
      <w:divsChild>
        <w:div w:id="1735615090">
          <w:marLeft w:val="0"/>
          <w:marRight w:val="0"/>
          <w:marTop w:val="0"/>
          <w:marBottom w:val="0"/>
          <w:divBdr>
            <w:top w:val="single" w:sz="2" w:space="0" w:color="E5E7EB"/>
            <w:left w:val="single" w:sz="2" w:space="0" w:color="E5E7EB"/>
            <w:bottom w:val="single" w:sz="2" w:space="0" w:color="E5E7EB"/>
            <w:right w:val="single" w:sz="2" w:space="0" w:color="E5E7EB"/>
          </w:divBdr>
          <w:divsChild>
            <w:div w:id="20001161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98661902">
      <w:bodyDiv w:val="1"/>
      <w:marLeft w:val="0"/>
      <w:marRight w:val="0"/>
      <w:marTop w:val="0"/>
      <w:marBottom w:val="0"/>
      <w:divBdr>
        <w:top w:val="none" w:sz="0" w:space="0" w:color="auto"/>
        <w:left w:val="none" w:sz="0" w:space="0" w:color="auto"/>
        <w:bottom w:val="none" w:sz="0" w:space="0" w:color="auto"/>
        <w:right w:val="none" w:sz="0" w:space="0" w:color="auto"/>
      </w:divBdr>
      <w:divsChild>
        <w:div w:id="1912035900">
          <w:marLeft w:val="0"/>
          <w:marRight w:val="0"/>
          <w:marTop w:val="0"/>
          <w:marBottom w:val="240"/>
          <w:divBdr>
            <w:top w:val="none" w:sz="0" w:space="0" w:color="auto"/>
            <w:left w:val="none" w:sz="0" w:space="0" w:color="auto"/>
            <w:bottom w:val="none" w:sz="0" w:space="0" w:color="auto"/>
            <w:right w:val="none" w:sz="0" w:space="0" w:color="auto"/>
          </w:divBdr>
        </w:div>
      </w:divsChild>
    </w:div>
    <w:div w:id="1212692726">
      <w:bodyDiv w:val="1"/>
      <w:marLeft w:val="0"/>
      <w:marRight w:val="0"/>
      <w:marTop w:val="0"/>
      <w:marBottom w:val="0"/>
      <w:divBdr>
        <w:top w:val="none" w:sz="0" w:space="0" w:color="auto"/>
        <w:left w:val="none" w:sz="0" w:space="0" w:color="auto"/>
        <w:bottom w:val="none" w:sz="0" w:space="0" w:color="auto"/>
        <w:right w:val="none" w:sz="0" w:space="0" w:color="auto"/>
      </w:divBdr>
    </w:div>
    <w:div w:id="12145425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636">
          <w:marLeft w:val="0"/>
          <w:marRight w:val="0"/>
          <w:marTop w:val="0"/>
          <w:marBottom w:val="240"/>
          <w:divBdr>
            <w:top w:val="none" w:sz="0" w:space="0" w:color="auto"/>
            <w:left w:val="none" w:sz="0" w:space="0" w:color="auto"/>
            <w:bottom w:val="none" w:sz="0" w:space="0" w:color="auto"/>
            <w:right w:val="none" w:sz="0" w:space="0" w:color="auto"/>
          </w:divBdr>
        </w:div>
      </w:divsChild>
    </w:div>
    <w:div w:id="1227032765">
      <w:bodyDiv w:val="1"/>
      <w:marLeft w:val="0"/>
      <w:marRight w:val="0"/>
      <w:marTop w:val="0"/>
      <w:marBottom w:val="0"/>
      <w:divBdr>
        <w:top w:val="none" w:sz="0" w:space="0" w:color="auto"/>
        <w:left w:val="none" w:sz="0" w:space="0" w:color="auto"/>
        <w:bottom w:val="none" w:sz="0" w:space="0" w:color="auto"/>
        <w:right w:val="none" w:sz="0" w:space="0" w:color="auto"/>
      </w:divBdr>
      <w:divsChild>
        <w:div w:id="1230725138">
          <w:marLeft w:val="0"/>
          <w:marRight w:val="0"/>
          <w:marTop w:val="0"/>
          <w:marBottom w:val="0"/>
          <w:divBdr>
            <w:top w:val="none" w:sz="0" w:space="0" w:color="auto"/>
            <w:left w:val="none" w:sz="0" w:space="0" w:color="auto"/>
            <w:bottom w:val="none" w:sz="0" w:space="0" w:color="auto"/>
            <w:right w:val="none" w:sz="0" w:space="0" w:color="auto"/>
          </w:divBdr>
        </w:div>
      </w:divsChild>
    </w:div>
    <w:div w:id="1259558624">
      <w:bodyDiv w:val="1"/>
      <w:marLeft w:val="0"/>
      <w:marRight w:val="0"/>
      <w:marTop w:val="0"/>
      <w:marBottom w:val="0"/>
      <w:divBdr>
        <w:top w:val="none" w:sz="0" w:space="0" w:color="auto"/>
        <w:left w:val="none" w:sz="0" w:space="0" w:color="auto"/>
        <w:bottom w:val="none" w:sz="0" w:space="0" w:color="auto"/>
        <w:right w:val="none" w:sz="0" w:space="0" w:color="auto"/>
      </w:divBdr>
      <w:divsChild>
        <w:div w:id="1145854274">
          <w:marLeft w:val="0"/>
          <w:marRight w:val="0"/>
          <w:marTop w:val="0"/>
          <w:marBottom w:val="240"/>
          <w:divBdr>
            <w:top w:val="none" w:sz="0" w:space="0" w:color="auto"/>
            <w:left w:val="none" w:sz="0" w:space="0" w:color="auto"/>
            <w:bottom w:val="none" w:sz="0" w:space="0" w:color="auto"/>
            <w:right w:val="none" w:sz="0" w:space="0" w:color="auto"/>
          </w:divBdr>
        </w:div>
        <w:div w:id="1518693309">
          <w:marLeft w:val="0"/>
          <w:marRight w:val="0"/>
          <w:marTop w:val="0"/>
          <w:marBottom w:val="240"/>
          <w:divBdr>
            <w:top w:val="none" w:sz="0" w:space="0" w:color="auto"/>
            <w:left w:val="none" w:sz="0" w:space="0" w:color="auto"/>
            <w:bottom w:val="none" w:sz="0" w:space="0" w:color="auto"/>
            <w:right w:val="none" w:sz="0" w:space="0" w:color="auto"/>
          </w:divBdr>
        </w:div>
      </w:divsChild>
    </w:div>
    <w:div w:id="1298680820">
      <w:bodyDiv w:val="1"/>
      <w:marLeft w:val="0"/>
      <w:marRight w:val="0"/>
      <w:marTop w:val="0"/>
      <w:marBottom w:val="0"/>
      <w:divBdr>
        <w:top w:val="none" w:sz="0" w:space="0" w:color="auto"/>
        <w:left w:val="none" w:sz="0" w:space="0" w:color="auto"/>
        <w:bottom w:val="none" w:sz="0" w:space="0" w:color="auto"/>
        <w:right w:val="none" w:sz="0" w:space="0" w:color="auto"/>
      </w:divBdr>
    </w:div>
    <w:div w:id="1315184348">
      <w:bodyDiv w:val="1"/>
      <w:marLeft w:val="0"/>
      <w:marRight w:val="0"/>
      <w:marTop w:val="0"/>
      <w:marBottom w:val="0"/>
      <w:divBdr>
        <w:top w:val="none" w:sz="0" w:space="0" w:color="auto"/>
        <w:left w:val="none" w:sz="0" w:space="0" w:color="auto"/>
        <w:bottom w:val="none" w:sz="0" w:space="0" w:color="auto"/>
        <w:right w:val="none" w:sz="0" w:space="0" w:color="auto"/>
      </w:divBdr>
    </w:div>
    <w:div w:id="1365668737">
      <w:bodyDiv w:val="1"/>
      <w:marLeft w:val="0"/>
      <w:marRight w:val="0"/>
      <w:marTop w:val="0"/>
      <w:marBottom w:val="0"/>
      <w:divBdr>
        <w:top w:val="none" w:sz="0" w:space="0" w:color="auto"/>
        <w:left w:val="none" w:sz="0" w:space="0" w:color="auto"/>
        <w:bottom w:val="none" w:sz="0" w:space="0" w:color="auto"/>
        <w:right w:val="none" w:sz="0" w:space="0" w:color="auto"/>
      </w:divBdr>
      <w:divsChild>
        <w:div w:id="392847316">
          <w:marLeft w:val="0"/>
          <w:marRight w:val="0"/>
          <w:marTop w:val="0"/>
          <w:marBottom w:val="240"/>
          <w:divBdr>
            <w:top w:val="none" w:sz="0" w:space="0" w:color="auto"/>
            <w:left w:val="none" w:sz="0" w:space="0" w:color="auto"/>
            <w:bottom w:val="none" w:sz="0" w:space="0" w:color="auto"/>
            <w:right w:val="none" w:sz="0" w:space="0" w:color="auto"/>
          </w:divBdr>
        </w:div>
        <w:div w:id="466123088">
          <w:marLeft w:val="0"/>
          <w:marRight w:val="0"/>
          <w:marTop w:val="360"/>
          <w:marBottom w:val="240"/>
          <w:divBdr>
            <w:top w:val="none" w:sz="0" w:space="0" w:color="auto"/>
            <w:left w:val="none" w:sz="0" w:space="0" w:color="auto"/>
            <w:bottom w:val="none" w:sz="0" w:space="0" w:color="auto"/>
            <w:right w:val="none" w:sz="0" w:space="0" w:color="auto"/>
          </w:divBdr>
        </w:div>
        <w:div w:id="1878539464">
          <w:marLeft w:val="0"/>
          <w:marRight w:val="0"/>
          <w:marTop w:val="0"/>
          <w:marBottom w:val="240"/>
          <w:divBdr>
            <w:top w:val="none" w:sz="0" w:space="0" w:color="auto"/>
            <w:left w:val="none" w:sz="0" w:space="0" w:color="auto"/>
            <w:bottom w:val="none" w:sz="0" w:space="0" w:color="auto"/>
            <w:right w:val="none" w:sz="0" w:space="0" w:color="auto"/>
          </w:divBdr>
        </w:div>
      </w:divsChild>
    </w:div>
    <w:div w:id="1384208661">
      <w:bodyDiv w:val="1"/>
      <w:marLeft w:val="0"/>
      <w:marRight w:val="0"/>
      <w:marTop w:val="0"/>
      <w:marBottom w:val="0"/>
      <w:divBdr>
        <w:top w:val="none" w:sz="0" w:space="0" w:color="auto"/>
        <w:left w:val="none" w:sz="0" w:space="0" w:color="auto"/>
        <w:bottom w:val="none" w:sz="0" w:space="0" w:color="auto"/>
        <w:right w:val="none" w:sz="0" w:space="0" w:color="auto"/>
      </w:divBdr>
      <w:divsChild>
        <w:div w:id="925192363">
          <w:marLeft w:val="0"/>
          <w:marRight w:val="150"/>
          <w:marTop w:val="0"/>
          <w:marBottom w:val="150"/>
          <w:divBdr>
            <w:top w:val="single" w:sz="6" w:space="12" w:color="D8D8D8"/>
            <w:left w:val="single" w:sz="6" w:space="12" w:color="D8D8D8"/>
            <w:bottom w:val="single" w:sz="6" w:space="12" w:color="D8D8D8"/>
            <w:right w:val="single" w:sz="6" w:space="12" w:color="D8D8D8"/>
          </w:divBdr>
        </w:div>
      </w:divsChild>
    </w:div>
    <w:div w:id="1399134965">
      <w:bodyDiv w:val="1"/>
      <w:marLeft w:val="0"/>
      <w:marRight w:val="0"/>
      <w:marTop w:val="0"/>
      <w:marBottom w:val="0"/>
      <w:divBdr>
        <w:top w:val="none" w:sz="0" w:space="0" w:color="auto"/>
        <w:left w:val="none" w:sz="0" w:space="0" w:color="auto"/>
        <w:bottom w:val="none" w:sz="0" w:space="0" w:color="auto"/>
        <w:right w:val="none" w:sz="0" w:space="0" w:color="auto"/>
      </w:divBdr>
      <w:divsChild>
        <w:div w:id="674845575">
          <w:marLeft w:val="0"/>
          <w:marRight w:val="0"/>
          <w:marTop w:val="360"/>
          <w:marBottom w:val="240"/>
          <w:divBdr>
            <w:top w:val="none" w:sz="0" w:space="0" w:color="auto"/>
            <w:left w:val="none" w:sz="0" w:space="0" w:color="auto"/>
            <w:bottom w:val="none" w:sz="0" w:space="0" w:color="auto"/>
            <w:right w:val="none" w:sz="0" w:space="0" w:color="auto"/>
          </w:divBdr>
        </w:div>
        <w:div w:id="1995184532">
          <w:marLeft w:val="0"/>
          <w:marRight w:val="0"/>
          <w:marTop w:val="0"/>
          <w:marBottom w:val="240"/>
          <w:divBdr>
            <w:top w:val="none" w:sz="0" w:space="0" w:color="auto"/>
            <w:left w:val="none" w:sz="0" w:space="0" w:color="auto"/>
            <w:bottom w:val="none" w:sz="0" w:space="0" w:color="auto"/>
            <w:right w:val="none" w:sz="0" w:space="0" w:color="auto"/>
          </w:divBdr>
          <w:divsChild>
            <w:div w:id="249699630">
              <w:marLeft w:val="0"/>
              <w:marRight w:val="0"/>
              <w:marTop w:val="0"/>
              <w:marBottom w:val="0"/>
              <w:divBdr>
                <w:top w:val="none" w:sz="0" w:space="0" w:color="auto"/>
                <w:left w:val="none" w:sz="0" w:space="0" w:color="auto"/>
                <w:bottom w:val="none" w:sz="0" w:space="0" w:color="auto"/>
                <w:right w:val="none" w:sz="0" w:space="0" w:color="auto"/>
              </w:divBdr>
              <w:divsChild>
                <w:div w:id="156188311">
                  <w:marLeft w:val="0"/>
                  <w:marRight w:val="0"/>
                  <w:marTop w:val="0"/>
                  <w:marBottom w:val="60"/>
                  <w:divBdr>
                    <w:top w:val="none" w:sz="0" w:space="0" w:color="auto"/>
                    <w:left w:val="none" w:sz="0" w:space="0" w:color="auto"/>
                    <w:bottom w:val="none" w:sz="0" w:space="0" w:color="auto"/>
                    <w:right w:val="none" w:sz="0" w:space="0" w:color="auto"/>
                  </w:divBdr>
                  <w:divsChild>
                    <w:div w:id="1390958121">
                      <w:marLeft w:val="0"/>
                      <w:marRight w:val="0"/>
                      <w:marTop w:val="0"/>
                      <w:marBottom w:val="0"/>
                      <w:divBdr>
                        <w:top w:val="none" w:sz="0" w:space="0" w:color="auto"/>
                        <w:left w:val="none" w:sz="0" w:space="0" w:color="auto"/>
                        <w:bottom w:val="none" w:sz="0" w:space="0" w:color="auto"/>
                        <w:right w:val="none" w:sz="0" w:space="0" w:color="auto"/>
                      </w:divBdr>
                      <w:divsChild>
                        <w:div w:id="956371354">
                          <w:marLeft w:val="0"/>
                          <w:marRight w:val="0"/>
                          <w:marTop w:val="0"/>
                          <w:marBottom w:val="0"/>
                          <w:divBdr>
                            <w:top w:val="none" w:sz="0" w:space="0" w:color="auto"/>
                            <w:left w:val="none" w:sz="0" w:space="0" w:color="auto"/>
                            <w:bottom w:val="none" w:sz="0" w:space="0" w:color="auto"/>
                            <w:right w:val="none" w:sz="0" w:space="0" w:color="auto"/>
                          </w:divBdr>
                          <w:divsChild>
                            <w:div w:id="24327303">
                              <w:marLeft w:val="0"/>
                              <w:marRight w:val="0"/>
                              <w:marTop w:val="0"/>
                              <w:marBottom w:val="0"/>
                              <w:divBdr>
                                <w:top w:val="none" w:sz="0" w:space="0" w:color="auto"/>
                                <w:left w:val="none" w:sz="0" w:space="0" w:color="auto"/>
                                <w:bottom w:val="none" w:sz="0" w:space="0" w:color="auto"/>
                                <w:right w:val="none" w:sz="0" w:space="0" w:color="auto"/>
                              </w:divBdr>
                            </w:div>
                          </w:divsChild>
                        </w:div>
                        <w:div w:id="1931742698">
                          <w:marLeft w:val="0"/>
                          <w:marRight w:val="0"/>
                          <w:marTop w:val="0"/>
                          <w:marBottom w:val="0"/>
                          <w:divBdr>
                            <w:top w:val="none" w:sz="0" w:space="0" w:color="auto"/>
                            <w:left w:val="none" w:sz="0" w:space="0" w:color="auto"/>
                            <w:bottom w:val="none" w:sz="0" w:space="0" w:color="auto"/>
                            <w:right w:val="none" w:sz="0" w:space="0" w:color="auto"/>
                          </w:divBdr>
                          <w:divsChild>
                            <w:div w:id="129390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51291">
                  <w:marLeft w:val="0"/>
                  <w:marRight w:val="0"/>
                  <w:marTop w:val="0"/>
                  <w:marBottom w:val="0"/>
                  <w:divBdr>
                    <w:top w:val="none" w:sz="0" w:space="0" w:color="auto"/>
                    <w:left w:val="none" w:sz="0" w:space="0" w:color="auto"/>
                    <w:bottom w:val="none" w:sz="0" w:space="0" w:color="auto"/>
                    <w:right w:val="none" w:sz="0" w:space="0" w:color="auto"/>
                  </w:divBdr>
                  <w:divsChild>
                    <w:div w:id="566502556">
                      <w:marLeft w:val="0"/>
                      <w:marRight w:val="0"/>
                      <w:marTop w:val="0"/>
                      <w:marBottom w:val="0"/>
                      <w:divBdr>
                        <w:top w:val="none" w:sz="0" w:space="0" w:color="auto"/>
                        <w:left w:val="none" w:sz="0" w:space="0" w:color="auto"/>
                        <w:bottom w:val="none" w:sz="0" w:space="0" w:color="auto"/>
                        <w:right w:val="none" w:sz="0" w:space="0" w:color="auto"/>
                      </w:divBdr>
                      <w:divsChild>
                        <w:div w:id="118646665">
                          <w:marLeft w:val="0"/>
                          <w:marRight w:val="0"/>
                          <w:marTop w:val="0"/>
                          <w:marBottom w:val="0"/>
                          <w:divBdr>
                            <w:top w:val="none" w:sz="0" w:space="0" w:color="auto"/>
                            <w:left w:val="none" w:sz="0" w:space="0" w:color="auto"/>
                            <w:bottom w:val="none" w:sz="0" w:space="0" w:color="auto"/>
                            <w:right w:val="none" w:sz="0" w:space="0" w:color="auto"/>
                          </w:divBdr>
                          <w:divsChild>
                            <w:div w:id="128734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732616">
                      <w:marLeft w:val="0"/>
                      <w:marRight w:val="0"/>
                      <w:marTop w:val="0"/>
                      <w:marBottom w:val="0"/>
                      <w:divBdr>
                        <w:top w:val="none" w:sz="0" w:space="0" w:color="auto"/>
                        <w:left w:val="none" w:sz="0" w:space="0" w:color="auto"/>
                        <w:bottom w:val="none" w:sz="0" w:space="0" w:color="auto"/>
                        <w:right w:val="none" w:sz="0" w:space="0" w:color="auto"/>
                      </w:divBdr>
                      <w:divsChild>
                        <w:div w:id="115681568">
                          <w:marLeft w:val="0"/>
                          <w:marRight w:val="0"/>
                          <w:marTop w:val="0"/>
                          <w:marBottom w:val="0"/>
                          <w:divBdr>
                            <w:top w:val="none" w:sz="0" w:space="0" w:color="auto"/>
                            <w:left w:val="none" w:sz="0" w:space="0" w:color="auto"/>
                            <w:bottom w:val="none" w:sz="0" w:space="0" w:color="auto"/>
                            <w:right w:val="none" w:sz="0" w:space="0" w:color="auto"/>
                          </w:divBdr>
                          <w:divsChild>
                            <w:div w:id="116346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2241968">
      <w:bodyDiv w:val="1"/>
      <w:marLeft w:val="0"/>
      <w:marRight w:val="0"/>
      <w:marTop w:val="0"/>
      <w:marBottom w:val="0"/>
      <w:divBdr>
        <w:top w:val="none" w:sz="0" w:space="0" w:color="auto"/>
        <w:left w:val="none" w:sz="0" w:space="0" w:color="auto"/>
        <w:bottom w:val="none" w:sz="0" w:space="0" w:color="auto"/>
        <w:right w:val="none" w:sz="0" w:space="0" w:color="auto"/>
      </w:divBdr>
    </w:div>
    <w:div w:id="1419903961">
      <w:bodyDiv w:val="1"/>
      <w:marLeft w:val="0"/>
      <w:marRight w:val="0"/>
      <w:marTop w:val="0"/>
      <w:marBottom w:val="0"/>
      <w:divBdr>
        <w:top w:val="none" w:sz="0" w:space="0" w:color="auto"/>
        <w:left w:val="none" w:sz="0" w:space="0" w:color="auto"/>
        <w:bottom w:val="none" w:sz="0" w:space="0" w:color="auto"/>
        <w:right w:val="none" w:sz="0" w:space="0" w:color="auto"/>
      </w:divBdr>
    </w:div>
    <w:div w:id="1454325404">
      <w:bodyDiv w:val="1"/>
      <w:marLeft w:val="0"/>
      <w:marRight w:val="0"/>
      <w:marTop w:val="0"/>
      <w:marBottom w:val="0"/>
      <w:divBdr>
        <w:top w:val="none" w:sz="0" w:space="0" w:color="auto"/>
        <w:left w:val="none" w:sz="0" w:space="0" w:color="auto"/>
        <w:bottom w:val="none" w:sz="0" w:space="0" w:color="auto"/>
        <w:right w:val="none" w:sz="0" w:space="0" w:color="auto"/>
      </w:divBdr>
    </w:div>
    <w:div w:id="1467316222">
      <w:bodyDiv w:val="1"/>
      <w:marLeft w:val="0"/>
      <w:marRight w:val="0"/>
      <w:marTop w:val="0"/>
      <w:marBottom w:val="0"/>
      <w:divBdr>
        <w:top w:val="none" w:sz="0" w:space="0" w:color="auto"/>
        <w:left w:val="none" w:sz="0" w:space="0" w:color="auto"/>
        <w:bottom w:val="none" w:sz="0" w:space="0" w:color="auto"/>
        <w:right w:val="none" w:sz="0" w:space="0" w:color="auto"/>
      </w:divBdr>
    </w:div>
    <w:div w:id="1477408111">
      <w:bodyDiv w:val="1"/>
      <w:marLeft w:val="0"/>
      <w:marRight w:val="0"/>
      <w:marTop w:val="0"/>
      <w:marBottom w:val="0"/>
      <w:divBdr>
        <w:top w:val="none" w:sz="0" w:space="0" w:color="auto"/>
        <w:left w:val="none" w:sz="0" w:space="0" w:color="auto"/>
        <w:bottom w:val="none" w:sz="0" w:space="0" w:color="auto"/>
        <w:right w:val="none" w:sz="0" w:space="0" w:color="auto"/>
      </w:divBdr>
    </w:div>
    <w:div w:id="1480074195">
      <w:bodyDiv w:val="1"/>
      <w:marLeft w:val="0"/>
      <w:marRight w:val="0"/>
      <w:marTop w:val="0"/>
      <w:marBottom w:val="0"/>
      <w:divBdr>
        <w:top w:val="none" w:sz="0" w:space="0" w:color="auto"/>
        <w:left w:val="none" w:sz="0" w:space="0" w:color="auto"/>
        <w:bottom w:val="none" w:sz="0" w:space="0" w:color="auto"/>
        <w:right w:val="none" w:sz="0" w:space="0" w:color="auto"/>
      </w:divBdr>
      <w:divsChild>
        <w:div w:id="1618103417">
          <w:marLeft w:val="0"/>
          <w:marRight w:val="0"/>
          <w:marTop w:val="0"/>
          <w:marBottom w:val="375"/>
          <w:divBdr>
            <w:top w:val="none" w:sz="0" w:space="0" w:color="auto"/>
            <w:left w:val="none" w:sz="0" w:space="0" w:color="auto"/>
            <w:bottom w:val="none" w:sz="0" w:space="0" w:color="auto"/>
            <w:right w:val="none" w:sz="0" w:space="0" w:color="auto"/>
          </w:divBdr>
        </w:div>
      </w:divsChild>
    </w:div>
    <w:div w:id="1528908708">
      <w:bodyDiv w:val="1"/>
      <w:marLeft w:val="0"/>
      <w:marRight w:val="0"/>
      <w:marTop w:val="0"/>
      <w:marBottom w:val="0"/>
      <w:divBdr>
        <w:top w:val="none" w:sz="0" w:space="0" w:color="auto"/>
        <w:left w:val="none" w:sz="0" w:space="0" w:color="auto"/>
        <w:bottom w:val="none" w:sz="0" w:space="0" w:color="auto"/>
        <w:right w:val="none" w:sz="0" w:space="0" w:color="auto"/>
      </w:divBdr>
    </w:div>
    <w:div w:id="1557736258">
      <w:bodyDiv w:val="1"/>
      <w:marLeft w:val="0"/>
      <w:marRight w:val="0"/>
      <w:marTop w:val="0"/>
      <w:marBottom w:val="0"/>
      <w:divBdr>
        <w:top w:val="none" w:sz="0" w:space="0" w:color="auto"/>
        <w:left w:val="none" w:sz="0" w:space="0" w:color="auto"/>
        <w:bottom w:val="none" w:sz="0" w:space="0" w:color="auto"/>
        <w:right w:val="none" w:sz="0" w:space="0" w:color="auto"/>
      </w:divBdr>
      <w:divsChild>
        <w:div w:id="817114681">
          <w:marLeft w:val="0"/>
          <w:marRight w:val="0"/>
          <w:marTop w:val="0"/>
          <w:marBottom w:val="0"/>
          <w:divBdr>
            <w:top w:val="none" w:sz="0" w:space="0" w:color="auto"/>
            <w:left w:val="none" w:sz="0" w:space="0" w:color="auto"/>
            <w:bottom w:val="none" w:sz="0" w:space="0" w:color="auto"/>
            <w:right w:val="none" w:sz="0" w:space="0" w:color="auto"/>
          </w:divBdr>
        </w:div>
      </w:divsChild>
    </w:div>
    <w:div w:id="1563910251">
      <w:bodyDiv w:val="1"/>
      <w:marLeft w:val="0"/>
      <w:marRight w:val="0"/>
      <w:marTop w:val="0"/>
      <w:marBottom w:val="0"/>
      <w:divBdr>
        <w:top w:val="none" w:sz="0" w:space="0" w:color="auto"/>
        <w:left w:val="none" w:sz="0" w:space="0" w:color="auto"/>
        <w:bottom w:val="none" w:sz="0" w:space="0" w:color="auto"/>
        <w:right w:val="none" w:sz="0" w:space="0" w:color="auto"/>
      </w:divBdr>
    </w:div>
    <w:div w:id="1611668985">
      <w:bodyDiv w:val="1"/>
      <w:marLeft w:val="0"/>
      <w:marRight w:val="0"/>
      <w:marTop w:val="0"/>
      <w:marBottom w:val="0"/>
      <w:divBdr>
        <w:top w:val="none" w:sz="0" w:space="0" w:color="auto"/>
        <w:left w:val="none" w:sz="0" w:space="0" w:color="auto"/>
        <w:bottom w:val="none" w:sz="0" w:space="0" w:color="auto"/>
        <w:right w:val="none" w:sz="0" w:space="0" w:color="auto"/>
      </w:divBdr>
      <w:divsChild>
        <w:div w:id="1923102179">
          <w:marLeft w:val="0"/>
          <w:marRight w:val="0"/>
          <w:marTop w:val="56"/>
          <w:marBottom w:val="140"/>
          <w:divBdr>
            <w:top w:val="none" w:sz="0" w:space="0" w:color="auto"/>
            <w:left w:val="none" w:sz="0" w:space="0" w:color="auto"/>
            <w:bottom w:val="none" w:sz="0" w:space="0" w:color="auto"/>
            <w:right w:val="none" w:sz="0" w:space="0" w:color="auto"/>
          </w:divBdr>
          <w:divsChild>
            <w:div w:id="35724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210111">
      <w:bodyDiv w:val="1"/>
      <w:marLeft w:val="0"/>
      <w:marRight w:val="0"/>
      <w:marTop w:val="0"/>
      <w:marBottom w:val="0"/>
      <w:divBdr>
        <w:top w:val="none" w:sz="0" w:space="0" w:color="auto"/>
        <w:left w:val="none" w:sz="0" w:space="0" w:color="auto"/>
        <w:bottom w:val="none" w:sz="0" w:space="0" w:color="auto"/>
        <w:right w:val="none" w:sz="0" w:space="0" w:color="auto"/>
      </w:divBdr>
    </w:div>
    <w:div w:id="1672636401">
      <w:bodyDiv w:val="1"/>
      <w:marLeft w:val="0"/>
      <w:marRight w:val="0"/>
      <w:marTop w:val="0"/>
      <w:marBottom w:val="0"/>
      <w:divBdr>
        <w:top w:val="none" w:sz="0" w:space="0" w:color="auto"/>
        <w:left w:val="none" w:sz="0" w:space="0" w:color="auto"/>
        <w:bottom w:val="none" w:sz="0" w:space="0" w:color="auto"/>
        <w:right w:val="none" w:sz="0" w:space="0" w:color="auto"/>
      </w:divBdr>
    </w:div>
    <w:div w:id="1676498752">
      <w:bodyDiv w:val="1"/>
      <w:marLeft w:val="0"/>
      <w:marRight w:val="0"/>
      <w:marTop w:val="0"/>
      <w:marBottom w:val="0"/>
      <w:divBdr>
        <w:top w:val="none" w:sz="0" w:space="0" w:color="auto"/>
        <w:left w:val="none" w:sz="0" w:space="0" w:color="auto"/>
        <w:bottom w:val="none" w:sz="0" w:space="0" w:color="auto"/>
        <w:right w:val="none" w:sz="0" w:space="0" w:color="auto"/>
      </w:divBdr>
    </w:div>
    <w:div w:id="1710108693">
      <w:bodyDiv w:val="1"/>
      <w:marLeft w:val="0"/>
      <w:marRight w:val="0"/>
      <w:marTop w:val="0"/>
      <w:marBottom w:val="0"/>
      <w:divBdr>
        <w:top w:val="none" w:sz="0" w:space="0" w:color="auto"/>
        <w:left w:val="none" w:sz="0" w:space="0" w:color="auto"/>
        <w:bottom w:val="none" w:sz="0" w:space="0" w:color="auto"/>
        <w:right w:val="none" w:sz="0" w:space="0" w:color="auto"/>
      </w:divBdr>
      <w:divsChild>
        <w:div w:id="210923647">
          <w:marLeft w:val="0"/>
          <w:marRight w:val="0"/>
          <w:marTop w:val="0"/>
          <w:marBottom w:val="0"/>
          <w:divBdr>
            <w:top w:val="none" w:sz="0" w:space="0" w:color="auto"/>
            <w:left w:val="none" w:sz="0" w:space="0" w:color="auto"/>
            <w:bottom w:val="none" w:sz="0" w:space="0" w:color="auto"/>
            <w:right w:val="none" w:sz="0" w:space="0" w:color="auto"/>
          </w:divBdr>
          <w:divsChild>
            <w:div w:id="780152979">
              <w:marLeft w:val="0"/>
              <w:marRight w:val="0"/>
              <w:marTop w:val="0"/>
              <w:marBottom w:val="0"/>
              <w:divBdr>
                <w:top w:val="none" w:sz="0" w:space="0" w:color="auto"/>
                <w:left w:val="none" w:sz="0" w:space="0" w:color="auto"/>
                <w:bottom w:val="none" w:sz="0" w:space="0" w:color="auto"/>
                <w:right w:val="none" w:sz="0" w:space="0" w:color="auto"/>
              </w:divBdr>
              <w:divsChild>
                <w:div w:id="829294040">
                  <w:marLeft w:val="0"/>
                  <w:marRight w:val="0"/>
                  <w:marTop w:val="0"/>
                  <w:marBottom w:val="0"/>
                  <w:divBdr>
                    <w:top w:val="none" w:sz="0" w:space="0" w:color="auto"/>
                    <w:left w:val="none" w:sz="0" w:space="0" w:color="auto"/>
                    <w:bottom w:val="none" w:sz="0" w:space="0" w:color="auto"/>
                    <w:right w:val="none" w:sz="0" w:space="0" w:color="auto"/>
                  </w:divBdr>
                  <w:divsChild>
                    <w:div w:id="723215065">
                      <w:marLeft w:val="0"/>
                      <w:marRight w:val="0"/>
                      <w:marTop w:val="0"/>
                      <w:marBottom w:val="0"/>
                      <w:divBdr>
                        <w:top w:val="none" w:sz="0" w:space="0" w:color="auto"/>
                        <w:left w:val="none" w:sz="0" w:space="0" w:color="auto"/>
                        <w:bottom w:val="none" w:sz="0" w:space="0" w:color="auto"/>
                        <w:right w:val="none" w:sz="0" w:space="0" w:color="auto"/>
                      </w:divBdr>
                      <w:divsChild>
                        <w:div w:id="348798951">
                          <w:marLeft w:val="0"/>
                          <w:marRight w:val="0"/>
                          <w:marTop w:val="0"/>
                          <w:marBottom w:val="0"/>
                          <w:divBdr>
                            <w:top w:val="none" w:sz="0" w:space="0" w:color="auto"/>
                            <w:left w:val="none" w:sz="0" w:space="0" w:color="auto"/>
                            <w:bottom w:val="none" w:sz="0" w:space="0" w:color="auto"/>
                            <w:right w:val="none" w:sz="0" w:space="0" w:color="auto"/>
                          </w:divBdr>
                          <w:divsChild>
                            <w:div w:id="403114799">
                              <w:marLeft w:val="0"/>
                              <w:marRight w:val="0"/>
                              <w:marTop w:val="0"/>
                              <w:marBottom w:val="0"/>
                              <w:divBdr>
                                <w:top w:val="none" w:sz="0" w:space="0" w:color="auto"/>
                                <w:left w:val="none" w:sz="0" w:space="0" w:color="auto"/>
                                <w:bottom w:val="none" w:sz="0" w:space="0" w:color="auto"/>
                                <w:right w:val="none" w:sz="0" w:space="0" w:color="auto"/>
                              </w:divBdr>
                            </w:div>
                          </w:divsChild>
                        </w:div>
                        <w:div w:id="389770469">
                          <w:marLeft w:val="0"/>
                          <w:marRight w:val="0"/>
                          <w:marTop w:val="0"/>
                          <w:marBottom w:val="0"/>
                          <w:divBdr>
                            <w:top w:val="none" w:sz="0" w:space="0" w:color="auto"/>
                            <w:left w:val="none" w:sz="0" w:space="0" w:color="auto"/>
                            <w:bottom w:val="none" w:sz="0" w:space="0" w:color="auto"/>
                            <w:right w:val="none" w:sz="0" w:space="0" w:color="auto"/>
                          </w:divBdr>
                          <w:divsChild>
                            <w:div w:id="38195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310893">
      <w:bodyDiv w:val="1"/>
      <w:marLeft w:val="0"/>
      <w:marRight w:val="0"/>
      <w:marTop w:val="0"/>
      <w:marBottom w:val="0"/>
      <w:divBdr>
        <w:top w:val="none" w:sz="0" w:space="0" w:color="auto"/>
        <w:left w:val="none" w:sz="0" w:space="0" w:color="auto"/>
        <w:bottom w:val="none" w:sz="0" w:space="0" w:color="auto"/>
        <w:right w:val="none" w:sz="0" w:space="0" w:color="auto"/>
      </w:divBdr>
    </w:div>
    <w:div w:id="1768113577">
      <w:bodyDiv w:val="1"/>
      <w:marLeft w:val="0"/>
      <w:marRight w:val="0"/>
      <w:marTop w:val="0"/>
      <w:marBottom w:val="0"/>
      <w:divBdr>
        <w:top w:val="none" w:sz="0" w:space="0" w:color="auto"/>
        <w:left w:val="none" w:sz="0" w:space="0" w:color="auto"/>
        <w:bottom w:val="none" w:sz="0" w:space="0" w:color="auto"/>
        <w:right w:val="none" w:sz="0" w:space="0" w:color="auto"/>
      </w:divBdr>
    </w:div>
    <w:div w:id="1769472353">
      <w:bodyDiv w:val="1"/>
      <w:marLeft w:val="0"/>
      <w:marRight w:val="0"/>
      <w:marTop w:val="0"/>
      <w:marBottom w:val="0"/>
      <w:divBdr>
        <w:top w:val="none" w:sz="0" w:space="0" w:color="auto"/>
        <w:left w:val="none" w:sz="0" w:space="0" w:color="auto"/>
        <w:bottom w:val="none" w:sz="0" w:space="0" w:color="auto"/>
        <w:right w:val="none" w:sz="0" w:space="0" w:color="auto"/>
      </w:divBdr>
    </w:div>
    <w:div w:id="1770195700">
      <w:bodyDiv w:val="1"/>
      <w:marLeft w:val="0"/>
      <w:marRight w:val="0"/>
      <w:marTop w:val="0"/>
      <w:marBottom w:val="0"/>
      <w:divBdr>
        <w:top w:val="none" w:sz="0" w:space="0" w:color="auto"/>
        <w:left w:val="none" w:sz="0" w:space="0" w:color="auto"/>
        <w:bottom w:val="none" w:sz="0" w:space="0" w:color="auto"/>
        <w:right w:val="none" w:sz="0" w:space="0" w:color="auto"/>
      </w:divBdr>
    </w:div>
    <w:div w:id="1804425703">
      <w:bodyDiv w:val="1"/>
      <w:marLeft w:val="0"/>
      <w:marRight w:val="0"/>
      <w:marTop w:val="0"/>
      <w:marBottom w:val="0"/>
      <w:divBdr>
        <w:top w:val="none" w:sz="0" w:space="0" w:color="auto"/>
        <w:left w:val="none" w:sz="0" w:space="0" w:color="auto"/>
        <w:bottom w:val="none" w:sz="0" w:space="0" w:color="auto"/>
        <w:right w:val="none" w:sz="0" w:space="0" w:color="auto"/>
      </w:divBdr>
    </w:div>
    <w:div w:id="1833639630">
      <w:bodyDiv w:val="1"/>
      <w:marLeft w:val="0"/>
      <w:marRight w:val="0"/>
      <w:marTop w:val="0"/>
      <w:marBottom w:val="0"/>
      <w:divBdr>
        <w:top w:val="none" w:sz="0" w:space="0" w:color="auto"/>
        <w:left w:val="none" w:sz="0" w:space="0" w:color="auto"/>
        <w:bottom w:val="none" w:sz="0" w:space="0" w:color="auto"/>
        <w:right w:val="none" w:sz="0" w:space="0" w:color="auto"/>
      </w:divBdr>
    </w:div>
    <w:div w:id="1836920287">
      <w:bodyDiv w:val="1"/>
      <w:marLeft w:val="0"/>
      <w:marRight w:val="0"/>
      <w:marTop w:val="0"/>
      <w:marBottom w:val="0"/>
      <w:divBdr>
        <w:top w:val="none" w:sz="0" w:space="0" w:color="auto"/>
        <w:left w:val="none" w:sz="0" w:space="0" w:color="auto"/>
        <w:bottom w:val="none" w:sz="0" w:space="0" w:color="auto"/>
        <w:right w:val="none" w:sz="0" w:space="0" w:color="auto"/>
      </w:divBdr>
      <w:divsChild>
        <w:div w:id="1485462870">
          <w:marLeft w:val="0"/>
          <w:marRight w:val="0"/>
          <w:marTop w:val="0"/>
          <w:marBottom w:val="0"/>
          <w:divBdr>
            <w:top w:val="none" w:sz="0" w:space="0" w:color="auto"/>
            <w:left w:val="none" w:sz="0" w:space="0" w:color="auto"/>
            <w:bottom w:val="none" w:sz="0" w:space="0" w:color="auto"/>
            <w:right w:val="none" w:sz="0" w:space="0" w:color="auto"/>
          </w:divBdr>
        </w:div>
        <w:div w:id="1589194084">
          <w:marLeft w:val="0"/>
          <w:marRight w:val="0"/>
          <w:marTop w:val="0"/>
          <w:marBottom w:val="0"/>
          <w:divBdr>
            <w:top w:val="none" w:sz="0" w:space="0" w:color="auto"/>
            <w:left w:val="none" w:sz="0" w:space="0" w:color="auto"/>
            <w:bottom w:val="none" w:sz="0" w:space="0" w:color="auto"/>
            <w:right w:val="none" w:sz="0" w:space="0" w:color="auto"/>
          </w:divBdr>
        </w:div>
      </w:divsChild>
    </w:div>
    <w:div w:id="1917126350">
      <w:bodyDiv w:val="1"/>
      <w:marLeft w:val="0"/>
      <w:marRight w:val="0"/>
      <w:marTop w:val="0"/>
      <w:marBottom w:val="0"/>
      <w:divBdr>
        <w:top w:val="none" w:sz="0" w:space="0" w:color="auto"/>
        <w:left w:val="none" w:sz="0" w:space="0" w:color="auto"/>
        <w:bottom w:val="none" w:sz="0" w:space="0" w:color="auto"/>
        <w:right w:val="none" w:sz="0" w:space="0" w:color="auto"/>
      </w:divBdr>
    </w:div>
    <w:div w:id="1919828731">
      <w:bodyDiv w:val="1"/>
      <w:marLeft w:val="0"/>
      <w:marRight w:val="0"/>
      <w:marTop w:val="0"/>
      <w:marBottom w:val="0"/>
      <w:divBdr>
        <w:top w:val="none" w:sz="0" w:space="0" w:color="auto"/>
        <w:left w:val="none" w:sz="0" w:space="0" w:color="auto"/>
        <w:bottom w:val="none" w:sz="0" w:space="0" w:color="auto"/>
        <w:right w:val="none" w:sz="0" w:space="0" w:color="auto"/>
      </w:divBdr>
    </w:div>
    <w:div w:id="1959212788">
      <w:bodyDiv w:val="1"/>
      <w:marLeft w:val="0"/>
      <w:marRight w:val="0"/>
      <w:marTop w:val="0"/>
      <w:marBottom w:val="0"/>
      <w:divBdr>
        <w:top w:val="none" w:sz="0" w:space="0" w:color="auto"/>
        <w:left w:val="none" w:sz="0" w:space="0" w:color="auto"/>
        <w:bottom w:val="none" w:sz="0" w:space="0" w:color="auto"/>
        <w:right w:val="none" w:sz="0" w:space="0" w:color="auto"/>
      </w:divBdr>
      <w:divsChild>
        <w:div w:id="598300024">
          <w:marLeft w:val="0"/>
          <w:marRight w:val="0"/>
          <w:marTop w:val="0"/>
          <w:marBottom w:val="75"/>
          <w:divBdr>
            <w:top w:val="none" w:sz="0" w:space="0" w:color="auto"/>
            <w:left w:val="none" w:sz="0" w:space="0" w:color="auto"/>
            <w:bottom w:val="none" w:sz="0" w:space="0" w:color="auto"/>
            <w:right w:val="none" w:sz="0" w:space="0" w:color="auto"/>
          </w:divBdr>
        </w:div>
        <w:div w:id="1026637529">
          <w:marLeft w:val="0"/>
          <w:marRight w:val="0"/>
          <w:marTop w:val="0"/>
          <w:marBottom w:val="75"/>
          <w:divBdr>
            <w:top w:val="none" w:sz="0" w:space="0" w:color="auto"/>
            <w:left w:val="none" w:sz="0" w:space="0" w:color="auto"/>
            <w:bottom w:val="none" w:sz="0" w:space="0" w:color="auto"/>
            <w:right w:val="none" w:sz="0" w:space="0" w:color="auto"/>
          </w:divBdr>
        </w:div>
        <w:div w:id="1594825575">
          <w:marLeft w:val="0"/>
          <w:marRight w:val="0"/>
          <w:marTop w:val="0"/>
          <w:marBottom w:val="75"/>
          <w:divBdr>
            <w:top w:val="none" w:sz="0" w:space="0" w:color="auto"/>
            <w:left w:val="none" w:sz="0" w:space="0" w:color="auto"/>
            <w:bottom w:val="none" w:sz="0" w:space="0" w:color="auto"/>
            <w:right w:val="none" w:sz="0" w:space="0" w:color="auto"/>
          </w:divBdr>
        </w:div>
      </w:divsChild>
    </w:div>
    <w:div w:id="1964728446">
      <w:bodyDiv w:val="1"/>
      <w:marLeft w:val="0"/>
      <w:marRight w:val="0"/>
      <w:marTop w:val="0"/>
      <w:marBottom w:val="0"/>
      <w:divBdr>
        <w:top w:val="none" w:sz="0" w:space="0" w:color="auto"/>
        <w:left w:val="none" w:sz="0" w:space="0" w:color="auto"/>
        <w:bottom w:val="none" w:sz="0" w:space="0" w:color="auto"/>
        <w:right w:val="none" w:sz="0" w:space="0" w:color="auto"/>
      </w:divBdr>
      <w:divsChild>
        <w:div w:id="1855683739">
          <w:marLeft w:val="0"/>
          <w:marRight w:val="0"/>
          <w:marTop w:val="0"/>
          <w:marBottom w:val="0"/>
          <w:divBdr>
            <w:top w:val="none" w:sz="0" w:space="0" w:color="auto"/>
            <w:left w:val="none" w:sz="0" w:space="0" w:color="auto"/>
            <w:bottom w:val="none" w:sz="0" w:space="0" w:color="auto"/>
            <w:right w:val="none" w:sz="0" w:space="0" w:color="auto"/>
          </w:divBdr>
          <w:divsChild>
            <w:div w:id="642471284">
              <w:marLeft w:val="0"/>
              <w:marRight w:val="0"/>
              <w:marTop w:val="0"/>
              <w:marBottom w:val="0"/>
              <w:divBdr>
                <w:top w:val="none" w:sz="0" w:space="0" w:color="auto"/>
                <w:left w:val="none" w:sz="0" w:space="0" w:color="auto"/>
                <w:bottom w:val="none" w:sz="0" w:space="0" w:color="auto"/>
                <w:right w:val="none" w:sz="0" w:space="0" w:color="auto"/>
              </w:divBdr>
            </w:div>
          </w:divsChild>
        </w:div>
        <w:div w:id="1871994811">
          <w:marLeft w:val="0"/>
          <w:marRight w:val="0"/>
          <w:marTop w:val="100"/>
          <w:marBottom w:val="100"/>
          <w:divBdr>
            <w:top w:val="none" w:sz="0" w:space="0" w:color="auto"/>
            <w:left w:val="none" w:sz="0" w:space="0" w:color="auto"/>
            <w:bottom w:val="single" w:sz="6" w:space="11" w:color="DFDFDF"/>
            <w:right w:val="none" w:sz="0" w:space="0" w:color="auto"/>
          </w:divBdr>
        </w:div>
      </w:divsChild>
    </w:div>
    <w:div w:id="1984043540">
      <w:bodyDiv w:val="1"/>
      <w:marLeft w:val="0"/>
      <w:marRight w:val="0"/>
      <w:marTop w:val="0"/>
      <w:marBottom w:val="0"/>
      <w:divBdr>
        <w:top w:val="none" w:sz="0" w:space="0" w:color="auto"/>
        <w:left w:val="none" w:sz="0" w:space="0" w:color="auto"/>
        <w:bottom w:val="none" w:sz="0" w:space="0" w:color="auto"/>
        <w:right w:val="none" w:sz="0" w:space="0" w:color="auto"/>
      </w:divBdr>
    </w:div>
    <w:div w:id="1992636992">
      <w:bodyDiv w:val="1"/>
      <w:marLeft w:val="0"/>
      <w:marRight w:val="0"/>
      <w:marTop w:val="0"/>
      <w:marBottom w:val="0"/>
      <w:divBdr>
        <w:top w:val="none" w:sz="0" w:space="0" w:color="auto"/>
        <w:left w:val="none" w:sz="0" w:space="0" w:color="auto"/>
        <w:bottom w:val="none" w:sz="0" w:space="0" w:color="auto"/>
        <w:right w:val="none" w:sz="0" w:space="0" w:color="auto"/>
      </w:divBdr>
      <w:divsChild>
        <w:div w:id="934485074">
          <w:marLeft w:val="0"/>
          <w:marRight w:val="0"/>
          <w:marTop w:val="0"/>
          <w:marBottom w:val="240"/>
          <w:divBdr>
            <w:top w:val="none" w:sz="0" w:space="0" w:color="auto"/>
            <w:left w:val="none" w:sz="0" w:space="0" w:color="auto"/>
            <w:bottom w:val="none" w:sz="0" w:space="0" w:color="auto"/>
            <w:right w:val="none" w:sz="0" w:space="0" w:color="auto"/>
          </w:divBdr>
        </w:div>
        <w:div w:id="1629045162">
          <w:marLeft w:val="0"/>
          <w:marRight w:val="0"/>
          <w:marTop w:val="360"/>
          <w:marBottom w:val="240"/>
          <w:divBdr>
            <w:top w:val="none" w:sz="0" w:space="0" w:color="auto"/>
            <w:left w:val="none" w:sz="0" w:space="0" w:color="auto"/>
            <w:bottom w:val="none" w:sz="0" w:space="0" w:color="auto"/>
            <w:right w:val="none" w:sz="0" w:space="0" w:color="auto"/>
          </w:divBdr>
        </w:div>
        <w:div w:id="1951474260">
          <w:marLeft w:val="0"/>
          <w:marRight w:val="0"/>
          <w:marTop w:val="0"/>
          <w:marBottom w:val="240"/>
          <w:divBdr>
            <w:top w:val="none" w:sz="0" w:space="0" w:color="auto"/>
            <w:left w:val="none" w:sz="0" w:space="0" w:color="auto"/>
            <w:bottom w:val="none" w:sz="0" w:space="0" w:color="auto"/>
            <w:right w:val="none" w:sz="0" w:space="0" w:color="auto"/>
          </w:divBdr>
        </w:div>
      </w:divsChild>
    </w:div>
    <w:div w:id="1994794727">
      <w:bodyDiv w:val="1"/>
      <w:marLeft w:val="0"/>
      <w:marRight w:val="0"/>
      <w:marTop w:val="0"/>
      <w:marBottom w:val="0"/>
      <w:divBdr>
        <w:top w:val="none" w:sz="0" w:space="0" w:color="auto"/>
        <w:left w:val="none" w:sz="0" w:space="0" w:color="auto"/>
        <w:bottom w:val="none" w:sz="0" w:space="0" w:color="auto"/>
        <w:right w:val="none" w:sz="0" w:space="0" w:color="auto"/>
      </w:divBdr>
    </w:div>
    <w:div w:id="2027782022">
      <w:bodyDiv w:val="1"/>
      <w:marLeft w:val="0"/>
      <w:marRight w:val="0"/>
      <w:marTop w:val="0"/>
      <w:marBottom w:val="0"/>
      <w:divBdr>
        <w:top w:val="none" w:sz="0" w:space="0" w:color="auto"/>
        <w:left w:val="none" w:sz="0" w:space="0" w:color="auto"/>
        <w:bottom w:val="none" w:sz="0" w:space="0" w:color="auto"/>
        <w:right w:val="none" w:sz="0" w:space="0" w:color="auto"/>
      </w:divBdr>
      <w:divsChild>
        <w:div w:id="1336419864">
          <w:marLeft w:val="0"/>
          <w:marRight w:val="0"/>
          <w:marTop w:val="0"/>
          <w:marBottom w:val="0"/>
          <w:divBdr>
            <w:top w:val="none" w:sz="0" w:space="0" w:color="auto"/>
            <w:left w:val="none" w:sz="0" w:space="0" w:color="auto"/>
            <w:bottom w:val="none" w:sz="0" w:space="0" w:color="auto"/>
            <w:right w:val="none" w:sz="0" w:space="0" w:color="auto"/>
          </w:divBdr>
          <w:divsChild>
            <w:div w:id="1449548281">
              <w:marLeft w:val="0"/>
              <w:marRight w:val="0"/>
              <w:marTop w:val="0"/>
              <w:marBottom w:val="0"/>
              <w:divBdr>
                <w:top w:val="none" w:sz="0" w:space="0" w:color="auto"/>
                <w:left w:val="none" w:sz="0" w:space="0" w:color="auto"/>
                <w:bottom w:val="none" w:sz="0" w:space="0" w:color="auto"/>
                <w:right w:val="none" w:sz="0" w:space="0" w:color="auto"/>
              </w:divBdr>
              <w:divsChild>
                <w:div w:id="64382919">
                  <w:marLeft w:val="0"/>
                  <w:marRight w:val="0"/>
                  <w:marTop w:val="0"/>
                  <w:marBottom w:val="0"/>
                  <w:divBdr>
                    <w:top w:val="none" w:sz="0" w:space="0" w:color="auto"/>
                    <w:left w:val="none" w:sz="0" w:space="0" w:color="auto"/>
                    <w:bottom w:val="none" w:sz="0" w:space="0" w:color="auto"/>
                    <w:right w:val="none" w:sz="0" w:space="0" w:color="auto"/>
                  </w:divBdr>
                  <w:divsChild>
                    <w:div w:id="755055200">
                      <w:marLeft w:val="0"/>
                      <w:marRight w:val="0"/>
                      <w:marTop w:val="0"/>
                      <w:marBottom w:val="0"/>
                      <w:divBdr>
                        <w:top w:val="none" w:sz="0" w:space="0" w:color="auto"/>
                        <w:left w:val="none" w:sz="0" w:space="0" w:color="auto"/>
                        <w:bottom w:val="none" w:sz="0" w:space="0" w:color="auto"/>
                        <w:right w:val="none" w:sz="0" w:space="0" w:color="auto"/>
                      </w:divBdr>
                      <w:divsChild>
                        <w:div w:id="92358255">
                          <w:marLeft w:val="0"/>
                          <w:marRight w:val="0"/>
                          <w:marTop w:val="0"/>
                          <w:marBottom w:val="0"/>
                          <w:divBdr>
                            <w:top w:val="none" w:sz="0" w:space="0" w:color="auto"/>
                            <w:left w:val="none" w:sz="0" w:space="0" w:color="auto"/>
                            <w:bottom w:val="none" w:sz="0" w:space="0" w:color="auto"/>
                            <w:right w:val="none" w:sz="0" w:space="0" w:color="auto"/>
                          </w:divBdr>
                          <w:divsChild>
                            <w:div w:id="1956910018">
                              <w:marLeft w:val="0"/>
                              <w:marRight w:val="0"/>
                              <w:marTop w:val="0"/>
                              <w:marBottom w:val="0"/>
                              <w:divBdr>
                                <w:top w:val="none" w:sz="0" w:space="0" w:color="auto"/>
                                <w:left w:val="none" w:sz="0" w:space="0" w:color="auto"/>
                                <w:bottom w:val="none" w:sz="0" w:space="0" w:color="auto"/>
                                <w:right w:val="none" w:sz="0" w:space="0" w:color="auto"/>
                              </w:divBdr>
                            </w:div>
                          </w:divsChild>
                        </w:div>
                        <w:div w:id="2017341269">
                          <w:marLeft w:val="0"/>
                          <w:marRight w:val="0"/>
                          <w:marTop w:val="0"/>
                          <w:marBottom w:val="0"/>
                          <w:divBdr>
                            <w:top w:val="none" w:sz="0" w:space="0" w:color="auto"/>
                            <w:left w:val="none" w:sz="0" w:space="0" w:color="auto"/>
                            <w:bottom w:val="none" w:sz="0" w:space="0" w:color="auto"/>
                            <w:right w:val="none" w:sz="0" w:space="0" w:color="auto"/>
                          </w:divBdr>
                          <w:divsChild>
                            <w:div w:id="148362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306024">
      <w:bodyDiv w:val="1"/>
      <w:marLeft w:val="0"/>
      <w:marRight w:val="0"/>
      <w:marTop w:val="0"/>
      <w:marBottom w:val="0"/>
      <w:divBdr>
        <w:top w:val="none" w:sz="0" w:space="0" w:color="auto"/>
        <w:left w:val="none" w:sz="0" w:space="0" w:color="auto"/>
        <w:bottom w:val="none" w:sz="0" w:space="0" w:color="auto"/>
        <w:right w:val="none" w:sz="0" w:space="0" w:color="auto"/>
      </w:divBdr>
    </w:div>
    <w:div w:id="2044093269">
      <w:bodyDiv w:val="1"/>
      <w:marLeft w:val="0"/>
      <w:marRight w:val="0"/>
      <w:marTop w:val="0"/>
      <w:marBottom w:val="0"/>
      <w:divBdr>
        <w:top w:val="none" w:sz="0" w:space="0" w:color="auto"/>
        <w:left w:val="none" w:sz="0" w:space="0" w:color="auto"/>
        <w:bottom w:val="none" w:sz="0" w:space="0" w:color="auto"/>
        <w:right w:val="none" w:sz="0" w:space="0" w:color="auto"/>
      </w:divBdr>
      <w:divsChild>
        <w:div w:id="82193235">
          <w:marLeft w:val="0"/>
          <w:marRight w:val="0"/>
          <w:marTop w:val="0"/>
          <w:marBottom w:val="48"/>
          <w:divBdr>
            <w:top w:val="none" w:sz="0" w:space="0" w:color="auto"/>
            <w:left w:val="none" w:sz="0" w:space="0" w:color="auto"/>
            <w:bottom w:val="none" w:sz="0" w:space="0" w:color="auto"/>
            <w:right w:val="none" w:sz="0" w:space="0" w:color="auto"/>
          </w:divBdr>
        </w:div>
        <w:div w:id="290013965">
          <w:marLeft w:val="0"/>
          <w:marRight w:val="0"/>
          <w:marTop w:val="0"/>
          <w:marBottom w:val="180"/>
          <w:divBdr>
            <w:top w:val="none" w:sz="0" w:space="0" w:color="auto"/>
            <w:left w:val="none" w:sz="0" w:space="0" w:color="auto"/>
            <w:bottom w:val="none" w:sz="0" w:space="0" w:color="auto"/>
            <w:right w:val="none" w:sz="0" w:space="0" w:color="auto"/>
          </w:divBdr>
        </w:div>
        <w:div w:id="581140158">
          <w:marLeft w:val="0"/>
          <w:marRight w:val="0"/>
          <w:marTop w:val="0"/>
          <w:marBottom w:val="120"/>
          <w:divBdr>
            <w:top w:val="none" w:sz="0" w:space="0" w:color="auto"/>
            <w:left w:val="none" w:sz="0" w:space="0" w:color="auto"/>
            <w:bottom w:val="none" w:sz="0" w:space="0" w:color="auto"/>
            <w:right w:val="none" w:sz="0" w:space="0" w:color="auto"/>
          </w:divBdr>
          <w:divsChild>
            <w:div w:id="708408462">
              <w:marLeft w:val="0"/>
              <w:marRight w:val="0"/>
              <w:marTop w:val="0"/>
              <w:marBottom w:val="0"/>
              <w:divBdr>
                <w:top w:val="none" w:sz="0" w:space="0" w:color="auto"/>
                <w:left w:val="none" w:sz="0" w:space="0" w:color="auto"/>
                <w:bottom w:val="none" w:sz="0" w:space="0" w:color="auto"/>
                <w:right w:val="none" w:sz="0" w:space="0" w:color="auto"/>
              </w:divBdr>
              <w:divsChild>
                <w:div w:id="230697635">
                  <w:marLeft w:val="0"/>
                  <w:marRight w:val="0"/>
                  <w:marTop w:val="0"/>
                  <w:marBottom w:val="0"/>
                  <w:divBdr>
                    <w:top w:val="none" w:sz="0" w:space="0" w:color="auto"/>
                    <w:left w:val="none" w:sz="0" w:space="0" w:color="auto"/>
                    <w:bottom w:val="none" w:sz="0" w:space="0" w:color="auto"/>
                    <w:right w:val="none" w:sz="0" w:space="0" w:color="auto"/>
                  </w:divBdr>
                </w:div>
                <w:div w:id="104040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423830">
          <w:marLeft w:val="0"/>
          <w:marRight w:val="0"/>
          <w:marTop w:val="0"/>
          <w:marBottom w:val="0"/>
          <w:divBdr>
            <w:top w:val="none" w:sz="0" w:space="0" w:color="auto"/>
            <w:left w:val="none" w:sz="0" w:space="0" w:color="auto"/>
            <w:bottom w:val="none" w:sz="0" w:space="0" w:color="auto"/>
            <w:right w:val="none" w:sz="0" w:space="0" w:color="auto"/>
          </w:divBdr>
        </w:div>
        <w:div w:id="2008091965">
          <w:marLeft w:val="0"/>
          <w:marRight w:val="0"/>
          <w:marTop w:val="0"/>
          <w:marBottom w:val="0"/>
          <w:divBdr>
            <w:top w:val="none" w:sz="0" w:space="0" w:color="auto"/>
            <w:left w:val="none" w:sz="0" w:space="0" w:color="auto"/>
            <w:bottom w:val="none" w:sz="0" w:space="0" w:color="auto"/>
            <w:right w:val="none" w:sz="0" w:space="0" w:color="auto"/>
          </w:divBdr>
        </w:div>
      </w:divsChild>
    </w:div>
    <w:div w:id="2051344042">
      <w:bodyDiv w:val="1"/>
      <w:marLeft w:val="0"/>
      <w:marRight w:val="0"/>
      <w:marTop w:val="0"/>
      <w:marBottom w:val="0"/>
      <w:divBdr>
        <w:top w:val="none" w:sz="0" w:space="0" w:color="auto"/>
        <w:left w:val="none" w:sz="0" w:space="0" w:color="auto"/>
        <w:bottom w:val="none" w:sz="0" w:space="0" w:color="auto"/>
        <w:right w:val="none" w:sz="0" w:space="0" w:color="auto"/>
      </w:divBdr>
      <w:divsChild>
        <w:div w:id="389503222">
          <w:marLeft w:val="0"/>
          <w:marRight w:val="0"/>
          <w:marTop w:val="0"/>
          <w:marBottom w:val="240"/>
          <w:divBdr>
            <w:top w:val="none" w:sz="0" w:space="0" w:color="auto"/>
            <w:left w:val="none" w:sz="0" w:space="0" w:color="auto"/>
            <w:bottom w:val="none" w:sz="0" w:space="0" w:color="auto"/>
            <w:right w:val="none" w:sz="0" w:space="0" w:color="auto"/>
          </w:divBdr>
        </w:div>
      </w:divsChild>
    </w:div>
    <w:div w:id="2057194735">
      <w:bodyDiv w:val="1"/>
      <w:marLeft w:val="0"/>
      <w:marRight w:val="0"/>
      <w:marTop w:val="0"/>
      <w:marBottom w:val="0"/>
      <w:divBdr>
        <w:top w:val="none" w:sz="0" w:space="0" w:color="auto"/>
        <w:left w:val="none" w:sz="0" w:space="0" w:color="auto"/>
        <w:bottom w:val="none" w:sz="0" w:space="0" w:color="auto"/>
        <w:right w:val="none" w:sz="0" w:space="0" w:color="auto"/>
      </w:divBdr>
    </w:div>
    <w:div w:id="2079282853">
      <w:bodyDiv w:val="1"/>
      <w:marLeft w:val="0"/>
      <w:marRight w:val="0"/>
      <w:marTop w:val="0"/>
      <w:marBottom w:val="0"/>
      <w:divBdr>
        <w:top w:val="none" w:sz="0" w:space="0" w:color="auto"/>
        <w:left w:val="none" w:sz="0" w:space="0" w:color="auto"/>
        <w:bottom w:val="none" w:sz="0" w:space="0" w:color="auto"/>
        <w:right w:val="none" w:sz="0" w:space="0" w:color="auto"/>
      </w:divBdr>
    </w:div>
    <w:div w:id="2079397801">
      <w:bodyDiv w:val="1"/>
      <w:marLeft w:val="0"/>
      <w:marRight w:val="0"/>
      <w:marTop w:val="0"/>
      <w:marBottom w:val="0"/>
      <w:divBdr>
        <w:top w:val="none" w:sz="0" w:space="0" w:color="auto"/>
        <w:left w:val="none" w:sz="0" w:space="0" w:color="auto"/>
        <w:bottom w:val="none" w:sz="0" w:space="0" w:color="auto"/>
        <w:right w:val="none" w:sz="0" w:space="0" w:color="auto"/>
      </w:divBdr>
    </w:div>
    <w:div w:id="2083067525">
      <w:bodyDiv w:val="1"/>
      <w:marLeft w:val="0"/>
      <w:marRight w:val="0"/>
      <w:marTop w:val="0"/>
      <w:marBottom w:val="0"/>
      <w:divBdr>
        <w:top w:val="none" w:sz="0" w:space="0" w:color="auto"/>
        <w:left w:val="none" w:sz="0" w:space="0" w:color="auto"/>
        <w:bottom w:val="none" w:sz="0" w:space="0" w:color="auto"/>
        <w:right w:val="none" w:sz="0" w:space="0" w:color="auto"/>
      </w:divBdr>
    </w:div>
    <w:div w:id="2090930884">
      <w:bodyDiv w:val="1"/>
      <w:marLeft w:val="0"/>
      <w:marRight w:val="0"/>
      <w:marTop w:val="0"/>
      <w:marBottom w:val="0"/>
      <w:divBdr>
        <w:top w:val="none" w:sz="0" w:space="0" w:color="auto"/>
        <w:left w:val="none" w:sz="0" w:space="0" w:color="auto"/>
        <w:bottom w:val="none" w:sz="0" w:space="0" w:color="auto"/>
        <w:right w:val="none" w:sz="0" w:space="0" w:color="auto"/>
      </w:divBdr>
      <w:divsChild>
        <w:div w:id="107698456">
          <w:marLeft w:val="0"/>
          <w:marRight w:val="0"/>
          <w:marTop w:val="0"/>
          <w:marBottom w:val="0"/>
          <w:divBdr>
            <w:top w:val="none" w:sz="0" w:space="0" w:color="auto"/>
            <w:left w:val="none" w:sz="0" w:space="0" w:color="auto"/>
            <w:bottom w:val="none" w:sz="0" w:space="0" w:color="auto"/>
            <w:right w:val="none" w:sz="0" w:space="0" w:color="auto"/>
          </w:divBdr>
        </w:div>
        <w:div w:id="430318975">
          <w:marLeft w:val="0"/>
          <w:marRight w:val="0"/>
          <w:marTop w:val="0"/>
          <w:marBottom w:val="0"/>
          <w:divBdr>
            <w:top w:val="none" w:sz="0" w:space="0" w:color="auto"/>
            <w:left w:val="none" w:sz="0" w:space="0" w:color="auto"/>
            <w:bottom w:val="none" w:sz="0" w:space="0" w:color="auto"/>
            <w:right w:val="none" w:sz="0" w:space="0" w:color="auto"/>
          </w:divBdr>
        </w:div>
      </w:divsChild>
    </w:div>
    <w:div w:id="2117020760">
      <w:bodyDiv w:val="1"/>
      <w:marLeft w:val="0"/>
      <w:marRight w:val="0"/>
      <w:marTop w:val="0"/>
      <w:marBottom w:val="0"/>
      <w:divBdr>
        <w:top w:val="none" w:sz="0" w:space="0" w:color="auto"/>
        <w:left w:val="none" w:sz="0" w:space="0" w:color="auto"/>
        <w:bottom w:val="none" w:sz="0" w:space="0" w:color="auto"/>
        <w:right w:val="none" w:sz="0" w:space="0" w:color="auto"/>
      </w:divBdr>
      <w:divsChild>
        <w:div w:id="215509037">
          <w:marLeft w:val="0"/>
          <w:marRight w:val="0"/>
          <w:marTop w:val="0"/>
          <w:marBottom w:val="120"/>
          <w:divBdr>
            <w:top w:val="none" w:sz="0" w:space="0" w:color="auto"/>
            <w:left w:val="none" w:sz="0" w:space="0" w:color="auto"/>
            <w:bottom w:val="none" w:sz="0" w:space="0" w:color="auto"/>
            <w:right w:val="none" w:sz="0" w:space="0" w:color="auto"/>
          </w:divBdr>
          <w:divsChild>
            <w:div w:id="182597694">
              <w:marLeft w:val="0"/>
              <w:marRight w:val="0"/>
              <w:marTop w:val="0"/>
              <w:marBottom w:val="72"/>
              <w:divBdr>
                <w:top w:val="none" w:sz="0" w:space="0" w:color="auto"/>
                <w:left w:val="none" w:sz="0" w:space="0" w:color="auto"/>
                <w:bottom w:val="none" w:sz="0" w:space="0" w:color="auto"/>
                <w:right w:val="none" w:sz="0" w:space="0" w:color="auto"/>
              </w:divBdr>
            </w:div>
            <w:div w:id="974214984">
              <w:marLeft w:val="0"/>
              <w:marRight w:val="0"/>
              <w:marTop w:val="0"/>
              <w:marBottom w:val="0"/>
              <w:divBdr>
                <w:top w:val="none" w:sz="0" w:space="0" w:color="auto"/>
                <w:left w:val="none" w:sz="0" w:space="0" w:color="auto"/>
                <w:bottom w:val="none" w:sz="0" w:space="0" w:color="auto"/>
                <w:right w:val="none" w:sz="0" w:space="0" w:color="auto"/>
              </w:divBdr>
            </w:div>
          </w:divsChild>
        </w:div>
        <w:div w:id="470169313">
          <w:marLeft w:val="0"/>
          <w:marRight w:val="0"/>
          <w:marTop w:val="0"/>
          <w:marBottom w:val="120"/>
          <w:divBdr>
            <w:top w:val="none" w:sz="0" w:space="0" w:color="auto"/>
            <w:left w:val="none" w:sz="0" w:space="0" w:color="auto"/>
            <w:bottom w:val="none" w:sz="0" w:space="0" w:color="auto"/>
            <w:right w:val="none" w:sz="0" w:space="0" w:color="auto"/>
          </w:divBdr>
        </w:div>
        <w:div w:id="594829554">
          <w:marLeft w:val="0"/>
          <w:marRight w:val="0"/>
          <w:marTop w:val="0"/>
          <w:marBottom w:val="48"/>
          <w:divBdr>
            <w:top w:val="none" w:sz="0" w:space="0" w:color="auto"/>
            <w:left w:val="none" w:sz="0" w:space="0" w:color="auto"/>
            <w:bottom w:val="none" w:sz="0" w:space="0" w:color="auto"/>
            <w:right w:val="none" w:sz="0" w:space="0" w:color="auto"/>
          </w:divBdr>
        </w:div>
        <w:div w:id="1282107239">
          <w:marLeft w:val="0"/>
          <w:marRight w:val="0"/>
          <w:marTop w:val="0"/>
          <w:marBottom w:val="0"/>
          <w:divBdr>
            <w:top w:val="none" w:sz="0" w:space="0" w:color="auto"/>
            <w:left w:val="none" w:sz="0" w:space="0" w:color="auto"/>
            <w:bottom w:val="none" w:sz="0" w:space="0" w:color="auto"/>
            <w:right w:val="none" w:sz="0" w:space="0" w:color="auto"/>
          </w:divBdr>
        </w:div>
        <w:div w:id="1793667005">
          <w:marLeft w:val="0"/>
          <w:marRight w:val="0"/>
          <w:marTop w:val="0"/>
          <w:marBottom w:val="0"/>
          <w:divBdr>
            <w:top w:val="none" w:sz="0" w:space="0" w:color="auto"/>
            <w:left w:val="none" w:sz="0" w:space="0" w:color="auto"/>
            <w:bottom w:val="none" w:sz="0" w:space="0" w:color="auto"/>
            <w:right w:val="none" w:sz="0" w:space="0" w:color="auto"/>
          </w:divBdr>
        </w:div>
        <w:div w:id="1895894738">
          <w:marLeft w:val="0"/>
          <w:marRight w:val="0"/>
          <w:marTop w:val="0"/>
          <w:marBottom w:val="180"/>
          <w:divBdr>
            <w:top w:val="none" w:sz="0" w:space="0" w:color="auto"/>
            <w:left w:val="none" w:sz="0" w:space="0" w:color="auto"/>
            <w:bottom w:val="none" w:sz="0" w:space="0" w:color="auto"/>
            <w:right w:val="none" w:sz="0" w:space="0" w:color="auto"/>
          </w:divBdr>
        </w:div>
      </w:divsChild>
    </w:div>
    <w:div w:id="2136022607">
      <w:bodyDiv w:val="1"/>
      <w:marLeft w:val="0"/>
      <w:marRight w:val="0"/>
      <w:marTop w:val="0"/>
      <w:marBottom w:val="0"/>
      <w:divBdr>
        <w:top w:val="none" w:sz="0" w:space="0" w:color="auto"/>
        <w:left w:val="none" w:sz="0" w:space="0" w:color="auto"/>
        <w:bottom w:val="none" w:sz="0" w:space="0" w:color="auto"/>
        <w:right w:val="none" w:sz="0" w:space="0" w:color="auto"/>
      </w:divBdr>
      <w:divsChild>
        <w:div w:id="152113607">
          <w:marLeft w:val="0"/>
          <w:marRight w:val="75"/>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jamanetwork.com/journals/jamanetworkopen/fullarticle/2850073" TargetMode="External"/><Relationship Id="rId21" Type="http://schemas.openxmlformats.org/officeDocument/2006/relationships/hyperlink" Target="https://www.who.int/news/item/25-05-2026-the-world-health-assembly-adopts-updated-global-action-plan-on-antimicrobial-resistance-(2026-2036)" TargetMode="External"/><Relationship Id="rId42" Type="http://schemas.openxmlformats.org/officeDocument/2006/relationships/hyperlink" Target="https://www.gov.br/saude/pt-br/centrais-de-conteudo/publicacoes/notas-tecnicas/2026/nota-tecnica-no-58-2026-dpni-svsa-ms.pdf/view" TargetMode="External"/><Relationship Id="rId63" Type="http://schemas.openxmlformats.org/officeDocument/2006/relationships/hyperlink" Target="https://dof.gob.mx/2026/PRESREP/PRESREP_150126_02.pdf" TargetMode="External"/><Relationship Id="rId84" Type="http://schemas.openxmlformats.org/officeDocument/2006/relationships/hyperlink" Target="https://drive.google.com/file/d/1WgCNhbWQsd5tRvHGP-A6szwNQg3UCNYd/view" TargetMode="External"/><Relationship Id="rId138" Type="http://schemas.openxmlformats.org/officeDocument/2006/relationships/hyperlink" Target="https://2025ispe.eventscribe.net/fsPopup.asp?PresenterID=1839098&amp;mode=posterPresenterInfo" TargetMode="External"/><Relationship Id="rId159" Type="http://schemas.openxmlformats.org/officeDocument/2006/relationships/hyperlink" Target="http://www.fda.gov/media/113768/download" TargetMode="External"/><Relationship Id="rId170" Type="http://schemas.openxmlformats.org/officeDocument/2006/relationships/hyperlink" Target="https://dx.doi.org/10.1016/j.jss.2020.06.023" TargetMode="External"/><Relationship Id="rId107" Type="http://schemas.openxmlformats.org/officeDocument/2006/relationships/hyperlink" Target="https://www.fda.gov/drugs/pharmaceutical-quality-resources/cder-quality-management-maturity" TargetMode="External"/><Relationship Id="rId11" Type="http://schemas.openxmlformats.org/officeDocument/2006/relationships/image" Target="media/image2.png"/><Relationship Id="rId32" Type="http://schemas.openxmlformats.org/officeDocument/2006/relationships/hyperlink" Target="https://doi.org/10.1002/cpt.70349" TargetMode="External"/><Relationship Id="rId53" Type="http://schemas.openxmlformats.org/officeDocument/2006/relationships/image" Target="media/image4.png"/><Relationship Id="rId74" Type="http://schemas.openxmlformats.org/officeDocument/2006/relationships/hyperlink" Target="https://www.thelancet.com/journals/lanepe/article/PIIS2666-7762(26)00160-2/fulltext" TargetMode="External"/><Relationship Id="rId128" Type="http://schemas.openxmlformats.org/officeDocument/2006/relationships/hyperlink" Target="https://www.fda.gov/drugs/human-drug-compounding/certain-bulk-drug-substances-use-compounding-may-present-significant-safety-risks" TargetMode="External"/><Relationship Id="rId149" Type="http://schemas.openxmlformats.org/officeDocument/2006/relationships/hyperlink" Target="https://pubmed.ncbi.nlm.nih.gov/36109639/" TargetMode="External"/><Relationship Id="rId5" Type="http://schemas.openxmlformats.org/officeDocument/2006/relationships/webSettings" Target="webSettings.xml"/><Relationship Id="rId95" Type="http://schemas.openxmlformats.org/officeDocument/2006/relationships/hyperlink" Target="https://www.raps.org/resource/fda-asked-to-clarify-ai-pilot-objectives-for-early-phase-clinical-trials.html" TargetMode="External"/><Relationship Id="rId160" Type="http://schemas.openxmlformats.org/officeDocument/2006/relationships/hyperlink" Target="http://www.fda.gov/media/156896/download" TargetMode="External"/><Relationship Id="rId22" Type="http://schemas.openxmlformats.org/officeDocument/2006/relationships/hyperlink" Target="https://apps.who.int/gb/ebwha/pdf_files/WHA79/A79_(19)-en.pdf" TargetMode="External"/><Relationship Id="rId43" Type="http://schemas.openxmlformats.org/officeDocument/2006/relationships/hyperlink" Target="https://www.gov.br/anvisa/pt-br/assuntos/noticias-anvisa/2026/anvisa-cria-grupo-para-aprofundar-avaliacao-da-vacina-butantan-dv-contra-a-dengue" TargetMode="External"/><Relationship Id="rId64" Type="http://schemas.openxmlformats.org/officeDocument/2006/relationships/hyperlink" Target="https://www.digemid.minsa.gob.pe/webDigemid/notas/2026/peru-y-espana-fortalecen-sistema-regulatorio-de-medicamentos-con-estandares-globales/" TargetMode="External"/><Relationship Id="rId118" Type="http://schemas.openxmlformats.org/officeDocument/2006/relationships/hyperlink" Target="http://jamanetwork.com/article.aspx?doi=10.1001/jama.2024.2396" TargetMode="External"/><Relationship Id="rId139" Type="http://schemas.openxmlformats.org/officeDocument/2006/relationships/hyperlink" Target="https://www.medrxiv.org/content/10.1101/2025.01.03.25319975v1.full" TargetMode="External"/><Relationship Id="rId85" Type="http://schemas.openxmlformats.org/officeDocument/2006/relationships/hyperlink" Target="https://www.sciencedirect.com/science/article/abs/pii/S0168851026000746" TargetMode="External"/><Relationship Id="rId150" Type="http://schemas.openxmlformats.org/officeDocument/2006/relationships/hyperlink" Target="https://doi.org/10.1038/s41591-022-02017-5" TargetMode="External"/><Relationship Id="rId171" Type="http://schemas.openxmlformats.org/officeDocument/2006/relationships/hyperlink" Target="https://dx.doi.org/10.1056/NEJMp1011042" TargetMode="External"/><Relationship Id="rId12" Type="http://schemas.openxmlformats.org/officeDocument/2006/relationships/header" Target="header1.xml"/><Relationship Id="rId33" Type="http://schemas.openxmlformats.org/officeDocument/2006/relationships/hyperlink" Target="https://www.argentina.gob.ar/noticias/anmat-facilita-la-importacion-de-productos-necesarios-para-el-desarrollo-de-estudios" TargetMode="External"/><Relationship Id="rId108" Type="http://schemas.openxmlformats.org/officeDocument/2006/relationships/hyperlink" Target="https://www.fda.gov/international-programs/international-arrangements/mutual-recognition-agreements-mra" TargetMode="External"/><Relationship Id="rId129" Type="http://schemas.openxmlformats.org/officeDocument/2006/relationships/hyperlink" Target="https://www.fda.gov/advisory-committees/advisory-committee-calendar/july-23-24-2026-meeting-pharmacy-compounding-advisory-committee-07232026" TargetMode="External"/><Relationship Id="rId54" Type="http://schemas.openxmlformats.org/officeDocument/2006/relationships/hyperlink" Target="https://www.gob.mx/cofepris/documentos/documento-tecnico-comun-ctd-version-3-0" TargetMode="External"/><Relationship Id="rId75" Type="http://schemas.openxmlformats.org/officeDocument/2006/relationships/hyperlink" Target="https://www.thelancet.com/journals/lanepe/article/PIIS2666-7762(26)00160-2/fulltext" TargetMode="External"/><Relationship Id="rId96" Type="http://schemas.openxmlformats.org/officeDocument/2006/relationships/hyperlink" Target="https://jamanetwork.com/journals/jamapsychiatry/article-abstract/2850581" TargetMode="External"/><Relationship Id="rId140" Type="http://schemas.openxmlformats.org/officeDocument/2006/relationships/hyperlink" Target="https://www.nytimes.com/2026/05/05/us/politics/fda-covid-vaccine-studies.html" TargetMode="External"/><Relationship Id="rId161" Type="http://schemas.openxmlformats.org/officeDocument/2006/relationships/hyperlink" Target="http://www.fda.gov/news-events/press-announcements/fda-eliminates-risk-evaluation-and-mitigation-strategies-rems-autologous-chimeric-antigen-receptor"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igitallibrary.un.org/record/4064023?v=pdf" TargetMode="External"/><Relationship Id="rId28" Type="http://schemas.openxmlformats.org/officeDocument/2006/relationships/hyperlink" Target="https://healthpolicy-watch.news/wha-member-states-approve-who-antimicrobial-resistance-strategy-after-resolving-tech-transfer-debate/" TargetMode="External"/><Relationship Id="rId49" Type="http://schemas.openxmlformats.org/officeDocument/2006/relationships/hyperlink" Target="https://www.paho.org/es/noticias/17-11-2022-utilizacion-decisiones-otras-autoridades-regulatorias-para-mayor-convergencia" TargetMode="External"/><Relationship Id="rId114" Type="http://schemas.openxmlformats.org/officeDocument/2006/relationships/hyperlink" Target="https://www.fda.gov/news-events/press-announcements/fda-launches-precheck-pilot-program-strengthen-domestic-pharmaceutical-manufacturing" TargetMode="External"/><Relationship Id="rId119" Type="http://schemas.openxmlformats.org/officeDocument/2006/relationships/hyperlink" Target="http://jamanetwork.com/article.aspx?doi=10.1001/jamanetworkopen.2026.17450" TargetMode="External"/><Relationship Id="rId44" Type="http://schemas.openxmlformats.org/officeDocument/2006/relationships/hyperlink" Target="https://in.gov.br/web/dou/-/portaria-n-715-de-15-de-junho-de-2026-712362697" TargetMode="External"/><Relationship Id="rId60" Type="http://schemas.openxmlformats.org/officeDocument/2006/relationships/hyperlink" Target="https://consultorsalud.com.mx/cofepris-reduce-tramites-medicamentos/" TargetMode="External"/><Relationship Id="rId65" Type="http://schemas.openxmlformats.org/officeDocument/2006/relationships/hyperlink" Target="https://www.ema.europa.eu/en/news/ema-recommends-revoking-marketing-authorisation-tavneos" TargetMode="External"/><Relationship Id="rId81" Type="http://schemas.openxmlformats.org/officeDocument/2006/relationships/hyperlink" Target="https://www.globaljustice.org.uk/wp-content/uploads/2026/06/PAP-Response-DAC-Beachcroft-NICE-to-LD-20-05-2026-redacted-1.pdf" TargetMode="External"/><Relationship Id="rId86" Type="http://schemas.openxmlformats.org/officeDocument/2006/relationships/hyperlink" Target="https://www.faegredrinker.com/en/insights/publications/2026/4/fda-related-legislative-and-regulatory-proposals-and-funding-change-the-presidents-fy27-budget" TargetMode="External"/><Relationship Id="rId130" Type="http://schemas.openxmlformats.org/officeDocument/2006/relationships/hyperlink" Target="https://www.fda.gov/advisory-committees/pharmacy-compounding-advisory-committee/meeting-pharmacy-compounding-advisory-committee" TargetMode="External"/><Relationship Id="rId135" Type="http://schemas.openxmlformats.org/officeDocument/2006/relationships/hyperlink" Target="https://www.washingtonpost.com/health/2026/04/22/covid-vaccine-report-blocked-cdc-mmwr/" TargetMode="External"/><Relationship Id="rId151" Type="http://schemas.openxmlformats.org/officeDocument/2006/relationships/hyperlink" Target="https://pubmed.ncbi.nlm.nih.gov/39874224/" TargetMode="External"/><Relationship Id="rId156" Type="http://schemas.openxmlformats.org/officeDocument/2006/relationships/hyperlink" Target="https://doi.org/10.1016/j.semarthrit.2025.152786" TargetMode="External"/><Relationship Id="rId172" Type="http://schemas.openxmlformats.org/officeDocument/2006/relationships/hyperlink" Target="https://dx.doi.org/10.1183/16000617.0079-2023" TargetMode="External"/><Relationship Id="rId13" Type="http://schemas.openxmlformats.org/officeDocument/2006/relationships/hyperlink" Target="mailto:nhomedes@hotmail.com" TargetMode="External"/><Relationship Id="rId18" Type="http://schemas.openxmlformats.org/officeDocument/2006/relationships/footer" Target="footer2.xml"/><Relationship Id="rId39" Type="http://schemas.openxmlformats.org/officeDocument/2006/relationships/hyperlink" Target="https://notifica.saude.gov.br/" TargetMode="External"/><Relationship Id="rId109" Type="http://schemas.openxmlformats.org/officeDocument/2006/relationships/hyperlink" Target="https://www.fda.gov/news-events/press-announcements/fda-launches-precheck-pilot-program-strengthen-domestic-pharmaceutical-manufacturing" TargetMode="External"/><Relationship Id="rId34" Type="http://schemas.openxmlformats.org/officeDocument/2006/relationships/hyperlink" Target="https://curecompass.com.ar/anmat-acelera-la-importacion-para-estudios-clinicos-flexibiliza-el-formulario-12-puntos-sin-bajar-la-vara-regulatoria/" TargetMode="External"/><Relationship Id="rId50" Type="http://schemas.openxmlformats.org/officeDocument/2006/relationships/hyperlink" Target="https://youtu.be/MdmrChsjBn0" TargetMode="External"/><Relationship Id="rId55" Type="http://schemas.openxmlformats.org/officeDocument/2006/relationships/hyperlink" Target="https://www.gob.mx/cms/uploads/attachment/file/1084560/Acuerdos_equivalencias_M_xico_Med_RELIANCE_06-06.pdf" TargetMode="External"/><Relationship Id="rId76" Type="http://schemas.openxmlformats.org/officeDocument/2006/relationships/hyperlink" Target="https://www.thelancet.com/journals/lanepe/article/PIIS2666-7762(26)00160-2/fulltext" TargetMode="External"/><Relationship Id="rId97" Type="http://schemas.openxmlformats.org/officeDocument/2006/relationships/hyperlink" Target="https://www.medpagetoday.com/publichealthpolicy/washington-watch/121912" TargetMode="External"/><Relationship Id="rId104" Type="http://schemas.openxmlformats.org/officeDocument/2006/relationships/hyperlink" Target="https://www.fda.gov/news-events/press-announcements/fda-approves-new-indication-tzield-teplizumab-certain-pediatric-patients-recently-diagnosed-stage-3" TargetMode="External"/><Relationship Id="rId120" Type="http://schemas.openxmlformats.org/officeDocument/2006/relationships/hyperlink" Target="https://dx.doi.org/10.1007/s12282-024-01634-x" TargetMode="External"/><Relationship Id="rId125" Type="http://schemas.openxmlformats.org/officeDocument/2006/relationships/hyperlink" Target="https://www.fda.gov/advisory-committees/pharmacy-compounding-advisory-committee/meeting-pharmacy-compounding-advisory-committee" TargetMode="External"/><Relationship Id="rId141" Type="http://schemas.openxmlformats.org/officeDocument/2006/relationships/hyperlink" Target="https://www.saludyfarmacos.org/boletin-farmacos/boletines/feb202605/28_la/" TargetMode="External"/><Relationship Id="rId146" Type="http://schemas.openxmlformats.org/officeDocument/2006/relationships/hyperlink" Target="https://doi.org/10.7326/ANNALS-25-04559" TargetMode="External"/><Relationship Id="rId167" Type="http://schemas.openxmlformats.org/officeDocument/2006/relationships/hyperlink" Target="https://dx.doi.org/10.1136/bmjoq-2024-002925" TargetMode="External"/><Relationship Id="rId7" Type="http://schemas.openxmlformats.org/officeDocument/2006/relationships/endnotes" Target="endnotes.xml"/><Relationship Id="rId71" Type="http://schemas.openxmlformats.org/officeDocument/2006/relationships/hyperlink" Target="https://www.ema.europa.eu/en/human-regulatory-overview/postauthorisation/referral-procedures-human-medicines" TargetMode="External"/><Relationship Id="rId92" Type="http://schemas.openxmlformats.org/officeDocument/2006/relationships/hyperlink" Target="https://www.raps.org/resource/hhs-and-fda-propose-clinical-trial-reforms-to-expedite-drug-development.html" TargetMode="External"/><Relationship Id="rId162" Type="http://schemas.openxmlformats.org/officeDocument/2006/relationships/hyperlink" Target="https://www.statnews.com/2026/06/15/colorado-drug-imports-canada/" TargetMode="External"/><Relationship Id="rId2" Type="http://schemas.openxmlformats.org/officeDocument/2006/relationships/numbering" Target="numbering.xml"/><Relationship Id="rId29" Type="http://schemas.openxmlformats.org/officeDocument/2006/relationships/hyperlink" Target="https://www.interpol.int/es/Noticias-y-acontecimientos/Noticias/2026/Global-crackdown-on-illicit-pharmaceuticals-sees-USD-15.5-million-in-seizures" TargetMode="External"/><Relationship Id="rId24" Type="http://schemas.openxmlformats.org/officeDocument/2006/relationships/hyperlink" Target="https://www.who.int/news-room/events/detail/2024/09/26/default-calendar/un-general-assembly-high-level-meeting-on-antimicrobial-resistance-2024" TargetMode="External"/><Relationship Id="rId40" Type="http://schemas.openxmlformats.org/officeDocument/2006/relationships/hyperlink" Target="https://vigiflow-eforms.who-umc.org/br/vigimed" TargetMode="External"/><Relationship Id="rId45" Type="http://schemas.openxmlformats.org/officeDocument/2006/relationships/hyperlink" Target="https://in.gov.br/web/dou/-/portaria-n-715-de-15-de-junho-de-2026-712362697" TargetMode="External"/><Relationship Id="rId66" Type="http://schemas.openxmlformats.org/officeDocument/2006/relationships/hyperlink" Target="https://www.ema.europa.eu/en/human-regulatory-overview/post-authorisation/pharmacovigilance-post-authorisation/direct-healthcare-professional-communications-dhpc" TargetMode="External"/><Relationship Id="rId87" Type="http://schemas.openxmlformats.org/officeDocument/2006/relationships/hyperlink" Target="https://www.fiercepharma.com/marketing/fda-seeks-legislative-teeth-bite-back-against-misleading-dtc-drug-ads" TargetMode="External"/><Relationship Id="rId110" Type="http://schemas.openxmlformats.org/officeDocument/2006/relationships/hyperlink" Target="https://www.safetyreporting.hhs.gov/smarthub" TargetMode="External"/><Relationship Id="rId115" Type="http://schemas.openxmlformats.org/officeDocument/2006/relationships/hyperlink" Target="https://contact.fda.gov/report-problem" TargetMode="External"/><Relationship Id="rId131" Type="http://schemas.openxmlformats.org/officeDocument/2006/relationships/hyperlink" Target="https://www.fda.gov/advisory-committees/pharmacy-compounding-advisory-committee/pharmacy-compounding-advisory-committee-roster" TargetMode="External"/><Relationship Id="rId136" Type="http://schemas.openxmlformats.org/officeDocument/2006/relationships/hyperlink" Target="https://www.cdc.gov/mmwr/volumes/74/wr/mm7440a1.htm" TargetMode="External"/><Relationship Id="rId157" Type="http://schemas.openxmlformats.org/officeDocument/2006/relationships/hyperlink" Target="https://pubmed.ncbi.nlm.nih.gov/38361991/" TargetMode="External"/><Relationship Id="rId61" Type="http://schemas.openxmlformats.org/officeDocument/2006/relationships/hyperlink" Target="https://www.gob.mx/cofepris/articulos/cofepris-informa-sobre-las-nuevas-disposiciones-para-la-dispensacion-del-tramadol" TargetMode="External"/><Relationship Id="rId82" Type="http://schemas.openxmlformats.org/officeDocument/2006/relationships/hyperlink" Target="https://www.globaljustice.org.uk/wp-content/uploads/2026/06/PAP-Response-GLD-to-LD-20-05-2026-REDACTEDv2-1.pdf" TargetMode="External"/><Relationship Id="rId152" Type="http://schemas.openxmlformats.org/officeDocument/2006/relationships/hyperlink" Target="https://doi.org/10.1136/ard-2024-226142" TargetMode="External"/><Relationship Id="rId173" Type="http://schemas.openxmlformats.org/officeDocument/2006/relationships/hyperlink" Target="https://ijme.in/articles/deg-deaths-why-is-india-unable-to-stop-them/" TargetMode="External"/><Relationship Id="rId19" Type="http://schemas.openxmlformats.org/officeDocument/2006/relationships/hyperlink" Target="https://iris.who.int/server/api/core/bitstreams/d0681347-cb2b-4291-8f92-917f28be0893/content" TargetMode="External"/><Relationship Id="rId14" Type="http://schemas.openxmlformats.org/officeDocument/2006/relationships/hyperlink" Target="https://www.gov.br/anvisa/pt-br" TargetMode="External"/><Relationship Id="rId30" Type="http://schemas.openxmlformats.org/officeDocument/2006/relationships/hyperlink" Target="https://www.gov.uk/government/news/uk-and-us-deepen-regulatory-cooperation-on-medical-devices-building-on-wider-pharmaceutical-partnership" TargetMode="External"/><Relationship Id="rId35" Type="http://schemas.openxmlformats.org/officeDocument/2006/relationships/hyperlink" Target="https://doi.org/10.30958/ajl.X-Y-Z" TargetMode="External"/><Relationship Id="rId56" Type="http://schemas.openxmlformats.org/officeDocument/2006/relationships/hyperlink" Target="https://www.gob.mx/cms/uploads/attachment/file/1084062/GUIA_DE_REQUISITOS_VIA_R_abreviada_-_12062026__002__F.pdf" TargetMode="External"/><Relationship Id="rId77" Type="http://schemas.openxmlformats.org/officeDocument/2006/relationships/hyperlink" Target="https://www.thelancet.com/journals/lanepe/article/PIIS2666-7762(26)00160-2/fulltext" TargetMode="External"/><Relationship Id="rId100" Type="http://schemas.openxmlformats.org/officeDocument/2006/relationships/hyperlink" Target="https://www.fda.gov/industry/fda-precheck-pilot-program" TargetMode="External"/><Relationship Id="rId105" Type="http://schemas.openxmlformats.org/officeDocument/2006/relationships/hyperlink" Target="https://www.fda.gov/news-events/fda-voices/ensuring-quality-and-access-fdas-approach-generic-drug-oversight" TargetMode="External"/><Relationship Id="rId126" Type="http://schemas.openxmlformats.org/officeDocument/2006/relationships/hyperlink" Target="https://www.newyorker.com/magazine/2026/04/13/why-are-people-injecting-themselves-with-peptides" TargetMode="External"/><Relationship Id="rId147" Type="http://schemas.openxmlformats.org/officeDocument/2006/relationships/hyperlink" Target="https://www.acpjournals.org/doi/10.7326/ANNALS-25-04559" TargetMode="External"/><Relationship Id="rId168" Type="http://schemas.openxmlformats.org/officeDocument/2006/relationships/hyperlink" Target="https://dx.doi.org/10.1007/s11606-011-1633-9" TargetMode="External"/><Relationship Id="rId8" Type="http://schemas.openxmlformats.org/officeDocument/2006/relationships/footer" Target="footer1.xml"/><Relationship Id="rId51" Type="http://schemas.openxmlformats.org/officeDocument/2006/relationships/hyperlink" Target="https://www.srs.gob.sv/?p=14357" TargetMode="External"/><Relationship Id="rId72" Type="http://schemas.openxmlformats.org/officeDocument/2006/relationships/hyperlink" Target="https://www.sanidad.gob.es/gabinete/notasPrensa.do?id=6918" TargetMode="External"/><Relationship Id="rId93" Type="http://schemas.openxmlformats.org/officeDocument/2006/relationships/hyperlink" Target="https://www.regulations.gov/document/FDA-2026-N-4390-0001" TargetMode="External"/><Relationship Id="rId98" Type="http://schemas.openxmlformats.org/officeDocument/2006/relationships/hyperlink" Target="https://icer.org/wp-content/uploads/2026/04/Strengthening-the-FDAs-Accelerated-Approval-Pathway-_-ICER-White-Paper-_-April-2026.pdf" TargetMode="External"/><Relationship Id="rId121" Type="http://schemas.openxmlformats.org/officeDocument/2006/relationships/hyperlink" Target="https://dx.doi.org/10.1007/s00520-023-08068-9" TargetMode="External"/><Relationship Id="rId142" Type="http://schemas.openxmlformats.org/officeDocument/2006/relationships/hyperlink" Target="https://www.saludyfarmacos.org/boletin-farmacos/boletines/feb202605/33_un/" TargetMode="External"/><Relationship Id="rId163" Type="http://schemas.openxmlformats.org/officeDocument/2006/relationships/hyperlink" Target="https://jamanetwork.com/journals/jamanetworkopen/fullarticle/2849283" TargetMode="External"/><Relationship Id="rId3" Type="http://schemas.openxmlformats.org/officeDocument/2006/relationships/styles" Target="styles.xml"/><Relationship Id="rId25" Type="http://schemas.openxmlformats.org/officeDocument/2006/relationships/hyperlink" Target="https://apps.who.int/gb/ebwha/pdf_files/WHA79/A79_(19)-en.pdf" TargetMode="External"/><Relationship Id="rId46" Type="http://schemas.openxmlformats.org/officeDocument/2006/relationships/hyperlink" Target="https://consultorsalud.com/invima-anvisa-memorando-cooperacion-regulatoria/" TargetMode="External"/><Relationship Id="rId67" Type="http://schemas.openxmlformats.org/officeDocument/2006/relationships/hyperlink" Target="https://www.ema.europa.eu/en/medicines/human/EPAR/tavneos" TargetMode="External"/><Relationship Id="rId116" Type="http://schemas.openxmlformats.org/officeDocument/2006/relationships/hyperlink" Target="https://www.ejcancer.com/article/S0959-8049(26)00688-X/abstract" TargetMode="External"/><Relationship Id="rId137" Type="http://schemas.openxmlformats.org/officeDocument/2006/relationships/hyperlink" Target="https://www.nytimes.com/2026/05/05/us/politics/fda-covid-vaccine-studies.html" TargetMode="External"/><Relationship Id="rId158" Type="http://schemas.openxmlformats.org/officeDocument/2006/relationships/hyperlink" Target="https://doi.org/10.1016/j.eclinm.2024.102476" TargetMode="External"/><Relationship Id="rId20" Type="http://schemas.openxmlformats.org/officeDocument/2006/relationships/hyperlink" Target="https://doi.org/10.18549/PharmPract.2026.1.3420" TargetMode="External"/><Relationship Id="rId41" Type="http://schemas.openxmlformats.org/officeDocument/2006/relationships/hyperlink" Target="https://www.youtube.com/live/l9_kYX1lOkw" TargetMode="External"/><Relationship Id="rId62" Type="http://schemas.openxmlformats.org/officeDocument/2006/relationships/hyperlink" Target="https://dof.gob.mx/2026/PRESREP/PRESREP_150126_02.pdf" TargetMode="External"/><Relationship Id="rId83" Type="http://schemas.openxmlformats.org/officeDocument/2006/relationships/hyperlink" Target="https://www.gov.uk/government/publications/uk-us-arrangement-on-pharmaceutical-trade-and-pricing" TargetMode="External"/><Relationship Id="rId88" Type="http://schemas.openxmlformats.org/officeDocument/2006/relationships/hyperlink" Target="https://www.fda.gov/news-events/press-announcements/fda-announces-major-steps-implement-real-time-clinical-trials" TargetMode="External"/><Relationship Id="rId111" Type="http://schemas.openxmlformats.org/officeDocument/2006/relationships/hyperlink" Target="https://www.accessdata.fda.gov/scripts/cder/psg/index.cfm" TargetMode="External"/><Relationship Id="rId132" Type="http://schemas.openxmlformats.org/officeDocument/2006/relationships/hyperlink" Target="https://www.citizen.org/article/outrage-of-the-month-censorship-of-cdc-and-fda-vaccine-studies/" TargetMode="External"/><Relationship Id="rId153" Type="http://schemas.openxmlformats.org/officeDocument/2006/relationships/hyperlink" Target="https://pubmed.ncbi.nlm.nih.gov/38381673/" TargetMode="External"/><Relationship Id="rId174" Type="http://schemas.openxmlformats.org/officeDocument/2006/relationships/hyperlink" Target="https://www.tga.gov.au/news/media-releases/concerns-regarding-public-health-risks-associated-unapproved-peptide-products" TargetMode="External"/><Relationship Id="rId15" Type="http://schemas.openxmlformats.org/officeDocument/2006/relationships/header" Target="header2.xml"/><Relationship Id="rId36" Type="http://schemas.openxmlformats.org/officeDocument/2006/relationships/hyperlink" Target="https://www.athensjournals.gr/law/2026-7096-AJL-Heinen-02.pdf" TargetMode="External"/><Relationship Id="rId57" Type="http://schemas.openxmlformats.org/officeDocument/2006/relationships/hyperlink" Target="https://www.gob.mx/cms/uploads/attachment/file/1084063/RELIANCE_12062026.pdf" TargetMode="External"/><Relationship Id="rId106" Type="http://schemas.openxmlformats.org/officeDocument/2006/relationships/hyperlink" Target="https://www.accessdata.fda.gov/scripts/cder/psg/index.cfm" TargetMode="External"/><Relationship Id="rId127" Type="http://schemas.openxmlformats.org/officeDocument/2006/relationships/hyperlink" Target="https://www.fda.gov/advisory-committees/advisory-committee-calendar/july-23-24-2026-meeting-pharmacy-compounding-advisory-committee-07232026" TargetMode="External"/><Relationship Id="rId10" Type="http://schemas.openxmlformats.org/officeDocument/2006/relationships/image" Target="media/image1.png"/><Relationship Id="rId31" Type="http://schemas.openxmlformats.org/officeDocument/2006/relationships/hyperlink" Target="https://www.pharmaceutical-technology.com/newsletters/fda-and-mhra-forge-new-regulatory-collaboration-initiative/" TargetMode="External"/><Relationship Id="rId52" Type="http://schemas.openxmlformats.org/officeDocument/2006/relationships/hyperlink" Target="https://www.gob.mx/cofepris/acciones-y-programas/via-regulatoria-abreviada-reliance-2-0-428913" TargetMode="External"/><Relationship Id="rId73" Type="http://schemas.openxmlformats.org/officeDocument/2006/relationships/hyperlink" Target="https://www.sanidad.gob.es/gabinete/notasPrensa.do?id=6933" TargetMode="External"/><Relationship Id="rId78" Type="http://schemas.openxmlformats.org/officeDocument/2006/relationships/hyperlink" Target="https://www.thelancet.com/journals/lanepe/article/PIIS2666-7762(26)00160-2/fulltext" TargetMode="External"/><Relationship Id="rId94" Type="http://schemas.openxmlformats.org/officeDocument/2006/relationships/hyperlink" Target="https://www.regulations.gov/document/FDA-2026-N-4390-0001" TargetMode="External"/><Relationship Id="rId99" Type="http://schemas.openxmlformats.org/officeDocument/2006/relationships/hyperlink" Target="https://icer.org/news-insights/press-releases/icer-white-paper-on-accelerated-approval-pathway-2026/" TargetMode="External"/><Relationship Id="rId101" Type="http://schemas.openxmlformats.org/officeDocument/2006/relationships/hyperlink" Target="https://elglobalfarma.com/politica/fda-siete-companias-programa-piloto-precheck-fabricacion-farmaceutica-eeuu/" TargetMode="External"/><Relationship Id="rId122" Type="http://schemas.openxmlformats.org/officeDocument/2006/relationships/hyperlink" Target="https://dx.doi.org/10.1056/NEJMsb2517623" TargetMode="External"/><Relationship Id="rId143" Type="http://schemas.openxmlformats.org/officeDocument/2006/relationships/hyperlink" Target="https://www.saludyfarmacos.org/boletin-farmacos/boletines/nov202505/30_im/" TargetMode="External"/><Relationship Id="rId148" Type="http://schemas.openxmlformats.org/officeDocument/2006/relationships/hyperlink" Target="https://www.saludyfarmacos.org/boletin-farmacos/boletines/feb202603/38_eu/" TargetMode="External"/><Relationship Id="rId164" Type="http://schemas.openxmlformats.org/officeDocument/2006/relationships/hyperlink" Target="https://jamanetwork.com/journals/jamanetworkopen/fullarticle/2849289" TargetMode="External"/><Relationship Id="rId169" Type="http://schemas.openxmlformats.org/officeDocument/2006/relationships/hyperlink" Target="https://dx.doi.org/10.1016/j.drugalcdep.2017.03.021" TargetMode="External"/><Relationship Id="rId4" Type="http://schemas.openxmlformats.org/officeDocument/2006/relationships/settings" Target="settings.xml"/><Relationship Id="rId9" Type="http://schemas.openxmlformats.org/officeDocument/2006/relationships/hyperlink" Target="http://www.saludyfarmacos.org/boletin-farmacos/" TargetMode="External"/><Relationship Id="rId26" Type="http://schemas.openxmlformats.org/officeDocument/2006/relationships/hyperlink" Target="https://digitallibrary.un.org/record/4064023?v=pdf" TargetMode="External"/><Relationship Id="rId47" Type="http://schemas.openxmlformats.org/officeDocument/2006/relationships/hyperlink" Target="https://www.eltiempo.com/amp/salud/el-mecanismo-que-podria-ayudar-a-que-el-invima-reduzca-hasta-en-un-90-los-costos-asociados-a-la-evaluacion-de-medicamentos-innovadores-en-colombia-3565327" TargetMode="External"/><Relationship Id="rId68" Type="http://schemas.openxmlformats.org/officeDocument/2006/relationships/hyperlink" Target="https://www.ema.europa.eu/en/medicines/human/EPAR/tavneos" TargetMode="External"/><Relationship Id="rId89" Type="http://schemas.openxmlformats.org/officeDocument/2006/relationships/hyperlink" Target="https://www.federalregister.gov/public-inspection/2026-08281/request-for-information-ai-enabled-optimization-of-early-phase-clinical-trials-pilot-program" TargetMode="External"/><Relationship Id="rId112" Type="http://schemas.openxmlformats.org/officeDocument/2006/relationships/hyperlink" Target="https://www.fda.gov/drugs/pharmaceutical-quality-resources/cder-quality-management-maturity" TargetMode="External"/><Relationship Id="rId133" Type="http://schemas.openxmlformats.org/officeDocument/2006/relationships/hyperlink" Target="https://www.washingtonpost.com/health/2026/04/22/covid-vaccine-report-blocked-cdc-mmwr/" TargetMode="External"/><Relationship Id="rId154" Type="http://schemas.openxmlformats.org/officeDocument/2006/relationships/hyperlink" Target="https://doi.org/10.1056/NEJMoa2308917" TargetMode="External"/><Relationship Id="rId175" Type="http://schemas.openxmlformats.org/officeDocument/2006/relationships/fontTable" Target="fontTable.xml"/><Relationship Id="rId16" Type="http://schemas.openxmlformats.org/officeDocument/2006/relationships/hyperlink" Target="https://iris.who.int/items/89887f30-f537-44e8-bbd2-9ec886282bed" TargetMode="External"/><Relationship Id="rId37" Type="http://schemas.openxmlformats.org/officeDocument/2006/relationships/hyperlink" Target="https://www2.camara.leg.br/legin/fed/decret/2020/decreto-10411-30-junho-2020-790371-norma-pe.html" TargetMode="External"/><Relationship Id="rId58" Type="http://schemas.openxmlformats.org/officeDocument/2006/relationships/hyperlink" Target="https://oscarmariobeteta.com/mexico-abre-la-puerta-a-medicamentos-aprobados-en-eu-y-europa" TargetMode="External"/><Relationship Id="rId79" Type="http://schemas.openxmlformats.org/officeDocument/2006/relationships/hyperlink" Target="https://pubmed.ncbi.nlm.nih.gov/42128446/" TargetMode="External"/><Relationship Id="rId102" Type="http://schemas.openxmlformats.org/officeDocument/2006/relationships/hyperlink" Target="https://www.fda.gov/drugs/novel-drug-approvals-fda/novel-drug-approvals-2026" TargetMode="External"/><Relationship Id="rId123" Type="http://schemas.openxmlformats.org/officeDocument/2006/relationships/hyperlink" Target="http://jamanetwork.com/article.aspx?doi=10.1001/jama.2025.10116" TargetMode="External"/><Relationship Id="rId144" Type="http://schemas.openxmlformats.org/officeDocument/2006/relationships/hyperlink" Target="https://www.statnews.com/pharmalot/2026/06/17/advocates-petition-fda-withdraw-approval-unsafe-use-antibiotics-given-livestock/" TargetMode="External"/><Relationship Id="rId90" Type="http://schemas.openxmlformats.org/officeDocument/2006/relationships/hyperlink" Target="https://unblock.federalregister.gov/" TargetMode="External"/><Relationship Id="rId165" Type="http://schemas.openxmlformats.org/officeDocument/2006/relationships/hyperlink" Target="https://dx.doi.org/10.1016/j.jaip.2021.02.057" TargetMode="External"/><Relationship Id="rId27" Type="http://schemas.openxmlformats.org/officeDocument/2006/relationships/hyperlink" Target="https://www.who.int/news-room/events/detail/2024/09/26/default-calendar/un-general-assembly-high-level-meeting-on-antimicrobial-resistance-2024" TargetMode="External"/><Relationship Id="rId48" Type="http://schemas.openxmlformats.org/officeDocument/2006/relationships/image" Target="media/image3.png"/><Relationship Id="rId69" Type="http://schemas.openxmlformats.org/officeDocument/2006/relationships/hyperlink" Target="https://www.ema.europa.eu/en/medicines/human/referrals/levamisole-containing-medicinal-products" TargetMode="External"/><Relationship Id="rId113" Type="http://schemas.openxmlformats.org/officeDocument/2006/relationships/hyperlink" Target="https://www.fda.gov/international-programs/international-arrangements/mutual-recognition-agreements-mra" TargetMode="External"/><Relationship Id="rId134" Type="http://schemas.openxmlformats.org/officeDocument/2006/relationships/hyperlink" Target="https://www.washingtonpost.com/opinions/2026/04/30/jay-bhattacharya-cdc-is-committed-upholding-scientific-rigor/" TargetMode="External"/><Relationship Id="rId80" Type="http://schemas.openxmlformats.org/officeDocument/2006/relationships/hyperlink" Target="https://www.globaljustice.org.uk/news/campaigners-file-legal-challenge-to-unlawful-powergrab-over-nhs-drug-price-control-changes-demanded-by-trump/" TargetMode="External"/><Relationship Id="rId155" Type="http://schemas.openxmlformats.org/officeDocument/2006/relationships/hyperlink" Target="https://pubmed.ncbi.nlm.nih.gov/40749440/" TargetMode="External"/><Relationship Id="rId176" Type="http://schemas.openxmlformats.org/officeDocument/2006/relationships/theme" Target="theme/theme1.xml"/><Relationship Id="rId17" Type="http://schemas.openxmlformats.org/officeDocument/2006/relationships/header" Target="header3.xml"/><Relationship Id="rId38" Type="http://schemas.openxmlformats.org/officeDocument/2006/relationships/hyperlink" Target="https://antigo.anvisa.gov.br/informacoes-tecnicas13/-/asset_publisher/R6VaZWsQDDzS/content/-farmacovigilancia-descontinuidade-temporaria-da-estrategia-de-vacinacao-com-a-vacina-butantan-dv-contra-dengue-tetravalente-atenuada-dose-unica-/33868" TargetMode="External"/><Relationship Id="rId59" Type="http://schemas.openxmlformats.org/officeDocument/2006/relationships/hyperlink" Target="https://www.koreatimes.co.kr/amp/southkorea/health/20260623/mexico-fast-tracks-korean-drug-approvals" TargetMode="External"/><Relationship Id="rId103" Type="http://schemas.openxmlformats.org/officeDocument/2006/relationships/hyperlink" Target="https://www.biospace.com/fda/fdas-new-voucher-program-hints-at-broader-policy-agenda-making-many-uncomfortable" TargetMode="External"/><Relationship Id="rId124" Type="http://schemas.openxmlformats.org/officeDocument/2006/relationships/hyperlink" Target="https://www.fda.gov/advisory-committees/advisory-committee-calendar/july-23-24-2026-meeting-pharmacy-compounding-advisory-committee-07232026" TargetMode="External"/><Relationship Id="rId70" Type="http://schemas.openxmlformats.org/officeDocument/2006/relationships/hyperlink" Target="https://www.ema.europa.eu/en/human-regulatory-overview/postauthorisation/pharmacovigilance-post-authorisation/direct-healthcareprofessional-communications-dhpc" TargetMode="External"/><Relationship Id="rId91" Type="http://schemas.openxmlformats.org/officeDocument/2006/relationships/hyperlink" Target="https://www.fda.gov/regulatory-information/search-fda-guidance-documents/demonstrating-substantial-evidence-effectiveness-human-drug-and-biological-products" TargetMode="External"/><Relationship Id="rId145" Type="http://schemas.openxmlformats.org/officeDocument/2006/relationships/hyperlink" Target="https://jamanetwork.com/journals/jamainternalmedicine/article-abstract/2841276" TargetMode="External"/><Relationship Id="rId166" Type="http://schemas.openxmlformats.org/officeDocument/2006/relationships/hyperlink" Target="http://jamanetwork.com/article.aspx?doi=10.1001/jamanetworkopen.2026.1427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C981B-9EC8-46AE-B52B-F1C77D0D1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61</Pages>
  <Words>51327</Words>
  <Characters>282304</Characters>
  <Application>Microsoft Office Word</Application>
  <DocSecurity>0</DocSecurity>
  <Lines>2352</Lines>
  <Paragraphs>665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Castrillon</dc:creator>
  <cp:keywords/>
  <dc:description/>
  <cp:lastModifiedBy>Natalia Castrillon</cp:lastModifiedBy>
  <cp:revision>10</cp:revision>
  <cp:lastPrinted>2026-05-30T22:41:00Z</cp:lastPrinted>
  <dcterms:created xsi:type="dcterms:W3CDTF">2026-08-26T13:11:00Z</dcterms:created>
  <dcterms:modified xsi:type="dcterms:W3CDTF">2026-08-26T13:58:00Z</dcterms:modified>
</cp:coreProperties>
</file>